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</w:p>
    <w:p w:rsidR="00112103" w:rsidRDefault="00112103" w:rsidP="00112103">
      <w:pPr>
        <w:rPr>
          <w:sz w:val="22"/>
          <w:szCs w:val="22"/>
        </w:rPr>
      </w:pPr>
    </w:p>
    <w:p w:rsidR="00112103" w:rsidRDefault="00112103" w:rsidP="00112103">
      <w:pPr>
        <w:rPr>
          <w:sz w:val="22"/>
          <w:szCs w:val="22"/>
        </w:rPr>
      </w:pPr>
    </w:p>
    <w:p w:rsidR="00112103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PŘÍLOHA I</w:t>
      </w:r>
    </w:p>
    <w:p w:rsidR="00112103" w:rsidRPr="000772EC" w:rsidRDefault="00112103" w:rsidP="00112103">
      <w:pPr>
        <w:jc w:val="center"/>
        <w:rPr>
          <w:b/>
          <w:bCs/>
          <w:sz w:val="22"/>
          <w:szCs w:val="22"/>
        </w:rPr>
      </w:pPr>
      <w:r w:rsidRPr="000772EC">
        <w:rPr>
          <w:b/>
          <w:bCs/>
          <w:sz w:val="22"/>
          <w:szCs w:val="22"/>
        </w:rPr>
        <w:t>SOUHR ÚDAJŮ O PŘÍPRAVKU</w:t>
      </w: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br w:type="page"/>
      </w:r>
    </w:p>
    <w:p w:rsidR="00112103" w:rsidRPr="000772EC" w:rsidRDefault="00112103" w:rsidP="00112103">
      <w:pPr>
        <w:ind w:left="567" w:hanging="567"/>
        <w:outlineLvl w:val="2"/>
        <w:rPr>
          <w:b/>
          <w:bCs/>
          <w:sz w:val="22"/>
          <w:szCs w:val="22"/>
        </w:rPr>
      </w:pPr>
      <w:bookmarkStart w:id="0" w:name="1"/>
      <w:r w:rsidRPr="000772EC">
        <w:rPr>
          <w:b/>
          <w:bCs/>
          <w:sz w:val="22"/>
          <w:szCs w:val="22"/>
        </w:rPr>
        <w:lastRenderedPageBreak/>
        <w:t>1.</w:t>
      </w:r>
      <w:r>
        <w:rPr>
          <w:b/>
          <w:bCs/>
          <w:sz w:val="22"/>
          <w:szCs w:val="22"/>
        </w:rPr>
        <w:tab/>
      </w:r>
      <w:r w:rsidRPr="000772EC">
        <w:rPr>
          <w:b/>
          <w:bCs/>
          <w:sz w:val="22"/>
          <w:szCs w:val="22"/>
        </w:rPr>
        <w:t>NÁZEV VETERINÁRNÍHO LÉČIVÉHO PŘÍPRAVKU</w:t>
      </w:r>
      <w:bookmarkEnd w:id="0"/>
    </w:p>
    <w:p w:rsidR="00112103" w:rsidRDefault="00112103" w:rsidP="00112103">
      <w:pPr>
        <w:rPr>
          <w:sz w:val="22"/>
          <w:szCs w:val="22"/>
        </w:rPr>
      </w:pPr>
    </w:p>
    <w:p w:rsidR="00112103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 xml:space="preserve">NALGOSED 10 mg/ml injekční roztok </w:t>
      </w:r>
    </w:p>
    <w:p w:rsidR="00112103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ind w:left="567" w:hanging="567"/>
        <w:outlineLvl w:val="2"/>
        <w:rPr>
          <w:b/>
          <w:bCs/>
          <w:sz w:val="22"/>
          <w:szCs w:val="22"/>
        </w:rPr>
      </w:pPr>
      <w:bookmarkStart w:id="1" w:name="2"/>
      <w:r w:rsidRPr="000772EC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 w:rsidRPr="000772EC">
        <w:rPr>
          <w:b/>
          <w:bCs/>
          <w:sz w:val="22"/>
          <w:szCs w:val="22"/>
        </w:rPr>
        <w:t>KVALITATIVNÍ A KVANTITATIVNÍ SLOŽENÍ</w:t>
      </w:r>
      <w:bookmarkEnd w:id="1"/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1 ml obsahuje:</w:t>
      </w: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tabs>
          <w:tab w:val="left" w:pos="3119"/>
        </w:tabs>
        <w:rPr>
          <w:sz w:val="22"/>
          <w:szCs w:val="22"/>
        </w:rPr>
      </w:pPr>
      <w:r w:rsidRPr="000772EC">
        <w:rPr>
          <w:b/>
          <w:sz w:val="22"/>
          <w:szCs w:val="22"/>
        </w:rPr>
        <w:t>Léčivá látka:</w:t>
      </w:r>
      <w:r w:rsidRPr="000772EC">
        <w:rPr>
          <w:b/>
          <w:sz w:val="22"/>
          <w:szCs w:val="22"/>
        </w:rPr>
        <w:br/>
      </w:r>
      <w:proofErr w:type="spellStart"/>
      <w:r w:rsidRPr="000772EC">
        <w:rPr>
          <w:sz w:val="22"/>
          <w:szCs w:val="22"/>
        </w:rPr>
        <w:t>Butorphanolum</w:t>
      </w:r>
      <w:proofErr w:type="spellEnd"/>
      <w:r w:rsidRPr="000772EC">
        <w:rPr>
          <w:sz w:val="22"/>
          <w:szCs w:val="22"/>
        </w:rPr>
        <w:t xml:space="preserve"> </w:t>
      </w:r>
      <w:r w:rsidRPr="000772EC">
        <w:rPr>
          <w:sz w:val="22"/>
          <w:szCs w:val="22"/>
        </w:rPr>
        <w:tab/>
      </w:r>
      <w:r w:rsidRPr="000772EC">
        <w:rPr>
          <w:sz w:val="22"/>
          <w:szCs w:val="22"/>
        </w:rPr>
        <w:tab/>
        <w:t xml:space="preserve">10 mg </w:t>
      </w:r>
    </w:p>
    <w:p w:rsidR="00112103" w:rsidRPr="000772EC" w:rsidRDefault="00112103" w:rsidP="00112103">
      <w:pPr>
        <w:tabs>
          <w:tab w:val="left" w:pos="3119"/>
        </w:tabs>
        <w:rPr>
          <w:sz w:val="22"/>
          <w:szCs w:val="22"/>
        </w:rPr>
      </w:pPr>
      <w:r w:rsidRPr="000772EC">
        <w:rPr>
          <w:sz w:val="22"/>
          <w:szCs w:val="22"/>
        </w:rPr>
        <w:t>(</w:t>
      </w:r>
      <w:r>
        <w:rPr>
          <w:sz w:val="22"/>
          <w:szCs w:val="22"/>
        </w:rPr>
        <w:t>jako</w:t>
      </w:r>
      <w:r w:rsidRPr="000772EC">
        <w:rPr>
          <w:sz w:val="22"/>
          <w:szCs w:val="22"/>
        </w:rPr>
        <w:t xml:space="preserve"> </w:t>
      </w:r>
      <w:proofErr w:type="spellStart"/>
      <w:r w:rsidRPr="000772EC">
        <w:rPr>
          <w:sz w:val="22"/>
          <w:szCs w:val="22"/>
        </w:rPr>
        <w:t>Butorphanoli</w:t>
      </w:r>
      <w:proofErr w:type="spellEnd"/>
      <w:r w:rsidRPr="000772EC">
        <w:rPr>
          <w:sz w:val="22"/>
          <w:szCs w:val="22"/>
        </w:rPr>
        <w:t xml:space="preserve"> </w:t>
      </w:r>
      <w:proofErr w:type="spellStart"/>
      <w:r w:rsidRPr="000772EC">
        <w:rPr>
          <w:sz w:val="22"/>
          <w:szCs w:val="22"/>
        </w:rPr>
        <w:t>tartras</w:t>
      </w:r>
      <w:proofErr w:type="spellEnd"/>
      <w:r w:rsidRPr="000772EC">
        <w:rPr>
          <w:sz w:val="22"/>
          <w:szCs w:val="22"/>
        </w:rPr>
        <w:t xml:space="preserve"> 14,58 mg)</w:t>
      </w:r>
    </w:p>
    <w:p w:rsidR="00112103" w:rsidRPr="000772EC" w:rsidRDefault="00112103" w:rsidP="00112103">
      <w:pPr>
        <w:tabs>
          <w:tab w:val="left" w:pos="3119"/>
        </w:tabs>
        <w:rPr>
          <w:sz w:val="22"/>
          <w:szCs w:val="22"/>
        </w:rPr>
      </w:pPr>
    </w:p>
    <w:p w:rsidR="00112103" w:rsidRPr="000772EC" w:rsidRDefault="00112103" w:rsidP="00112103">
      <w:pPr>
        <w:tabs>
          <w:tab w:val="left" w:pos="3544"/>
        </w:tabs>
        <w:rPr>
          <w:sz w:val="22"/>
          <w:szCs w:val="22"/>
        </w:rPr>
      </w:pPr>
      <w:r w:rsidRPr="000772EC">
        <w:rPr>
          <w:b/>
          <w:sz w:val="22"/>
          <w:szCs w:val="22"/>
        </w:rPr>
        <w:t>Pomocné látky:</w:t>
      </w:r>
      <w:r w:rsidRPr="000772EC">
        <w:rPr>
          <w:sz w:val="22"/>
          <w:szCs w:val="22"/>
        </w:rPr>
        <w:br/>
      </w:r>
      <w:proofErr w:type="spellStart"/>
      <w:r w:rsidRPr="000772EC">
        <w:rPr>
          <w:sz w:val="22"/>
          <w:szCs w:val="22"/>
        </w:rPr>
        <w:t>Benzethonium</w:t>
      </w:r>
      <w:proofErr w:type="spellEnd"/>
      <w:r w:rsidRPr="000772EC">
        <w:rPr>
          <w:sz w:val="22"/>
          <w:szCs w:val="22"/>
        </w:rPr>
        <w:t xml:space="preserve">-chlorid </w:t>
      </w:r>
      <w:r w:rsidRPr="000772EC">
        <w:rPr>
          <w:sz w:val="22"/>
          <w:szCs w:val="22"/>
        </w:rPr>
        <w:tab/>
        <w:t>0,1 mg</w:t>
      </w:r>
    </w:p>
    <w:p w:rsidR="00112103" w:rsidRPr="000772EC" w:rsidRDefault="00112103" w:rsidP="00112103">
      <w:pPr>
        <w:rPr>
          <w:sz w:val="22"/>
          <w:szCs w:val="22"/>
        </w:rPr>
      </w:pPr>
    </w:p>
    <w:p w:rsidR="00112103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Úplný seznam pomocných látek viz bod 6.1.</w:t>
      </w:r>
    </w:p>
    <w:p w:rsidR="00112103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</w:p>
    <w:p w:rsidR="00112103" w:rsidRDefault="00112103" w:rsidP="00112103">
      <w:pPr>
        <w:ind w:left="567" w:hanging="567"/>
        <w:outlineLvl w:val="2"/>
        <w:rPr>
          <w:b/>
          <w:bCs/>
          <w:sz w:val="22"/>
          <w:szCs w:val="22"/>
        </w:rPr>
      </w:pPr>
      <w:bookmarkStart w:id="2" w:name="3"/>
      <w:r w:rsidRPr="000772EC"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 w:rsidRPr="000772EC">
        <w:rPr>
          <w:b/>
          <w:bCs/>
          <w:sz w:val="22"/>
          <w:szCs w:val="22"/>
        </w:rPr>
        <w:t>LÉKOVÁ FORMA</w:t>
      </w:r>
      <w:bookmarkEnd w:id="2"/>
    </w:p>
    <w:p w:rsidR="00112103" w:rsidRPr="000772EC" w:rsidRDefault="00112103" w:rsidP="00112103">
      <w:pPr>
        <w:ind w:left="567" w:hanging="567"/>
        <w:outlineLvl w:val="2"/>
        <w:rPr>
          <w:b/>
          <w:bCs/>
          <w:sz w:val="22"/>
          <w:szCs w:val="22"/>
        </w:rPr>
      </w:pPr>
    </w:p>
    <w:p w:rsidR="00112103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Injekční roztok.</w:t>
      </w:r>
      <w:r w:rsidRPr="000772EC">
        <w:rPr>
          <w:sz w:val="22"/>
          <w:szCs w:val="22"/>
        </w:rPr>
        <w:br/>
        <w:t>Čirý, bezbarvý roztok.</w:t>
      </w:r>
    </w:p>
    <w:p w:rsidR="00112103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</w:p>
    <w:p w:rsidR="00112103" w:rsidRDefault="00112103" w:rsidP="00112103">
      <w:pPr>
        <w:ind w:left="567" w:hanging="567"/>
        <w:outlineLvl w:val="2"/>
        <w:rPr>
          <w:b/>
          <w:bCs/>
          <w:sz w:val="22"/>
          <w:szCs w:val="22"/>
        </w:rPr>
      </w:pPr>
      <w:bookmarkStart w:id="3" w:name="4"/>
      <w:r w:rsidRPr="000772EC"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</w:r>
      <w:r w:rsidRPr="000772EC">
        <w:rPr>
          <w:b/>
          <w:bCs/>
          <w:sz w:val="22"/>
          <w:szCs w:val="22"/>
        </w:rPr>
        <w:t>KLINICKÉ ÚDAJE</w:t>
      </w:r>
      <w:bookmarkEnd w:id="3"/>
    </w:p>
    <w:p w:rsidR="00112103" w:rsidRPr="00655EAF" w:rsidRDefault="00112103" w:rsidP="00112103">
      <w:pPr>
        <w:ind w:left="567" w:hanging="567"/>
        <w:outlineLvl w:val="2"/>
        <w:rPr>
          <w:sz w:val="22"/>
          <w:szCs w:val="22"/>
        </w:rPr>
      </w:pPr>
    </w:p>
    <w:p w:rsidR="00112103" w:rsidRPr="000772EC" w:rsidRDefault="00112103" w:rsidP="00112103">
      <w:pPr>
        <w:ind w:left="567" w:hanging="567"/>
        <w:outlineLvl w:val="3"/>
        <w:rPr>
          <w:b/>
          <w:bCs/>
          <w:sz w:val="22"/>
          <w:szCs w:val="22"/>
        </w:rPr>
      </w:pPr>
      <w:bookmarkStart w:id="4" w:name="5"/>
      <w:r w:rsidRPr="000772EC">
        <w:rPr>
          <w:b/>
          <w:bCs/>
          <w:sz w:val="22"/>
          <w:szCs w:val="22"/>
        </w:rPr>
        <w:t>4.1</w:t>
      </w:r>
      <w:r>
        <w:rPr>
          <w:b/>
          <w:bCs/>
          <w:sz w:val="22"/>
          <w:szCs w:val="22"/>
        </w:rPr>
        <w:tab/>
      </w:r>
      <w:r w:rsidRPr="000772EC">
        <w:rPr>
          <w:b/>
          <w:bCs/>
          <w:sz w:val="22"/>
          <w:szCs w:val="22"/>
        </w:rPr>
        <w:t>Cílové druhy zvířat</w:t>
      </w:r>
      <w:bookmarkEnd w:id="4"/>
    </w:p>
    <w:p w:rsidR="00112103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Koně, psi, kočky.</w:t>
      </w: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ind w:left="567" w:hanging="567"/>
        <w:outlineLvl w:val="3"/>
        <w:rPr>
          <w:b/>
          <w:bCs/>
          <w:sz w:val="22"/>
          <w:szCs w:val="22"/>
        </w:rPr>
      </w:pPr>
      <w:bookmarkStart w:id="5" w:name="6"/>
      <w:r w:rsidRPr="000772EC">
        <w:rPr>
          <w:b/>
          <w:bCs/>
          <w:sz w:val="22"/>
          <w:szCs w:val="22"/>
        </w:rPr>
        <w:t>4.2</w:t>
      </w:r>
      <w:r>
        <w:rPr>
          <w:b/>
          <w:bCs/>
          <w:sz w:val="22"/>
          <w:szCs w:val="22"/>
        </w:rPr>
        <w:tab/>
      </w:r>
      <w:r w:rsidRPr="000772EC">
        <w:rPr>
          <w:b/>
          <w:bCs/>
          <w:sz w:val="22"/>
          <w:szCs w:val="22"/>
        </w:rPr>
        <w:t>Indikace s upřesněním pro cílový druh zvířat</w:t>
      </w:r>
      <w:bookmarkEnd w:id="5"/>
    </w:p>
    <w:p w:rsidR="00112103" w:rsidRDefault="00112103" w:rsidP="00112103">
      <w:pPr>
        <w:jc w:val="both"/>
        <w:outlineLvl w:val="3"/>
        <w:rPr>
          <w:bCs/>
          <w:sz w:val="22"/>
          <w:szCs w:val="22"/>
        </w:rPr>
      </w:pPr>
    </w:p>
    <w:p w:rsidR="00112103" w:rsidRPr="000772EC" w:rsidRDefault="00112103" w:rsidP="00112103">
      <w:pPr>
        <w:jc w:val="both"/>
        <w:outlineLvl w:val="3"/>
        <w:rPr>
          <w:bCs/>
          <w:sz w:val="22"/>
          <w:szCs w:val="22"/>
        </w:rPr>
      </w:pPr>
      <w:r w:rsidRPr="000772EC">
        <w:rPr>
          <w:bCs/>
          <w:sz w:val="22"/>
          <w:szCs w:val="22"/>
        </w:rPr>
        <w:t xml:space="preserve">Přípravek je u koní indikován k vedení analgezie a </w:t>
      </w:r>
      <w:proofErr w:type="spellStart"/>
      <w:r w:rsidRPr="000772EC">
        <w:rPr>
          <w:bCs/>
          <w:sz w:val="22"/>
          <w:szCs w:val="22"/>
        </w:rPr>
        <w:t>sedace</w:t>
      </w:r>
      <w:proofErr w:type="spellEnd"/>
      <w:r w:rsidRPr="000772EC">
        <w:rPr>
          <w:bCs/>
          <w:sz w:val="22"/>
          <w:szCs w:val="22"/>
        </w:rPr>
        <w:t xml:space="preserve">, u psů a koček k vedení analgezie, </w:t>
      </w:r>
      <w:proofErr w:type="spellStart"/>
      <w:r w:rsidRPr="000772EC">
        <w:rPr>
          <w:bCs/>
          <w:sz w:val="22"/>
          <w:szCs w:val="22"/>
        </w:rPr>
        <w:t>sedace</w:t>
      </w:r>
      <w:proofErr w:type="spellEnd"/>
      <w:r w:rsidRPr="000772EC">
        <w:rPr>
          <w:bCs/>
          <w:sz w:val="22"/>
          <w:szCs w:val="22"/>
        </w:rPr>
        <w:t xml:space="preserve"> a </w:t>
      </w:r>
      <w:proofErr w:type="spellStart"/>
      <w:r w:rsidRPr="000772EC">
        <w:rPr>
          <w:bCs/>
          <w:sz w:val="22"/>
          <w:szCs w:val="22"/>
        </w:rPr>
        <w:t>preanestezie</w:t>
      </w:r>
      <w:proofErr w:type="spellEnd"/>
      <w:r w:rsidRPr="000772EC">
        <w:rPr>
          <w:bCs/>
          <w:sz w:val="22"/>
          <w:szCs w:val="22"/>
        </w:rPr>
        <w:t>.</w:t>
      </w:r>
    </w:p>
    <w:p w:rsidR="00112103" w:rsidRDefault="00112103" w:rsidP="00112103">
      <w:pPr>
        <w:outlineLvl w:val="3"/>
        <w:rPr>
          <w:bCs/>
          <w:sz w:val="22"/>
          <w:szCs w:val="22"/>
        </w:rPr>
      </w:pPr>
    </w:p>
    <w:p w:rsidR="00112103" w:rsidRPr="000772EC" w:rsidRDefault="00112103" w:rsidP="00112103">
      <w:pPr>
        <w:outlineLvl w:val="3"/>
        <w:rPr>
          <w:bCs/>
          <w:sz w:val="22"/>
          <w:szCs w:val="22"/>
        </w:rPr>
      </w:pPr>
      <w:r w:rsidRPr="000772EC">
        <w:rPr>
          <w:bCs/>
          <w:sz w:val="22"/>
          <w:szCs w:val="22"/>
        </w:rPr>
        <w:t>KŮŇ:</w:t>
      </w:r>
    </w:p>
    <w:p w:rsidR="00112103" w:rsidRPr="000772EC" w:rsidRDefault="00112103" w:rsidP="00112103">
      <w:pPr>
        <w:jc w:val="both"/>
        <w:outlineLvl w:val="3"/>
        <w:rPr>
          <w:bCs/>
          <w:sz w:val="22"/>
          <w:szCs w:val="22"/>
        </w:rPr>
      </w:pPr>
      <w:r w:rsidRPr="000772EC">
        <w:rPr>
          <w:bCs/>
          <w:sz w:val="22"/>
          <w:szCs w:val="22"/>
          <w:u w:val="single"/>
        </w:rPr>
        <w:t>Analgetikum</w:t>
      </w:r>
      <w:r w:rsidRPr="000772EC">
        <w:rPr>
          <w:bCs/>
          <w:sz w:val="22"/>
          <w:szCs w:val="22"/>
        </w:rPr>
        <w:t>: Tlumení mírné až silné abdominální bolesti gastrointestinálního původu včetně koliky. Přípravek tlumí bolest vzniklou v souvislosti s kolikou nebo porodními stavy.</w:t>
      </w:r>
      <w:r w:rsidRPr="000772EC">
        <w:rPr>
          <w:bCs/>
          <w:sz w:val="22"/>
          <w:szCs w:val="22"/>
          <w:highlight w:val="green"/>
        </w:rPr>
        <w:t xml:space="preserve"> </w:t>
      </w:r>
    </w:p>
    <w:p w:rsidR="00112103" w:rsidRPr="000772EC" w:rsidRDefault="00112103" w:rsidP="00112103">
      <w:pPr>
        <w:outlineLvl w:val="3"/>
        <w:rPr>
          <w:bCs/>
          <w:sz w:val="22"/>
          <w:szCs w:val="22"/>
        </w:rPr>
      </w:pPr>
      <w:r w:rsidRPr="000772EC">
        <w:rPr>
          <w:bCs/>
          <w:sz w:val="22"/>
          <w:szCs w:val="22"/>
          <w:u w:val="single"/>
        </w:rPr>
        <w:t>Sedativum:</w:t>
      </w:r>
      <w:r w:rsidRPr="000772EC">
        <w:rPr>
          <w:bCs/>
          <w:sz w:val="22"/>
          <w:szCs w:val="22"/>
        </w:rPr>
        <w:t xml:space="preserve"> </w:t>
      </w:r>
      <w:r w:rsidRPr="000772EC">
        <w:rPr>
          <w:sz w:val="22"/>
          <w:szCs w:val="22"/>
        </w:rPr>
        <w:t xml:space="preserve">K </w:t>
      </w:r>
      <w:proofErr w:type="spellStart"/>
      <w:r w:rsidRPr="000772EC">
        <w:rPr>
          <w:sz w:val="22"/>
          <w:szCs w:val="22"/>
        </w:rPr>
        <w:t>sedaci</w:t>
      </w:r>
      <w:proofErr w:type="spellEnd"/>
      <w:r w:rsidRPr="000772EC">
        <w:rPr>
          <w:sz w:val="22"/>
          <w:szCs w:val="22"/>
        </w:rPr>
        <w:t xml:space="preserve"> po podání </w:t>
      </w:r>
      <w:r>
        <w:rPr>
          <w:sz w:val="22"/>
          <w:szCs w:val="22"/>
        </w:rPr>
        <w:t xml:space="preserve">některých </w:t>
      </w:r>
      <w:r w:rsidRPr="000772EC">
        <w:rPr>
          <w:sz w:val="22"/>
          <w:szCs w:val="22"/>
        </w:rPr>
        <w:t>α</w:t>
      </w:r>
      <w:r w:rsidRPr="00613461">
        <w:rPr>
          <w:sz w:val="22"/>
          <w:szCs w:val="22"/>
          <w:vertAlign w:val="subscript"/>
        </w:rPr>
        <w:t>2</w:t>
      </w:r>
      <w:r w:rsidRPr="000772EC">
        <w:rPr>
          <w:sz w:val="22"/>
          <w:szCs w:val="22"/>
        </w:rPr>
        <w:t>-adrenoceptor</w:t>
      </w:r>
      <w:r>
        <w:rPr>
          <w:sz w:val="22"/>
          <w:szCs w:val="22"/>
        </w:rPr>
        <w:t xml:space="preserve">ových agonistů </w:t>
      </w:r>
      <w:r w:rsidRPr="00DC16A8">
        <w:rPr>
          <w:sz w:val="22"/>
          <w:szCs w:val="22"/>
        </w:rPr>
        <w:t>(</w:t>
      </w:r>
      <w:proofErr w:type="spellStart"/>
      <w:r w:rsidRPr="00DC16A8">
        <w:rPr>
          <w:sz w:val="22"/>
          <w:szCs w:val="22"/>
        </w:rPr>
        <w:t>detomidin</w:t>
      </w:r>
      <w:proofErr w:type="spellEnd"/>
      <w:r w:rsidRPr="00DC16A8">
        <w:rPr>
          <w:sz w:val="22"/>
          <w:szCs w:val="22"/>
        </w:rPr>
        <w:t xml:space="preserve"> </w:t>
      </w:r>
      <w:proofErr w:type="spellStart"/>
      <w:r w:rsidRPr="00DC16A8">
        <w:rPr>
          <w:sz w:val="22"/>
          <w:szCs w:val="22"/>
        </w:rPr>
        <w:t>hydrochlorid</w:t>
      </w:r>
      <w:proofErr w:type="spellEnd"/>
      <w:r w:rsidRPr="00DC16A8">
        <w:rPr>
          <w:sz w:val="22"/>
          <w:szCs w:val="22"/>
        </w:rPr>
        <w:t xml:space="preserve">, </w:t>
      </w:r>
      <w:proofErr w:type="spellStart"/>
      <w:r w:rsidRPr="00DC16A8">
        <w:rPr>
          <w:sz w:val="22"/>
          <w:szCs w:val="22"/>
        </w:rPr>
        <w:t>romifidin</w:t>
      </w:r>
      <w:proofErr w:type="spellEnd"/>
      <w:r w:rsidRPr="00DC16A8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Pr="000772EC">
        <w:rPr>
          <w:i/>
          <w:sz w:val="22"/>
          <w:szCs w:val="22"/>
        </w:rPr>
        <w:br/>
      </w:r>
      <w:proofErr w:type="spellStart"/>
      <w:r w:rsidRPr="000772EC">
        <w:rPr>
          <w:sz w:val="22"/>
          <w:szCs w:val="22"/>
        </w:rPr>
        <w:t>Sedace</w:t>
      </w:r>
      <w:proofErr w:type="spellEnd"/>
      <w:r w:rsidRPr="000772EC">
        <w:rPr>
          <w:sz w:val="22"/>
          <w:szCs w:val="22"/>
        </w:rPr>
        <w:t xml:space="preserve"> při léčebných a diagnostických postupech na stojícím zvířeti.</w:t>
      </w:r>
    </w:p>
    <w:p w:rsidR="00112103" w:rsidRPr="000772EC" w:rsidRDefault="00112103" w:rsidP="00112103">
      <w:pPr>
        <w:outlineLvl w:val="3"/>
        <w:rPr>
          <w:bCs/>
          <w:sz w:val="22"/>
          <w:szCs w:val="22"/>
        </w:rPr>
      </w:pPr>
      <w:r w:rsidRPr="000772EC">
        <w:rPr>
          <w:bCs/>
          <w:sz w:val="22"/>
          <w:szCs w:val="22"/>
        </w:rPr>
        <w:t>PES:</w:t>
      </w:r>
    </w:p>
    <w:p w:rsidR="00112103" w:rsidRPr="00DC16A8" w:rsidRDefault="00112103" w:rsidP="00112103">
      <w:pPr>
        <w:jc w:val="both"/>
        <w:outlineLvl w:val="3"/>
        <w:rPr>
          <w:bCs/>
          <w:sz w:val="22"/>
          <w:szCs w:val="22"/>
        </w:rPr>
      </w:pPr>
      <w:r w:rsidRPr="00DC16A8">
        <w:rPr>
          <w:bCs/>
          <w:sz w:val="22"/>
          <w:szCs w:val="22"/>
          <w:u w:val="single"/>
        </w:rPr>
        <w:t>Analgetikum:</w:t>
      </w:r>
      <w:r w:rsidRPr="00E0107B">
        <w:rPr>
          <w:bCs/>
          <w:sz w:val="22"/>
          <w:szCs w:val="22"/>
        </w:rPr>
        <w:t xml:space="preserve"> Tlumení mírné až silné bolesti související s pooperačními postupy</w:t>
      </w:r>
      <w:r w:rsidRPr="00207D41">
        <w:rPr>
          <w:bCs/>
          <w:sz w:val="22"/>
          <w:szCs w:val="22"/>
        </w:rPr>
        <w:t>, zejména po ortopedických operacích nebo operacích měkkých tkání.</w:t>
      </w:r>
    </w:p>
    <w:p w:rsidR="00112103" w:rsidRPr="00DC16A8" w:rsidRDefault="00112103" w:rsidP="00112103">
      <w:pPr>
        <w:jc w:val="both"/>
        <w:outlineLvl w:val="3"/>
        <w:rPr>
          <w:bCs/>
          <w:sz w:val="22"/>
          <w:szCs w:val="22"/>
        </w:rPr>
      </w:pPr>
      <w:r w:rsidRPr="00DC16A8">
        <w:rPr>
          <w:bCs/>
          <w:sz w:val="22"/>
          <w:szCs w:val="22"/>
          <w:u w:val="single"/>
        </w:rPr>
        <w:t>Sedativum:</w:t>
      </w:r>
      <w:r w:rsidRPr="00DC16A8">
        <w:rPr>
          <w:bCs/>
          <w:sz w:val="22"/>
          <w:szCs w:val="22"/>
        </w:rPr>
        <w:t xml:space="preserve"> V kombinaci s </w:t>
      </w:r>
      <w:proofErr w:type="spellStart"/>
      <w:r w:rsidRPr="00DC16A8">
        <w:rPr>
          <w:bCs/>
          <w:sz w:val="22"/>
          <w:szCs w:val="22"/>
        </w:rPr>
        <w:t>medetomidin</w:t>
      </w:r>
      <w:proofErr w:type="spellEnd"/>
      <w:r w:rsidRPr="00DC16A8">
        <w:rPr>
          <w:bCs/>
          <w:sz w:val="22"/>
          <w:szCs w:val="22"/>
        </w:rPr>
        <w:t xml:space="preserve"> </w:t>
      </w:r>
      <w:proofErr w:type="spellStart"/>
      <w:r w:rsidRPr="00DC16A8">
        <w:rPr>
          <w:bCs/>
          <w:sz w:val="22"/>
          <w:szCs w:val="22"/>
        </w:rPr>
        <w:t>hydrochloridem</w:t>
      </w:r>
      <w:proofErr w:type="spellEnd"/>
      <w:r w:rsidRPr="00DC16A8">
        <w:rPr>
          <w:bCs/>
          <w:sz w:val="22"/>
          <w:szCs w:val="22"/>
        </w:rPr>
        <w:t>.</w:t>
      </w:r>
    </w:p>
    <w:p w:rsidR="00112103" w:rsidRPr="00DC16A8" w:rsidRDefault="00112103" w:rsidP="00112103">
      <w:pPr>
        <w:jc w:val="both"/>
        <w:outlineLvl w:val="3"/>
        <w:rPr>
          <w:bCs/>
          <w:sz w:val="22"/>
          <w:szCs w:val="22"/>
        </w:rPr>
      </w:pPr>
      <w:proofErr w:type="spellStart"/>
      <w:r w:rsidRPr="00DC16A8">
        <w:rPr>
          <w:bCs/>
          <w:sz w:val="22"/>
          <w:szCs w:val="22"/>
          <w:u w:val="single"/>
        </w:rPr>
        <w:t>Preanestetikum</w:t>
      </w:r>
      <w:proofErr w:type="spellEnd"/>
      <w:r w:rsidRPr="00DC16A8">
        <w:rPr>
          <w:bCs/>
          <w:sz w:val="22"/>
          <w:szCs w:val="22"/>
        </w:rPr>
        <w:t>: Podání přípravku v </w:t>
      </w:r>
      <w:proofErr w:type="spellStart"/>
      <w:r w:rsidRPr="00DC16A8">
        <w:rPr>
          <w:bCs/>
          <w:sz w:val="22"/>
          <w:szCs w:val="22"/>
        </w:rPr>
        <w:t>preanestezii</w:t>
      </w:r>
      <w:proofErr w:type="spellEnd"/>
      <w:r w:rsidRPr="00DC16A8">
        <w:rPr>
          <w:bCs/>
          <w:sz w:val="22"/>
          <w:szCs w:val="22"/>
        </w:rPr>
        <w:t xml:space="preserve"> snižuje dávku celkových anestetik, zejména </w:t>
      </w:r>
      <w:proofErr w:type="spellStart"/>
      <w:r w:rsidRPr="00DC16A8">
        <w:rPr>
          <w:bCs/>
          <w:sz w:val="22"/>
          <w:szCs w:val="22"/>
        </w:rPr>
        <w:t>thiopentalu</w:t>
      </w:r>
      <w:proofErr w:type="spellEnd"/>
      <w:r w:rsidRPr="00DC16A8">
        <w:rPr>
          <w:bCs/>
          <w:sz w:val="22"/>
          <w:szCs w:val="22"/>
        </w:rPr>
        <w:t xml:space="preserve"> sodného. Přípravek je podáván jako součást anestetického protokolu v kombinaci s </w:t>
      </w:r>
      <w:proofErr w:type="spellStart"/>
      <w:r w:rsidRPr="00DC16A8">
        <w:rPr>
          <w:bCs/>
          <w:sz w:val="22"/>
          <w:szCs w:val="22"/>
        </w:rPr>
        <w:t>medetomidin</w:t>
      </w:r>
      <w:proofErr w:type="spellEnd"/>
      <w:r w:rsidRPr="00DC16A8">
        <w:rPr>
          <w:bCs/>
          <w:sz w:val="22"/>
          <w:szCs w:val="22"/>
        </w:rPr>
        <w:t xml:space="preserve"> </w:t>
      </w:r>
      <w:proofErr w:type="spellStart"/>
      <w:r w:rsidRPr="00DC16A8">
        <w:rPr>
          <w:bCs/>
          <w:sz w:val="22"/>
          <w:szCs w:val="22"/>
        </w:rPr>
        <w:t>hydrochloridem</w:t>
      </w:r>
      <w:proofErr w:type="spellEnd"/>
      <w:r w:rsidRPr="00DC16A8">
        <w:rPr>
          <w:bCs/>
          <w:sz w:val="22"/>
          <w:szCs w:val="22"/>
        </w:rPr>
        <w:t xml:space="preserve"> a </w:t>
      </w:r>
      <w:proofErr w:type="spellStart"/>
      <w:r w:rsidRPr="00DC16A8">
        <w:rPr>
          <w:bCs/>
          <w:sz w:val="22"/>
          <w:szCs w:val="22"/>
        </w:rPr>
        <w:t>ketaminem</w:t>
      </w:r>
      <w:proofErr w:type="spellEnd"/>
      <w:r w:rsidRPr="00DC16A8">
        <w:rPr>
          <w:bCs/>
          <w:sz w:val="22"/>
          <w:szCs w:val="22"/>
        </w:rPr>
        <w:t>.</w:t>
      </w:r>
    </w:p>
    <w:p w:rsidR="00112103" w:rsidRPr="00DC16A8" w:rsidRDefault="00112103" w:rsidP="00112103">
      <w:pPr>
        <w:outlineLvl w:val="3"/>
        <w:rPr>
          <w:bCs/>
          <w:sz w:val="22"/>
          <w:szCs w:val="22"/>
        </w:rPr>
      </w:pPr>
    </w:p>
    <w:p w:rsidR="00112103" w:rsidRPr="00DC16A8" w:rsidRDefault="00112103" w:rsidP="00112103">
      <w:pPr>
        <w:outlineLvl w:val="3"/>
        <w:rPr>
          <w:bCs/>
          <w:sz w:val="22"/>
          <w:szCs w:val="22"/>
        </w:rPr>
      </w:pPr>
      <w:r w:rsidRPr="00DC16A8">
        <w:rPr>
          <w:bCs/>
          <w:sz w:val="22"/>
          <w:szCs w:val="22"/>
        </w:rPr>
        <w:t>KOČKA:</w:t>
      </w:r>
    </w:p>
    <w:p w:rsidR="00112103" w:rsidRPr="000772EC" w:rsidRDefault="00112103" w:rsidP="00112103">
      <w:pPr>
        <w:jc w:val="both"/>
        <w:outlineLvl w:val="3"/>
        <w:rPr>
          <w:bCs/>
          <w:sz w:val="22"/>
          <w:szCs w:val="22"/>
        </w:rPr>
      </w:pPr>
      <w:r w:rsidRPr="00DC16A8">
        <w:rPr>
          <w:bCs/>
          <w:sz w:val="22"/>
          <w:szCs w:val="22"/>
          <w:u w:val="single"/>
        </w:rPr>
        <w:t>Analgetikum:</w:t>
      </w:r>
      <w:r w:rsidRPr="00DC16A8">
        <w:rPr>
          <w:bCs/>
          <w:sz w:val="22"/>
          <w:szCs w:val="22"/>
        </w:rPr>
        <w:t xml:space="preserve"> Tlumení mírné až silné bolesti související s operačními postupy, zejména s kastrací, ortopedickými operacemi nebo operacemi měkkých tkání.</w:t>
      </w:r>
    </w:p>
    <w:p w:rsidR="00112103" w:rsidRPr="000772EC" w:rsidRDefault="00112103" w:rsidP="00112103">
      <w:pPr>
        <w:jc w:val="both"/>
        <w:outlineLvl w:val="3"/>
        <w:rPr>
          <w:bCs/>
          <w:sz w:val="22"/>
          <w:szCs w:val="22"/>
        </w:rPr>
      </w:pPr>
      <w:r w:rsidRPr="000772EC">
        <w:rPr>
          <w:bCs/>
          <w:sz w:val="22"/>
          <w:szCs w:val="22"/>
          <w:u w:val="single"/>
        </w:rPr>
        <w:t>Sedativum</w:t>
      </w:r>
      <w:r w:rsidRPr="000772EC">
        <w:rPr>
          <w:bCs/>
          <w:sz w:val="22"/>
          <w:szCs w:val="22"/>
        </w:rPr>
        <w:t>: V kombinaci s </w:t>
      </w:r>
      <w:proofErr w:type="spellStart"/>
      <w:r w:rsidRPr="000772EC">
        <w:rPr>
          <w:bCs/>
          <w:sz w:val="22"/>
          <w:szCs w:val="22"/>
        </w:rPr>
        <w:t>medetomidin</w:t>
      </w:r>
      <w:proofErr w:type="spellEnd"/>
      <w:r w:rsidRPr="000772EC">
        <w:rPr>
          <w:bCs/>
          <w:sz w:val="22"/>
          <w:szCs w:val="22"/>
        </w:rPr>
        <w:t xml:space="preserve"> </w:t>
      </w:r>
      <w:proofErr w:type="spellStart"/>
      <w:r w:rsidRPr="000772EC">
        <w:rPr>
          <w:bCs/>
          <w:sz w:val="22"/>
          <w:szCs w:val="22"/>
        </w:rPr>
        <w:t>hydrochloridem</w:t>
      </w:r>
      <w:proofErr w:type="spellEnd"/>
      <w:r w:rsidRPr="000772EC">
        <w:rPr>
          <w:bCs/>
          <w:sz w:val="22"/>
          <w:szCs w:val="22"/>
        </w:rPr>
        <w:t>.</w:t>
      </w:r>
    </w:p>
    <w:p w:rsidR="00112103" w:rsidRPr="000772EC" w:rsidRDefault="00112103" w:rsidP="00112103">
      <w:pPr>
        <w:jc w:val="both"/>
        <w:outlineLvl w:val="3"/>
        <w:rPr>
          <w:bCs/>
          <w:sz w:val="22"/>
          <w:szCs w:val="22"/>
        </w:rPr>
      </w:pPr>
      <w:proofErr w:type="spellStart"/>
      <w:r w:rsidRPr="000772EC">
        <w:rPr>
          <w:bCs/>
          <w:sz w:val="22"/>
          <w:szCs w:val="22"/>
          <w:u w:val="single"/>
        </w:rPr>
        <w:t>Preanestetikum</w:t>
      </w:r>
      <w:proofErr w:type="spellEnd"/>
      <w:r w:rsidRPr="000772EC">
        <w:rPr>
          <w:bCs/>
          <w:sz w:val="22"/>
          <w:szCs w:val="22"/>
          <w:u w:val="single"/>
        </w:rPr>
        <w:t>:</w:t>
      </w:r>
      <w:r w:rsidRPr="000772EC">
        <w:rPr>
          <w:bCs/>
          <w:sz w:val="22"/>
          <w:szCs w:val="22"/>
        </w:rPr>
        <w:t xml:space="preserve"> Podání přípravku v </w:t>
      </w:r>
      <w:proofErr w:type="spellStart"/>
      <w:r w:rsidRPr="000772EC">
        <w:rPr>
          <w:bCs/>
          <w:sz w:val="22"/>
          <w:szCs w:val="22"/>
        </w:rPr>
        <w:t>preanestezii</w:t>
      </w:r>
      <w:proofErr w:type="spellEnd"/>
      <w:r w:rsidRPr="000772EC">
        <w:rPr>
          <w:bCs/>
          <w:sz w:val="22"/>
          <w:szCs w:val="22"/>
        </w:rPr>
        <w:t xml:space="preserve"> snižuje dávku celkových anestetik, zejména </w:t>
      </w:r>
      <w:proofErr w:type="spellStart"/>
      <w:r w:rsidRPr="000772EC">
        <w:rPr>
          <w:bCs/>
          <w:sz w:val="22"/>
          <w:szCs w:val="22"/>
        </w:rPr>
        <w:t>thiopentalu</w:t>
      </w:r>
      <w:proofErr w:type="spellEnd"/>
      <w:r w:rsidRPr="000772EC">
        <w:rPr>
          <w:bCs/>
          <w:sz w:val="22"/>
          <w:szCs w:val="22"/>
        </w:rPr>
        <w:t xml:space="preserve"> sodného. Přípravek je podáván jako součást anestetického protokolu v kombinaci s </w:t>
      </w:r>
      <w:proofErr w:type="spellStart"/>
      <w:r w:rsidRPr="000772EC">
        <w:rPr>
          <w:bCs/>
          <w:sz w:val="22"/>
          <w:szCs w:val="22"/>
        </w:rPr>
        <w:t>medetomidin</w:t>
      </w:r>
      <w:proofErr w:type="spellEnd"/>
      <w:r w:rsidRPr="000772EC">
        <w:rPr>
          <w:bCs/>
          <w:sz w:val="22"/>
          <w:szCs w:val="22"/>
        </w:rPr>
        <w:t xml:space="preserve"> </w:t>
      </w:r>
      <w:proofErr w:type="spellStart"/>
      <w:r w:rsidRPr="000772EC">
        <w:rPr>
          <w:bCs/>
          <w:sz w:val="22"/>
          <w:szCs w:val="22"/>
        </w:rPr>
        <w:t>hydrochloridem</w:t>
      </w:r>
      <w:proofErr w:type="spellEnd"/>
      <w:r w:rsidRPr="000772EC">
        <w:rPr>
          <w:bCs/>
          <w:sz w:val="22"/>
          <w:szCs w:val="22"/>
        </w:rPr>
        <w:t xml:space="preserve"> a </w:t>
      </w:r>
      <w:proofErr w:type="spellStart"/>
      <w:r w:rsidRPr="000772EC">
        <w:rPr>
          <w:bCs/>
          <w:sz w:val="22"/>
          <w:szCs w:val="22"/>
        </w:rPr>
        <w:t>ketaminem</w:t>
      </w:r>
      <w:proofErr w:type="spellEnd"/>
      <w:r w:rsidRPr="000772EC">
        <w:rPr>
          <w:bCs/>
          <w:sz w:val="22"/>
          <w:szCs w:val="22"/>
        </w:rPr>
        <w:t>.</w:t>
      </w:r>
    </w:p>
    <w:p w:rsidR="00112103" w:rsidRPr="000772EC" w:rsidRDefault="00112103" w:rsidP="00112103">
      <w:pPr>
        <w:jc w:val="both"/>
        <w:outlineLvl w:val="3"/>
        <w:rPr>
          <w:bCs/>
          <w:sz w:val="22"/>
          <w:szCs w:val="22"/>
        </w:rPr>
      </w:pPr>
    </w:p>
    <w:p w:rsidR="00112103" w:rsidRPr="000772EC" w:rsidRDefault="00112103" w:rsidP="00112103">
      <w:pPr>
        <w:ind w:left="567" w:hanging="567"/>
        <w:outlineLvl w:val="3"/>
        <w:rPr>
          <w:b/>
          <w:bCs/>
          <w:sz w:val="22"/>
          <w:szCs w:val="22"/>
        </w:rPr>
      </w:pPr>
      <w:bookmarkStart w:id="6" w:name="7"/>
      <w:r w:rsidRPr="000772EC">
        <w:rPr>
          <w:b/>
          <w:bCs/>
          <w:sz w:val="22"/>
          <w:szCs w:val="22"/>
        </w:rPr>
        <w:t>4.3</w:t>
      </w:r>
      <w:r>
        <w:rPr>
          <w:b/>
          <w:bCs/>
          <w:sz w:val="22"/>
          <w:szCs w:val="22"/>
        </w:rPr>
        <w:tab/>
      </w:r>
      <w:r w:rsidRPr="000772EC">
        <w:rPr>
          <w:b/>
          <w:bCs/>
          <w:sz w:val="22"/>
          <w:szCs w:val="22"/>
        </w:rPr>
        <w:t>Kontraindikace</w:t>
      </w:r>
      <w:bookmarkEnd w:id="6"/>
    </w:p>
    <w:p w:rsidR="00112103" w:rsidRDefault="00112103" w:rsidP="00112103">
      <w:pPr>
        <w:jc w:val="both"/>
        <w:outlineLvl w:val="3"/>
        <w:rPr>
          <w:bCs/>
          <w:sz w:val="22"/>
          <w:szCs w:val="22"/>
        </w:rPr>
      </w:pPr>
    </w:p>
    <w:p w:rsidR="00112103" w:rsidRPr="000772EC" w:rsidRDefault="00112103" w:rsidP="00112103">
      <w:pPr>
        <w:jc w:val="both"/>
        <w:outlineLvl w:val="3"/>
        <w:rPr>
          <w:bCs/>
          <w:sz w:val="22"/>
          <w:szCs w:val="22"/>
        </w:rPr>
      </w:pPr>
      <w:r w:rsidRPr="000772EC">
        <w:rPr>
          <w:bCs/>
          <w:sz w:val="22"/>
          <w:szCs w:val="22"/>
        </w:rPr>
        <w:t xml:space="preserve">Nepoužívat v případě známé přecitlivělosti na léčivou látku nebo na některou z pomocných látek. </w:t>
      </w: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Nepoužívat pro léčbu zvířat s těžkou dysfunkcí ledvin.</w:t>
      </w: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 xml:space="preserve">Použití </w:t>
      </w:r>
      <w:proofErr w:type="spellStart"/>
      <w:r w:rsidRPr="000772EC">
        <w:rPr>
          <w:sz w:val="22"/>
          <w:szCs w:val="22"/>
        </w:rPr>
        <w:t>butorfanolu</w:t>
      </w:r>
      <w:proofErr w:type="spellEnd"/>
      <w:r w:rsidRPr="000772EC">
        <w:rPr>
          <w:sz w:val="22"/>
          <w:szCs w:val="22"/>
        </w:rPr>
        <w:t xml:space="preserve"> je kontraindikováno v případě poranění mozku, přítomnost</w:t>
      </w:r>
      <w:r>
        <w:rPr>
          <w:sz w:val="22"/>
          <w:szCs w:val="22"/>
        </w:rPr>
        <w:t>i</w:t>
      </w:r>
      <w:r w:rsidRPr="000772EC">
        <w:rPr>
          <w:sz w:val="22"/>
          <w:szCs w:val="22"/>
        </w:rPr>
        <w:t xml:space="preserve"> organických lézí na mozku a u zvířat </w:t>
      </w:r>
      <w:r>
        <w:rPr>
          <w:sz w:val="22"/>
          <w:szCs w:val="22"/>
        </w:rPr>
        <w:t>s</w:t>
      </w:r>
      <w:r w:rsidRPr="000772EC">
        <w:rPr>
          <w:sz w:val="22"/>
          <w:szCs w:val="22"/>
        </w:rPr>
        <w:t xml:space="preserve"> obstrukčními onemocněními dýchacího ústrojí, srdeční dysfunkcí nebo v případě křečových stavů. </w:t>
      </w:r>
    </w:p>
    <w:p w:rsidR="00112103" w:rsidRPr="000772EC" w:rsidRDefault="00112103" w:rsidP="00112103">
      <w:pPr>
        <w:jc w:val="both"/>
        <w:outlineLvl w:val="3"/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KŮŇ:</w:t>
      </w:r>
    </w:p>
    <w:p w:rsidR="00112103" w:rsidRPr="000772EC" w:rsidRDefault="00112103" w:rsidP="00112103">
      <w:pPr>
        <w:rPr>
          <w:i/>
          <w:sz w:val="22"/>
          <w:szCs w:val="22"/>
          <w:lang w:eastAsia="nl-NL"/>
        </w:rPr>
      </w:pPr>
      <w:r w:rsidRPr="000772EC">
        <w:rPr>
          <w:i/>
          <w:sz w:val="22"/>
          <w:szCs w:val="22"/>
          <w:lang w:eastAsia="nl-NL"/>
        </w:rPr>
        <w:t>Samostatně a v kombinaci: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>Nepoužívat u zvířat s anamnézou onemocnění jater.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</w:p>
    <w:p w:rsidR="00112103" w:rsidRPr="000772EC" w:rsidRDefault="00112103" w:rsidP="00112103">
      <w:pPr>
        <w:jc w:val="both"/>
        <w:rPr>
          <w:i/>
          <w:iCs/>
          <w:sz w:val="22"/>
          <w:szCs w:val="22"/>
        </w:rPr>
      </w:pPr>
      <w:r w:rsidRPr="000772EC">
        <w:rPr>
          <w:i/>
          <w:iCs/>
          <w:sz w:val="22"/>
          <w:szCs w:val="22"/>
        </w:rPr>
        <w:t xml:space="preserve">Kombinace </w:t>
      </w:r>
      <w:proofErr w:type="spellStart"/>
      <w:r w:rsidRPr="000772EC">
        <w:rPr>
          <w:i/>
          <w:iCs/>
          <w:sz w:val="22"/>
          <w:szCs w:val="22"/>
        </w:rPr>
        <w:t>butorfanol</w:t>
      </w:r>
      <w:proofErr w:type="spellEnd"/>
      <w:r>
        <w:rPr>
          <w:i/>
          <w:iCs/>
          <w:sz w:val="22"/>
          <w:szCs w:val="22"/>
        </w:rPr>
        <w:t>/</w:t>
      </w:r>
      <w:proofErr w:type="spellStart"/>
      <w:r w:rsidRPr="000772EC">
        <w:rPr>
          <w:i/>
          <w:iCs/>
          <w:sz w:val="22"/>
          <w:szCs w:val="22"/>
        </w:rPr>
        <w:t>detomidin</w:t>
      </w:r>
      <w:proofErr w:type="spellEnd"/>
      <w:r w:rsidRPr="000772EC">
        <w:rPr>
          <w:i/>
          <w:iCs/>
          <w:sz w:val="22"/>
          <w:szCs w:val="22"/>
        </w:rPr>
        <w:t xml:space="preserve"> </w:t>
      </w:r>
      <w:proofErr w:type="spellStart"/>
      <w:r w:rsidRPr="000772EC">
        <w:rPr>
          <w:i/>
          <w:iCs/>
          <w:sz w:val="22"/>
          <w:szCs w:val="22"/>
        </w:rPr>
        <w:t>hydrochlorid</w:t>
      </w:r>
      <w:proofErr w:type="spellEnd"/>
      <w:r w:rsidRPr="000772EC">
        <w:rPr>
          <w:i/>
          <w:iCs/>
          <w:sz w:val="22"/>
          <w:szCs w:val="22"/>
        </w:rPr>
        <w:t xml:space="preserve">: 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>Nepoužívat u zvířat s kolikou.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>Nepoužívat u zvířat se zjištěnou srdeční arytmií nebo bradykardií.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>PES</w:t>
      </w:r>
      <w:r>
        <w:rPr>
          <w:sz w:val="22"/>
          <w:szCs w:val="22"/>
        </w:rPr>
        <w:t xml:space="preserve"> a</w:t>
      </w:r>
      <w:r w:rsidRPr="000772EC">
        <w:rPr>
          <w:sz w:val="22"/>
          <w:szCs w:val="22"/>
        </w:rPr>
        <w:t xml:space="preserve"> KOČKA: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>Nepoužívat u psů a koček s anamnézou onemocnění jater.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</w:p>
    <w:p w:rsidR="00112103" w:rsidRPr="000772EC" w:rsidRDefault="00112103" w:rsidP="00112103">
      <w:pPr>
        <w:ind w:left="567" w:hanging="567"/>
        <w:outlineLvl w:val="3"/>
        <w:rPr>
          <w:b/>
          <w:bCs/>
          <w:sz w:val="22"/>
          <w:szCs w:val="22"/>
        </w:rPr>
      </w:pPr>
      <w:bookmarkStart w:id="7" w:name="8"/>
      <w:r w:rsidRPr="000772EC">
        <w:rPr>
          <w:b/>
          <w:bCs/>
          <w:sz w:val="22"/>
          <w:szCs w:val="22"/>
        </w:rPr>
        <w:t>4.4</w:t>
      </w:r>
      <w:r>
        <w:rPr>
          <w:b/>
          <w:bCs/>
          <w:sz w:val="22"/>
          <w:szCs w:val="22"/>
        </w:rPr>
        <w:tab/>
      </w:r>
      <w:r w:rsidRPr="000772EC">
        <w:rPr>
          <w:b/>
          <w:bCs/>
          <w:sz w:val="22"/>
          <w:szCs w:val="22"/>
        </w:rPr>
        <w:t xml:space="preserve">Zvláštní upozornění pro každý cílový druh </w:t>
      </w:r>
      <w:bookmarkEnd w:id="7"/>
    </w:p>
    <w:p w:rsidR="00112103" w:rsidRDefault="00112103" w:rsidP="00112103">
      <w:pPr>
        <w:tabs>
          <w:tab w:val="left" w:pos="0"/>
        </w:tabs>
        <w:rPr>
          <w:sz w:val="22"/>
          <w:szCs w:val="22"/>
        </w:rPr>
      </w:pPr>
    </w:p>
    <w:p w:rsidR="00112103" w:rsidRPr="000772EC" w:rsidRDefault="00112103" w:rsidP="00112103">
      <w:pPr>
        <w:tabs>
          <w:tab w:val="left" w:pos="0"/>
        </w:tabs>
        <w:rPr>
          <w:sz w:val="22"/>
          <w:szCs w:val="22"/>
        </w:rPr>
      </w:pPr>
      <w:proofErr w:type="spellStart"/>
      <w:r w:rsidRPr="000772EC">
        <w:rPr>
          <w:sz w:val="22"/>
          <w:szCs w:val="22"/>
        </w:rPr>
        <w:t>Butorfanol</w:t>
      </w:r>
      <w:proofErr w:type="spellEnd"/>
      <w:r w:rsidRPr="000772EC">
        <w:rPr>
          <w:sz w:val="22"/>
          <w:szCs w:val="22"/>
        </w:rPr>
        <w:t xml:space="preserve"> je určen k použití v případech, kd</w:t>
      </w:r>
      <w:r>
        <w:rPr>
          <w:sz w:val="22"/>
          <w:szCs w:val="22"/>
        </w:rPr>
        <w:t>e je požadována</w:t>
      </w:r>
      <w:r w:rsidRPr="000772EC">
        <w:rPr>
          <w:sz w:val="22"/>
          <w:szCs w:val="22"/>
        </w:rPr>
        <w:t xml:space="preserve"> krátkodob</w:t>
      </w:r>
      <w:r>
        <w:rPr>
          <w:sz w:val="22"/>
          <w:szCs w:val="22"/>
        </w:rPr>
        <w:t>á</w:t>
      </w:r>
      <w:r w:rsidRPr="000772EC">
        <w:rPr>
          <w:sz w:val="22"/>
          <w:szCs w:val="22"/>
        </w:rPr>
        <w:t xml:space="preserve"> analgezi</w:t>
      </w:r>
      <w:r>
        <w:rPr>
          <w:sz w:val="22"/>
          <w:szCs w:val="22"/>
        </w:rPr>
        <w:t>e</w:t>
      </w:r>
      <w:r w:rsidRPr="000772EC">
        <w:rPr>
          <w:sz w:val="22"/>
          <w:szCs w:val="22"/>
        </w:rPr>
        <w:t xml:space="preserve"> (koně, psi) nebo krátkodob</w:t>
      </w:r>
      <w:r>
        <w:rPr>
          <w:sz w:val="22"/>
          <w:szCs w:val="22"/>
        </w:rPr>
        <w:t>á</w:t>
      </w:r>
      <w:r w:rsidRPr="000772EC">
        <w:rPr>
          <w:sz w:val="22"/>
          <w:szCs w:val="22"/>
        </w:rPr>
        <w:t xml:space="preserve"> až střednědob</w:t>
      </w:r>
      <w:r>
        <w:rPr>
          <w:sz w:val="22"/>
          <w:szCs w:val="22"/>
        </w:rPr>
        <w:t>á</w:t>
      </w:r>
      <w:r w:rsidRPr="000772EC">
        <w:rPr>
          <w:sz w:val="22"/>
          <w:szCs w:val="22"/>
        </w:rPr>
        <w:t xml:space="preserve"> analgezi</w:t>
      </w:r>
      <w:r>
        <w:rPr>
          <w:sz w:val="22"/>
          <w:szCs w:val="22"/>
        </w:rPr>
        <w:t>e</w:t>
      </w:r>
      <w:r w:rsidRPr="000772EC">
        <w:rPr>
          <w:sz w:val="22"/>
          <w:szCs w:val="22"/>
        </w:rPr>
        <w:t xml:space="preserve"> (kočky). </w:t>
      </w:r>
    </w:p>
    <w:p w:rsidR="00112103" w:rsidRPr="000772EC" w:rsidRDefault="00112103" w:rsidP="00112103">
      <w:pPr>
        <w:tabs>
          <w:tab w:val="left" w:pos="0"/>
        </w:tabs>
        <w:rPr>
          <w:sz w:val="22"/>
          <w:szCs w:val="22"/>
        </w:rPr>
      </w:pPr>
      <w:r w:rsidRPr="000772EC">
        <w:rPr>
          <w:sz w:val="22"/>
          <w:szCs w:val="22"/>
        </w:rPr>
        <w:t xml:space="preserve">U koček může být individuální reakce na </w:t>
      </w:r>
      <w:proofErr w:type="spellStart"/>
      <w:r w:rsidRPr="000772EC">
        <w:rPr>
          <w:sz w:val="22"/>
          <w:szCs w:val="22"/>
        </w:rPr>
        <w:t>butorfanol</w:t>
      </w:r>
      <w:proofErr w:type="spellEnd"/>
      <w:r w:rsidRPr="000772EC">
        <w:rPr>
          <w:sz w:val="22"/>
          <w:szCs w:val="22"/>
        </w:rPr>
        <w:t xml:space="preserve"> různá. Při absenci adekvátní reakce na analgetikum je nutné použít jiné analgetikum. </w:t>
      </w:r>
    </w:p>
    <w:p w:rsidR="00112103" w:rsidRPr="000772EC" w:rsidRDefault="00112103" w:rsidP="00112103">
      <w:pPr>
        <w:tabs>
          <w:tab w:val="left" w:pos="0"/>
        </w:tabs>
        <w:rPr>
          <w:sz w:val="22"/>
          <w:szCs w:val="22"/>
        </w:rPr>
      </w:pPr>
      <w:r w:rsidRPr="000772EC">
        <w:rPr>
          <w:sz w:val="22"/>
          <w:szCs w:val="22"/>
        </w:rPr>
        <w:t xml:space="preserve">Zvýšení dávky u koček nezvyšuje intenzitu ani neprodlužuje dobu trvání požadovaných účinků. </w:t>
      </w:r>
      <w:r>
        <w:rPr>
          <w:sz w:val="22"/>
          <w:szCs w:val="22"/>
        </w:rPr>
        <w:t xml:space="preserve"> </w:t>
      </w:r>
    </w:p>
    <w:p w:rsidR="00112103" w:rsidRPr="000772EC" w:rsidRDefault="00112103" w:rsidP="00112103">
      <w:pPr>
        <w:outlineLvl w:val="3"/>
        <w:rPr>
          <w:bCs/>
          <w:sz w:val="22"/>
          <w:szCs w:val="22"/>
        </w:rPr>
      </w:pPr>
    </w:p>
    <w:p w:rsidR="00112103" w:rsidRPr="000772EC" w:rsidRDefault="00112103" w:rsidP="00112103">
      <w:pPr>
        <w:ind w:left="567" w:hanging="567"/>
        <w:outlineLvl w:val="3"/>
        <w:rPr>
          <w:b/>
          <w:bCs/>
          <w:sz w:val="22"/>
          <w:szCs w:val="22"/>
        </w:rPr>
      </w:pPr>
      <w:bookmarkStart w:id="8" w:name="9"/>
      <w:r w:rsidRPr="000772EC">
        <w:rPr>
          <w:b/>
          <w:bCs/>
          <w:sz w:val="22"/>
          <w:szCs w:val="22"/>
        </w:rPr>
        <w:t>4.5</w:t>
      </w:r>
      <w:r>
        <w:rPr>
          <w:b/>
          <w:bCs/>
          <w:sz w:val="22"/>
          <w:szCs w:val="22"/>
        </w:rPr>
        <w:tab/>
      </w:r>
      <w:r w:rsidRPr="000772EC">
        <w:rPr>
          <w:b/>
          <w:bCs/>
          <w:sz w:val="22"/>
          <w:szCs w:val="22"/>
        </w:rPr>
        <w:t>Zvláštní opatření pro použití</w:t>
      </w:r>
      <w:bookmarkEnd w:id="8"/>
    </w:p>
    <w:p w:rsidR="00112103" w:rsidRDefault="00112103" w:rsidP="00112103">
      <w:pPr>
        <w:rPr>
          <w:sz w:val="22"/>
          <w:szCs w:val="22"/>
          <w:u w:val="single"/>
        </w:rPr>
      </w:pP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  <w:u w:val="single"/>
        </w:rPr>
        <w:t>Zvláštní opatření pro použití u zvířat</w:t>
      </w:r>
      <w:r w:rsidRPr="000772EC">
        <w:rPr>
          <w:sz w:val="22"/>
          <w:szCs w:val="22"/>
        </w:rPr>
        <w:br/>
        <w:t>Před použitím přípravku v kombinaci s jakýmikoli jinými léčivy je potřebné zohlednit kontraindikace a upozornění uvedené v SPC těchto léčiv.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proofErr w:type="spellStart"/>
      <w:r w:rsidRPr="000772EC">
        <w:rPr>
          <w:sz w:val="22"/>
          <w:szCs w:val="22"/>
        </w:rPr>
        <w:t>Butorfanol</w:t>
      </w:r>
      <w:proofErr w:type="spellEnd"/>
      <w:r w:rsidRPr="000772EC">
        <w:rPr>
          <w:sz w:val="22"/>
          <w:szCs w:val="22"/>
        </w:rPr>
        <w:t xml:space="preserve"> je derivát morfi</w:t>
      </w:r>
      <w:r>
        <w:rPr>
          <w:sz w:val="22"/>
          <w:szCs w:val="22"/>
        </w:rPr>
        <w:t>nu,</w:t>
      </w:r>
      <w:r w:rsidRPr="000772EC">
        <w:rPr>
          <w:sz w:val="22"/>
          <w:szCs w:val="22"/>
        </w:rPr>
        <w:t xml:space="preserve"> </w:t>
      </w:r>
      <w:r>
        <w:rPr>
          <w:sz w:val="22"/>
          <w:szCs w:val="22"/>
        </w:rPr>
        <w:t>tudíž</w:t>
      </w:r>
      <w:r w:rsidRPr="000772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 </w:t>
      </w:r>
      <w:r w:rsidRPr="000772EC">
        <w:rPr>
          <w:sz w:val="22"/>
          <w:szCs w:val="22"/>
        </w:rPr>
        <w:t>opiátovou aktivit</w:t>
      </w:r>
      <w:r>
        <w:rPr>
          <w:sz w:val="22"/>
          <w:szCs w:val="22"/>
        </w:rPr>
        <w:t>ou</w:t>
      </w:r>
      <w:r w:rsidRPr="000772EC">
        <w:rPr>
          <w:sz w:val="22"/>
          <w:szCs w:val="22"/>
        </w:rPr>
        <w:t>. Nebyla stanovena bezpečnost přípravku u štěňat, koťat a hříbat. Použití přípravku u těchto skupin by mělo být založeno na zvážení terapeutického prospěchu a rizika příslušným veterinárním lékařem.</w:t>
      </w: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 xml:space="preserve">Kvůli svým antitusickým vlastnostem může </w:t>
      </w:r>
      <w:proofErr w:type="spellStart"/>
      <w:r w:rsidRPr="000772EC">
        <w:rPr>
          <w:sz w:val="22"/>
          <w:szCs w:val="22"/>
        </w:rPr>
        <w:t>butorfanol</w:t>
      </w:r>
      <w:proofErr w:type="spellEnd"/>
      <w:r w:rsidRPr="000772EC">
        <w:rPr>
          <w:sz w:val="22"/>
          <w:szCs w:val="22"/>
        </w:rPr>
        <w:t xml:space="preserve"> </w:t>
      </w:r>
      <w:r>
        <w:rPr>
          <w:sz w:val="22"/>
          <w:szCs w:val="22"/>
        </w:rPr>
        <w:t>způsobovat</w:t>
      </w:r>
      <w:r w:rsidRPr="000772EC">
        <w:rPr>
          <w:sz w:val="22"/>
          <w:szCs w:val="22"/>
        </w:rPr>
        <w:t xml:space="preserve"> hromadění hlenu v respiračním traktu. Použití </w:t>
      </w:r>
      <w:proofErr w:type="spellStart"/>
      <w:r w:rsidRPr="000772EC">
        <w:rPr>
          <w:sz w:val="22"/>
          <w:szCs w:val="22"/>
        </w:rPr>
        <w:t>butorfanolu</w:t>
      </w:r>
      <w:proofErr w:type="spellEnd"/>
      <w:r w:rsidRPr="000772EC">
        <w:rPr>
          <w:sz w:val="22"/>
          <w:szCs w:val="22"/>
        </w:rPr>
        <w:t xml:space="preserve"> u zvířat s onemocněními spojenými se zvýšenou tvorbou hlenu v respiračním </w:t>
      </w: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traktu by proto mělo být založeno na zvážení terapeutického prospěchu a rizika příslušným veterinárním lékařem.</w:t>
      </w: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  <w:r>
        <w:rPr>
          <w:sz w:val="22"/>
          <w:szCs w:val="22"/>
        </w:rPr>
        <w:t>Běžná auskultace srdce by měla být provedena před</w:t>
      </w:r>
      <w:r w:rsidRPr="000772EC">
        <w:rPr>
          <w:sz w:val="22"/>
          <w:szCs w:val="22"/>
        </w:rPr>
        <w:t xml:space="preserve"> použitím v kombinaci s α</w:t>
      </w:r>
      <w:r w:rsidRPr="00613461">
        <w:rPr>
          <w:sz w:val="22"/>
          <w:szCs w:val="22"/>
          <w:vertAlign w:val="subscript"/>
        </w:rPr>
        <w:t>2</w:t>
      </w:r>
      <w:r w:rsidRPr="000772EC">
        <w:rPr>
          <w:sz w:val="22"/>
          <w:szCs w:val="22"/>
        </w:rPr>
        <w:t>-</w:t>
      </w:r>
      <w:r w:rsidRPr="000A56A5">
        <w:rPr>
          <w:sz w:val="22"/>
          <w:szCs w:val="22"/>
        </w:rPr>
        <w:t>adrenoceptorovými agonisty</w:t>
      </w:r>
      <w:bookmarkStart w:id="9" w:name="_GoBack"/>
      <w:bookmarkEnd w:id="9"/>
      <w:r w:rsidRPr="00207D41">
        <w:rPr>
          <w:sz w:val="22"/>
          <w:szCs w:val="22"/>
        </w:rPr>
        <w:t>.</w:t>
      </w:r>
      <w:r w:rsidRPr="000772EC">
        <w:rPr>
          <w:sz w:val="22"/>
          <w:szCs w:val="22"/>
        </w:rPr>
        <w:t xml:space="preserve"> </w:t>
      </w:r>
      <w:proofErr w:type="spellStart"/>
      <w:r w:rsidRPr="000772EC">
        <w:rPr>
          <w:sz w:val="22"/>
          <w:szCs w:val="22"/>
        </w:rPr>
        <w:t>Butorfanol</w:t>
      </w:r>
      <w:proofErr w:type="spellEnd"/>
      <w:r w:rsidRPr="000772EC">
        <w:rPr>
          <w:sz w:val="22"/>
          <w:szCs w:val="22"/>
        </w:rPr>
        <w:t xml:space="preserve"> v kombinaci s α</w:t>
      </w:r>
      <w:r w:rsidRPr="00613461">
        <w:rPr>
          <w:sz w:val="22"/>
          <w:szCs w:val="22"/>
          <w:vertAlign w:val="subscript"/>
        </w:rPr>
        <w:t>2</w:t>
      </w:r>
      <w:r w:rsidRPr="000772EC">
        <w:rPr>
          <w:sz w:val="22"/>
          <w:szCs w:val="22"/>
        </w:rPr>
        <w:t>-adrenoceptor</w:t>
      </w:r>
      <w:r>
        <w:rPr>
          <w:sz w:val="22"/>
          <w:szCs w:val="22"/>
        </w:rPr>
        <w:t xml:space="preserve">ovými </w:t>
      </w:r>
      <w:r w:rsidRPr="00613461">
        <w:rPr>
          <w:sz w:val="22"/>
          <w:szCs w:val="22"/>
        </w:rPr>
        <w:t>agonisty</w:t>
      </w:r>
      <w:r w:rsidRPr="000772EC" w:rsidDel="00500EDA">
        <w:rPr>
          <w:sz w:val="22"/>
          <w:szCs w:val="22"/>
        </w:rPr>
        <w:t xml:space="preserve"> </w:t>
      </w:r>
      <w:r w:rsidRPr="000772EC">
        <w:rPr>
          <w:sz w:val="22"/>
          <w:szCs w:val="22"/>
        </w:rPr>
        <w:t>by měl být u zvířat s kardiovaskulárním onemocněním používán obezřetně. Mělo by být zváženo souběžné podání anticholinergních přípravků, např. atropinu.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KŮŇ:</w:t>
      </w:r>
      <w:r w:rsidRPr="000772EC">
        <w:rPr>
          <w:sz w:val="22"/>
          <w:szCs w:val="22"/>
        </w:rPr>
        <w:br/>
        <w:t>Použití přípravku v doporučené dávce může vést k přechodné ataxii nebo excitaci. Abyste při léčbě koní předešli poranění pacient</w:t>
      </w:r>
      <w:r>
        <w:rPr>
          <w:sz w:val="22"/>
          <w:szCs w:val="22"/>
        </w:rPr>
        <w:t>a</w:t>
      </w:r>
      <w:r w:rsidRPr="000772EC">
        <w:rPr>
          <w:sz w:val="22"/>
          <w:szCs w:val="22"/>
        </w:rPr>
        <w:t xml:space="preserve"> a ošetřujícího personálu, zvolte vhodné prostory pro podání přípravku.</w:t>
      </w: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PES: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>Intravenózní podání je třeba provádět pomalu, ne jako rychlý bolus.</w:t>
      </w: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U psů s mutací MDR1 snižte dávku o 25-50 %.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KOČKA:</w:t>
      </w:r>
    </w:p>
    <w:p w:rsidR="00112103" w:rsidRPr="000772EC" w:rsidRDefault="00112103" w:rsidP="00112103">
      <w:pPr>
        <w:spacing w:before="96" w:after="96"/>
        <w:jc w:val="both"/>
        <w:rPr>
          <w:sz w:val="22"/>
          <w:szCs w:val="22"/>
        </w:rPr>
      </w:pPr>
      <w:r w:rsidRPr="000772EC">
        <w:rPr>
          <w:sz w:val="22"/>
          <w:szCs w:val="22"/>
        </w:rPr>
        <w:lastRenderedPageBreak/>
        <w:t>Dodržujte přesn</w:t>
      </w:r>
      <w:r>
        <w:rPr>
          <w:sz w:val="22"/>
          <w:szCs w:val="22"/>
        </w:rPr>
        <w:t>ě stanovenou</w:t>
      </w:r>
      <w:r w:rsidRPr="000772EC">
        <w:rPr>
          <w:sz w:val="22"/>
          <w:szCs w:val="22"/>
        </w:rPr>
        <w:t xml:space="preserve"> dávk</w:t>
      </w:r>
      <w:r>
        <w:rPr>
          <w:sz w:val="22"/>
          <w:szCs w:val="22"/>
        </w:rPr>
        <w:t>u</w:t>
      </w:r>
      <w:r w:rsidRPr="000772EC">
        <w:rPr>
          <w:sz w:val="22"/>
          <w:szCs w:val="22"/>
        </w:rPr>
        <w:t>. Dávku podávejte na základě přesně stanovené živé hmotnosti zvířete. Pro přesné dávkování je vhodné používat injekční stříkačku s vhodnou stupnicí (např. inzulínová stříkačka).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 xml:space="preserve">Při depresi dýchání se může použít </w:t>
      </w:r>
      <w:proofErr w:type="spellStart"/>
      <w:r w:rsidRPr="000772EC">
        <w:rPr>
          <w:sz w:val="22"/>
          <w:szCs w:val="22"/>
        </w:rPr>
        <w:t>naloxon</w:t>
      </w:r>
      <w:proofErr w:type="spellEnd"/>
      <w:r w:rsidRPr="000772EC">
        <w:rPr>
          <w:sz w:val="22"/>
          <w:szCs w:val="22"/>
        </w:rPr>
        <w:t xml:space="preserve"> jako </w:t>
      </w:r>
      <w:proofErr w:type="spellStart"/>
      <w:r w:rsidRPr="000772EC">
        <w:rPr>
          <w:sz w:val="22"/>
          <w:szCs w:val="22"/>
        </w:rPr>
        <w:t>antidotum</w:t>
      </w:r>
      <w:proofErr w:type="spellEnd"/>
      <w:r w:rsidRPr="000772EC">
        <w:rPr>
          <w:sz w:val="22"/>
          <w:szCs w:val="22"/>
        </w:rPr>
        <w:t>.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</w:p>
    <w:p w:rsidR="00112103" w:rsidRPr="000772EC" w:rsidRDefault="00112103" w:rsidP="00112103">
      <w:pPr>
        <w:keepNext/>
        <w:rPr>
          <w:sz w:val="22"/>
          <w:szCs w:val="22"/>
          <w:u w:val="single"/>
        </w:rPr>
      </w:pPr>
      <w:r w:rsidRPr="000772EC">
        <w:rPr>
          <w:sz w:val="22"/>
          <w:szCs w:val="22"/>
          <w:u w:val="single"/>
        </w:rPr>
        <w:t>Zvláštní opatření určené osobám, které podávají veterinární léčivý přípravek zvířatům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Zabraňte </w:t>
      </w:r>
      <w:r w:rsidRPr="000772EC">
        <w:rPr>
          <w:sz w:val="22"/>
          <w:szCs w:val="22"/>
        </w:rPr>
        <w:t xml:space="preserve">náhodnému </w:t>
      </w:r>
      <w:proofErr w:type="spellStart"/>
      <w:r w:rsidRPr="000772EC">
        <w:rPr>
          <w:sz w:val="22"/>
          <w:szCs w:val="22"/>
        </w:rPr>
        <w:t>samopodání</w:t>
      </w:r>
      <w:proofErr w:type="spellEnd"/>
      <w:r w:rsidRPr="000772E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Používejte krytku jehly až do okamžiku podání přípravku. </w:t>
      </w:r>
      <w:r w:rsidRPr="000772EC">
        <w:rPr>
          <w:sz w:val="22"/>
          <w:szCs w:val="22"/>
        </w:rPr>
        <w:t>V případě náhodného sebepoškození injekčně aplikovaným přípravkem vyhledejte ihned lékařskou pomoc</w:t>
      </w:r>
      <w:r>
        <w:rPr>
          <w:sz w:val="22"/>
          <w:szCs w:val="22"/>
        </w:rPr>
        <w:t xml:space="preserve"> </w:t>
      </w:r>
      <w:r w:rsidRPr="000772EC">
        <w:rPr>
          <w:sz w:val="22"/>
          <w:szCs w:val="22"/>
        </w:rPr>
        <w:t xml:space="preserve">a ukažte příbalovou informaci nebo etiketu praktickému lékaři. 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>NEŘIĎTE MOTOROVÉ VOZIDLO, neboť může do</w:t>
      </w:r>
      <w:r>
        <w:rPr>
          <w:sz w:val="22"/>
          <w:szCs w:val="22"/>
        </w:rPr>
        <w:t xml:space="preserve">jít k </w:t>
      </w:r>
      <w:proofErr w:type="spellStart"/>
      <w:r w:rsidRPr="000772EC">
        <w:rPr>
          <w:sz w:val="22"/>
          <w:szCs w:val="22"/>
        </w:rPr>
        <w:t>sedac</w:t>
      </w:r>
      <w:r>
        <w:rPr>
          <w:sz w:val="22"/>
          <w:szCs w:val="22"/>
        </w:rPr>
        <w:t>i</w:t>
      </w:r>
      <w:proofErr w:type="spellEnd"/>
      <w:r w:rsidRPr="000772EC">
        <w:rPr>
          <w:sz w:val="22"/>
          <w:szCs w:val="22"/>
        </w:rPr>
        <w:t>, závra</w:t>
      </w:r>
      <w:r>
        <w:rPr>
          <w:sz w:val="22"/>
          <w:szCs w:val="22"/>
        </w:rPr>
        <w:t>ti</w:t>
      </w:r>
      <w:r w:rsidRPr="000772EC">
        <w:rPr>
          <w:sz w:val="22"/>
          <w:szCs w:val="22"/>
        </w:rPr>
        <w:t xml:space="preserve"> a dezorientac</w:t>
      </w:r>
      <w:r>
        <w:rPr>
          <w:sz w:val="22"/>
          <w:szCs w:val="22"/>
        </w:rPr>
        <w:t>i</w:t>
      </w:r>
      <w:r w:rsidRPr="000772EC">
        <w:rPr>
          <w:sz w:val="22"/>
          <w:szCs w:val="22"/>
        </w:rPr>
        <w:t xml:space="preserve">. Jako </w:t>
      </w:r>
      <w:proofErr w:type="spellStart"/>
      <w:r w:rsidRPr="000772EC">
        <w:rPr>
          <w:sz w:val="22"/>
          <w:szCs w:val="22"/>
        </w:rPr>
        <w:t>antidotum</w:t>
      </w:r>
      <w:proofErr w:type="spellEnd"/>
      <w:r w:rsidRPr="000772EC">
        <w:rPr>
          <w:sz w:val="22"/>
          <w:szCs w:val="22"/>
        </w:rPr>
        <w:t xml:space="preserve"> lze použít </w:t>
      </w:r>
      <w:proofErr w:type="spellStart"/>
      <w:r w:rsidRPr="000772EC">
        <w:rPr>
          <w:sz w:val="22"/>
          <w:szCs w:val="22"/>
        </w:rPr>
        <w:t>opioidního</w:t>
      </w:r>
      <w:proofErr w:type="spellEnd"/>
      <w:r w:rsidRPr="000772EC">
        <w:rPr>
          <w:sz w:val="22"/>
          <w:szCs w:val="22"/>
        </w:rPr>
        <w:t xml:space="preserve"> antagonistu.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Zabraňte </w:t>
      </w:r>
      <w:r w:rsidRPr="000772EC">
        <w:rPr>
          <w:sz w:val="22"/>
          <w:szCs w:val="22"/>
        </w:rPr>
        <w:t xml:space="preserve">náhodnému kontaktu přípravku s kůží a očima. V případě </w:t>
      </w:r>
      <w:r>
        <w:rPr>
          <w:sz w:val="22"/>
          <w:szCs w:val="22"/>
        </w:rPr>
        <w:t xml:space="preserve">náhodného </w:t>
      </w:r>
      <w:r w:rsidRPr="000772EC">
        <w:rPr>
          <w:sz w:val="22"/>
          <w:szCs w:val="22"/>
        </w:rPr>
        <w:t>potřísnění kůže nebo zasažení očí vypláchněte ihned velkým množstvím vody.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</w:p>
    <w:p w:rsidR="00112103" w:rsidRDefault="00112103" w:rsidP="00112103">
      <w:pPr>
        <w:ind w:left="567" w:hanging="567"/>
        <w:outlineLvl w:val="3"/>
        <w:rPr>
          <w:b/>
          <w:bCs/>
          <w:sz w:val="22"/>
          <w:szCs w:val="22"/>
        </w:rPr>
      </w:pPr>
      <w:bookmarkStart w:id="10" w:name="10"/>
      <w:r w:rsidRPr="000772EC">
        <w:rPr>
          <w:b/>
          <w:bCs/>
          <w:sz w:val="22"/>
          <w:szCs w:val="22"/>
        </w:rPr>
        <w:t>4.6</w:t>
      </w:r>
      <w:r>
        <w:rPr>
          <w:b/>
          <w:bCs/>
          <w:sz w:val="22"/>
          <w:szCs w:val="22"/>
        </w:rPr>
        <w:tab/>
      </w:r>
      <w:r w:rsidRPr="000772EC">
        <w:rPr>
          <w:b/>
          <w:bCs/>
          <w:sz w:val="22"/>
          <w:szCs w:val="22"/>
        </w:rPr>
        <w:t>Nežádoucí účinky (frekvence a závažnost)</w:t>
      </w:r>
      <w:bookmarkEnd w:id="10"/>
    </w:p>
    <w:p w:rsidR="00112103" w:rsidRPr="000772EC" w:rsidRDefault="00112103" w:rsidP="00112103">
      <w:pPr>
        <w:ind w:left="567" w:hanging="567"/>
        <w:outlineLvl w:val="3"/>
        <w:rPr>
          <w:b/>
          <w:bCs/>
          <w:sz w:val="22"/>
          <w:szCs w:val="22"/>
        </w:rPr>
      </w:pPr>
    </w:p>
    <w:p w:rsidR="00112103" w:rsidRPr="00655EAF" w:rsidRDefault="00112103" w:rsidP="00112103">
      <w:pPr>
        <w:rPr>
          <w:sz w:val="22"/>
          <w:szCs w:val="22"/>
        </w:rPr>
      </w:pPr>
      <w:r w:rsidRPr="00655EAF">
        <w:rPr>
          <w:sz w:val="22"/>
          <w:szCs w:val="22"/>
        </w:rPr>
        <w:t>VŠECHNY DRUHY</w:t>
      </w: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Ve vzácných případech může být po intramuskulárním podání v místě injekčního podání pozorována bolestivost.</w:t>
      </w:r>
    </w:p>
    <w:p w:rsidR="00112103" w:rsidRPr="000772EC" w:rsidRDefault="00112103" w:rsidP="00112103">
      <w:pPr>
        <w:jc w:val="both"/>
        <w:rPr>
          <w:i/>
          <w:iCs/>
          <w:sz w:val="22"/>
          <w:szCs w:val="22"/>
        </w:rPr>
      </w:pPr>
    </w:p>
    <w:p w:rsidR="00112103" w:rsidRPr="00C26C27" w:rsidRDefault="00112103" w:rsidP="00112103">
      <w:pPr>
        <w:jc w:val="both"/>
        <w:rPr>
          <w:sz w:val="22"/>
          <w:szCs w:val="22"/>
        </w:rPr>
      </w:pPr>
      <w:r w:rsidRPr="00655EAF">
        <w:rPr>
          <w:iCs/>
          <w:sz w:val="22"/>
          <w:szCs w:val="22"/>
        </w:rPr>
        <w:t>KŮŇ</w:t>
      </w:r>
      <w:r w:rsidRPr="00C26C27">
        <w:rPr>
          <w:sz w:val="22"/>
          <w:szCs w:val="22"/>
        </w:rPr>
        <w:t xml:space="preserve"> </w:t>
      </w: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Nejběžnějším nežádoucím účinkem je mírná ataxie, která může trvat 3 až 10 minut. V případě kombinace přípravku s </w:t>
      </w:r>
      <w:proofErr w:type="spellStart"/>
      <w:r w:rsidRPr="000772EC">
        <w:rPr>
          <w:sz w:val="22"/>
          <w:szCs w:val="22"/>
        </w:rPr>
        <w:t>detomidinem</w:t>
      </w:r>
      <w:proofErr w:type="spellEnd"/>
      <w:r w:rsidRPr="000772EC">
        <w:rPr>
          <w:sz w:val="22"/>
          <w:szCs w:val="22"/>
        </w:rPr>
        <w:t xml:space="preserve"> se může dostavit mírná až těžká ataxie, ale v klinických studiích se ukázalo, že je nepravděpodobné, aby u koní došlo k ulehnutí. Je nutno dodržovat b</w:t>
      </w:r>
      <w:r>
        <w:rPr>
          <w:sz w:val="22"/>
          <w:szCs w:val="22"/>
        </w:rPr>
        <w:t>ezpečnostní</w:t>
      </w:r>
      <w:r w:rsidRPr="000772EC">
        <w:rPr>
          <w:sz w:val="22"/>
          <w:szCs w:val="22"/>
        </w:rPr>
        <w:t xml:space="preserve"> opatření, aby bylo zabráněno poranění koní.</w:t>
      </w: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 xml:space="preserve">Ve velmi vzácných případech může mít </w:t>
      </w:r>
      <w:proofErr w:type="spellStart"/>
      <w:r w:rsidRPr="000772EC">
        <w:rPr>
          <w:sz w:val="22"/>
          <w:szCs w:val="22"/>
        </w:rPr>
        <w:t>butorfanol</w:t>
      </w:r>
      <w:proofErr w:type="spellEnd"/>
      <w:r w:rsidRPr="000772EC">
        <w:rPr>
          <w:sz w:val="22"/>
          <w:szCs w:val="22"/>
        </w:rPr>
        <w:t xml:space="preserve"> rovněž nepříznivý účinek na motilitu gastrointestinálního traktu u koní, ačkoli nedochází k ovlivnění času průchodnosti gastrointestinálního traktu. Tyto účinky jsou závislé na podané dávce a obecně jsou mírné a přechodné.</w:t>
      </w: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 xml:space="preserve">Velmi vzácně může </w:t>
      </w:r>
      <w:proofErr w:type="spellStart"/>
      <w:r w:rsidRPr="000772EC">
        <w:rPr>
          <w:sz w:val="22"/>
          <w:szCs w:val="22"/>
        </w:rPr>
        <w:t>butorfanol</w:t>
      </w:r>
      <w:proofErr w:type="spellEnd"/>
      <w:r w:rsidRPr="000772EC">
        <w:rPr>
          <w:sz w:val="22"/>
          <w:szCs w:val="22"/>
        </w:rPr>
        <w:t xml:space="preserve"> způsobit excitaci lokomočních reflexů (</w:t>
      </w:r>
      <w:proofErr w:type="spellStart"/>
      <w:r w:rsidRPr="000772EC">
        <w:rPr>
          <w:sz w:val="22"/>
          <w:szCs w:val="22"/>
        </w:rPr>
        <w:t>pacing</w:t>
      </w:r>
      <w:proofErr w:type="spellEnd"/>
      <w:r w:rsidRPr="000772EC">
        <w:rPr>
          <w:sz w:val="22"/>
          <w:szCs w:val="22"/>
        </w:rPr>
        <w:t>).</w:t>
      </w:r>
    </w:p>
    <w:p w:rsidR="00112103" w:rsidRPr="003F0517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 xml:space="preserve">Při použití v kombinaci </w:t>
      </w:r>
      <w:r w:rsidRPr="000772EC">
        <w:rPr>
          <w:sz w:val="22"/>
          <w:szCs w:val="22"/>
          <w:u w:val="single"/>
        </w:rPr>
        <w:t xml:space="preserve">s </w:t>
      </w:r>
      <w:r w:rsidRPr="000772EC">
        <w:rPr>
          <w:sz w:val="22"/>
          <w:szCs w:val="22"/>
        </w:rPr>
        <w:t>α</w:t>
      </w:r>
      <w:r w:rsidRPr="00613461">
        <w:rPr>
          <w:sz w:val="22"/>
          <w:szCs w:val="22"/>
          <w:vertAlign w:val="subscript"/>
        </w:rPr>
        <w:t>2</w:t>
      </w:r>
      <w:r w:rsidRPr="000772EC">
        <w:rPr>
          <w:sz w:val="22"/>
          <w:szCs w:val="22"/>
        </w:rPr>
        <w:t>-adrenoceptor</w:t>
      </w:r>
      <w:r>
        <w:rPr>
          <w:sz w:val="22"/>
          <w:szCs w:val="22"/>
        </w:rPr>
        <w:t xml:space="preserve">ovými </w:t>
      </w:r>
      <w:r w:rsidRPr="00613461">
        <w:rPr>
          <w:sz w:val="22"/>
          <w:szCs w:val="22"/>
        </w:rPr>
        <w:t>agonisty</w:t>
      </w:r>
      <w:r w:rsidRPr="000772EC" w:rsidDel="00500EDA">
        <w:rPr>
          <w:sz w:val="22"/>
          <w:szCs w:val="22"/>
        </w:rPr>
        <w:t xml:space="preserve"> </w:t>
      </w:r>
      <w:r w:rsidRPr="000772EC">
        <w:rPr>
          <w:sz w:val="22"/>
          <w:szCs w:val="22"/>
        </w:rPr>
        <w:t xml:space="preserve">může velmi vzácně dojít k depresi kardiopulmonálního systému. </w:t>
      </w:r>
      <w:r w:rsidRPr="00655EAF">
        <w:rPr>
          <w:sz w:val="22"/>
          <w:szCs w:val="22"/>
        </w:rPr>
        <w:t>To může mít ve vzácných případech fatální následky</w:t>
      </w:r>
      <w:r w:rsidRPr="00C26C27">
        <w:rPr>
          <w:sz w:val="22"/>
          <w:szCs w:val="22"/>
        </w:rPr>
        <w:t>.</w:t>
      </w:r>
    </w:p>
    <w:p w:rsidR="00112103" w:rsidRPr="000772EC" w:rsidRDefault="00112103" w:rsidP="00112103">
      <w:pPr>
        <w:jc w:val="both"/>
        <w:rPr>
          <w:i/>
          <w:iCs/>
          <w:sz w:val="22"/>
          <w:szCs w:val="22"/>
        </w:rPr>
      </w:pPr>
    </w:p>
    <w:p w:rsidR="00112103" w:rsidRPr="00655EAF" w:rsidRDefault="00112103" w:rsidP="00112103">
      <w:pPr>
        <w:jc w:val="both"/>
        <w:rPr>
          <w:iCs/>
          <w:sz w:val="22"/>
          <w:szCs w:val="22"/>
        </w:rPr>
      </w:pPr>
      <w:r w:rsidRPr="00655EAF">
        <w:rPr>
          <w:iCs/>
          <w:sz w:val="22"/>
          <w:szCs w:val="22"/>
        </w:rPr>
        <w:t xml:space="preserve">PES </w:t>
      </w:r>
    </w:p>
    <w:p w:rsidR="00112103" w:rsidRPr="000772EC" w:rsidRDefault="00112103" w:rsidP="00112103">
      <w:pPr>
        <w:tabs>
          <w:tab w:val="left" w:pos="360"/>
          <w:tab w:val="num" w:pos="720"/>
        </w:tabs>
        <w:rPr>
          <w:sz w:val="22"/>
          <w:szCs w:val="22"/>
        </w:rPr>
      </w:pPr>
      <w:r w:rsidRPr="000772EC">
        <w:rPr>
          <w:sz w:val="22"/>
          <w:szCs w:val="22"/>
        </w:rPr>
        <w:t xml:space="preserve">Ve vzácných případech byl hlášen výskyt přechodné </w:t>
      </w:r>
      <w:r>
        <w:rPr>
          <w:sz w:val="22"/>
          <w:szCs w:val="22"/>
        </w:rPr>
        <w:t xml:space="preserve">ataxie, anorexie a </w:t>
      </w:r>
      <w:proofErr w:type="spellStart"/>
      <w:r>
        <w:rPr>
          <w:sz w:val="22"/>
          <w:szCs w:val="22"/>
        </w:rPr>
        <w:t>diarhoei</w:t>
      </w:r>
      <w:proofErr w:type="spellEnd"/>
      <w:r>
        <w:rPr>
          <w:sz w:val="22"/>
          <w:szCs w:val="22"/>
        </w:rPr>
        <w:t>.</w:t>
      </w:r>
    </w:p>
    <w:p w:rsidR="00112103" w:rsidRPr="000772EC" w:rsidRDefault="00112103" w:rsidP="00112103">
      <w:pPr>
        <w:tabs>
          <w:tab w:val="left" w:pos="360"/>
          <w:tab w:val="num" w:pos="720"/>
        </w:tabs>
        <w:rPr>
          <w:sz w:val="22"/>
          <w:szCs w:val="22"/>
        </w:rPr>
      </w:pPr>
      <w:r w:rsidRPr="000772EC">
        <w:rPr>
          <w:sz w:val="22"/>
          <w:szCs w:val="22"/>
        </w:rPr>
        <w:t>Ve velmi vzácných případech se může dostavit deprese dechové a srdeční činnosti (projevující se snížením dechové frekvence, vývojem bradykardie a poklesem diastolického tlaku). Stupeň deprese je závislý na dávce.</w:t>
      </w:r>
    </w:p>
    <w:p w:rsidR="00112103" w:rsidRPr="000772EC" w:rsidRDefault="00112103" w:rsidP="00112103">
      <w:pPr>
        <w:tabs>
          <w:tab w:val="left" w:pos="720"/>
        </w:tabs>
        <w:jc w:val="both"/>
        <w:rPr>
          <w:sz w:val="22"/>
          <w:szCs w:val="22"/>
        </w:rPr>
      </w:pPr>
      <w:r w:rsidRPr="000772EC">
        <w:rPr>
          <w:sz w:val="22"/>
          <w:szCs w:val="22"/>
        </w:rPr>
        <w:t>Ve velmi vzácných případech může dojít ke snížení gastrointestinální motility.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</w:p>
    <w:p w:rsidR="00112103" w:rsidRPr="00655EAF" w:rsidRDefault="00112103" w:rsidP="00112103">
      <w:pPr>
        <w:jc w:val="both"/>
        <w:rPr>
          <w:iCs/>
          <w:sz w:val="22"/>
          <w:szCs w:val="22"/>
        </w:rPr>
      </w:pPr>
      <w:r w:rsidRPr="00655EAF">
        <w:rPr>
          <w:iCs/>
          <w:sz w:val="22"/>
          <w:szCs w:val="22"/>
        </w:rPr>
        <w:t xml:space="preserve">KOČKA </w:t>
      </w:r>
    </w:p>
    <w:p w:rsidR="00112103" w:rsidRPr="000772EC" w:rsidRDefault="00112103" w:rsidP="00112103">
      <w:pPr>
        <w:tabs>
          <w:tab w:val="left" w:pos="360"/>
          <w:tab w:val="num" w:pos="720"/>
        </w:tabs>
        <w:rPr>
          <w:sz w:val="22"/>
          <w:szCs w:val="22"/>
        </w:rPr>
      </w:pPr>
      <w:r w:rsidRPr="000772EC">
        <w:rPr>
          <w:sz w:val="22"/>
          <w:szCs w:val="22"/>
        </w:rPr>
        <w:t>Ve velmi vzácných případech se může dostavit deprese dýchání.</w:t>
      </w:r>
    </w:p>
    <w:p w:rsidR="00112103" w:rsidRPr="000772EC" w:rsidRDefault="00112103" w:rsidP="00112103">
      <w:pPr>
        <w:tabs>
          <w:tab w:val="left" w:pos="720"/>
        </w:tabs>
        <w:jc w:val="both"/>
        <w:rPr>
          <w:sz w:val="22"/>
          <w:szCs w:val="22"/>
        </w:rPr>
      </w:pPr>
      <w:r w:rsidRPr="000772EC">
        <w:rPr>
          <w:sz w:val="22"/>
          <w:szCs w:val="22"/>
        </w:rPr>
        <w:t xml:space="preserve">Velmi vzácně se může po podání </w:t>
      </w:r>
      <w:proofErr w:type="spellStart"/>
      <w:r w:rsidRPr="000772EC">
        <w:rPr>
          <w:sz w:val="22"/>
          <w:szCs w:val="22"/>
        </w:rPr>
        <w:t>butorfanolu</w:t>
      </w:r>
      <w:proofErr w:type="spellEnd"/>
      <w:r>
        <w:rPr>
          <w:sz w:val="22"/>
          <w:szCs w:val="22"/>
        </w:rPr>
        <w:t xml:space="preserve"> </w:t>
      </w:r>
      <w:r w:rsidRPr="000772EC">
        <w:rPr>
          <w:sz w:val="22"/>
          <w:szCs w:val="22"/>
        </w:rPr>
        <w:t>dostavit excitace, úzkost, dezorientace, dysforie a mydri</w:t>
      </w:r>
      <w:r>
        <w:rPr>
          <w:sz w:val="22"/>
          <w:szCs w:val="22"/>
        </w:rPr>
        <w:t>áz</w:t>
      </w:r>
      <w:r w:rsidRPr="000772EC">
        <w:rPr>
          <w:sz w:val="22"/>
          <w:szCs w:val="22"/>
        </w:rPr>
        <w:t>a.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Četnost nežádoucích účinků je charakterizována podle následujících pravidel:</w:t>
      </w: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- velmi časté (nežádoucí účinek (</w:t>
      </w:r>
      <w:proofErr w:type="spellStart"/>
      <w:r w:rsidRPr="000772EC">
        <w:rPr>
          <w:sz w:val="22"/>
          <w:szCs w:val="22"/>
        </w:rPr>
        <w:t>nky</w:t>
      </w:r>
      <w:proofErr w:type="spellEnd"/>
      <w:r w:rsidRPr="000772EC">
        <w:rPr>
          <w:sz w:val="22"/>
          <w:szCs w:val="22"/>
        </w:rPr>
        <w:t>) se projevil(y) u více než 1 z 10 ošetřených zvířat)</w:t>
      </w: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- časté (u více než 1, ale méně než 10 ze 100 ošetřených zvířat)</w:t>
      </w: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- neobvyklé (u více než 1, ale méně než 10 z 1000 ošetřených zvířat)</w:t>
      </w: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- vzácné (u více než 1, ale méně než 10 z 10000 ošetřených zvířat)</w:t>
      </w: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- velmi vzácné (u méně než 1 z 10000 ošetřených zvířat, včetně ojedinělých hlášení).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</w:p>
    <w:p w:rsidR="00112103" w:rsidRPr="000772EC" w:rsidRDefault="00112103" w:rsidP="00112103">
      <w:pPr>
        <w:keepNext/>
        <w:ind w:left="567" w:hanging="567"/>
        <w:outlineLvl w:val="3"/>
        <w:rPr>
          <w:b/>
          <w:bCs/>
          <w:sz w:val="22"/>
          <w:szCs w:val="22"/>
        </w:rPr>
      </w:pPr>
      <w:bookmarkStart w:id="11" w:name="11"/>
      <w:r w:rsidRPr="000772EC">
        <w:rPr>
          <w:b/>
          <w:bCs/>
          <w:sz w:val="22"/>
          <w:szCs w:val="22"/>
        </w:rPr>
        <w:t>4.7</w:t>
      </w:r>
      <w:r>
        <w:rPr>
          <w:b/>
          <w:bCs/>
          <w:sz w:val="22"/>
          <w:szCs w:val="22"/>
        </w:rPr>
        <w:tab/>
      </w:r>
      <w:r w:rsidRPr="000772EC">
        <w:rPr>
          <w:b/>
          <w:bCs/>
          <w:sz w:val="22"/>
          <w:szCs w:val="22"/>
        </w:rPr>
        <w:t xml:space="preserve">Použití přípravku v průběhu březosti, laktace nebo snášky </w:t>
      </w:r>
      <w:bookmarkEnd w:id="11"/>
    </w:p>
    <w:p w:rsidR="00112103" w:rsidRDefault="00112103" w:rsidP="00112103">
      <w:pPr>
        <w:keepNext/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 xml:space="preserve">Nebyla stanovena bezpečnost veterinárního léčivého přípravku pro použití během březosti a laktace. Použití </w:t>
      </w:r>
      <w:proofErr w:type="spellStart"/>
      <w:r w:rsidRPr="000772EC">
        <w:rPr>
          <w:sz w:val="22"/>
          <w:szCs w:val="22"/>
        </w:rPr>
        <w:t>butorfanolu</w:t>
      </w:r>
      <w:proofErr w:type="spellEnd"/>
      <w:r w:rsidRPr="000772EC">
        <w:rPr>
          <w:sz w:val="22"/>
          <w:szCs w:val="22"/>
        </w:rPr>
        <w:t xml:space="preserve"> během březosti a laktace se nedoporučuje.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</w:p>
    <w:p w:rsidR="00112103" w:rsidRPr="000772EC" w:rsidRDefault="00112103" w:rsidP="00112103">
      <w:pPr>
        <w:ind w:left="567" w:hanging="567"/>
        <w:outlineLvl w:val="3"/>
        <w:rPr>
          <w:b/>
          <w:bCs/>
          <w:sz w:val="22"/>
          <w:szCs w:val="22"/>
        </w:rPr>
      </w:pPr>
      <w:bookmarkStart w:id="12" w:name="12"/>
      <w:r w:rsidRPr="000772EC">
        <w:rPr>
          <w:b/>
          <w:bCs/>
          <w:sz w:val="22"/>
          <w:szCs w:val="22"/>
        </w:rPr>
        <w:t>4.8</w:t>
      </w:r>
      <w:r>
        <w:rPr>
          <w:b/>
          <w:bCs/>
          <w:sz w:val="22"/>
          <w:szCs w:val="22"/>
        </w:rPr>
        <w:tab/>
      </w:r>
      <w:r w:rsidRPr="000772EC">
        <w:rPr>
          <w:b/>
          <w:bCs/>
          <w:sz w:val="22"/>
          <w:szCs w:val="22"/>
        </w:rPr>
        <w:t>Interakce s dalšími léčivými přípravky a další formy interakce</w:t>
      </w:r>
      <w:bookmarkEnd w:id="12"/>
    </w:p>
    <w:p w:rsidR="00112103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 xml:space="preserve">Při použití </w:t>
      </w:r>
      <w:proofErr w:type="spellStart"/>
      <w:r w:rsidRPr="000772EC">
        <w:rPr>
          <w:sz w:val="22"/>
          <w:szCs w:val="22"/>
        </w:rPr>
        <w:t>butorfanolu</w:t>
      </w:r>
      <w:proofErr w:type="spellEnd"/>
      <w:r w:rsidRPr="000772EC">
        <w:rPr>
          <w:sz w:val="22"/>
          <w:szCs w:val="22"/>
        </w:rPr>
        <w:t xml:space="preserve"> v kombinaci </w:t>
      </w:r>
      <w:proofErr w:type="gramStart"/>
      <w:r w:rsidRPr="00DC16A8">
        <w:rPr>
          <w:sz w:val="22"/>
          <w:szCs w:val="22"/>
        </w:rPr>
        <w:t>s </w:t>
      </w:r>
      <w:r w:rsidRPr="00655EAF" w:rsidDel="00500EDA">
        <w:rPr>
          <w:sz w:val="22"/>
          <w:szCs w:val="22"/>
        </w:rPr>
        <w:t xml:space="preserve"> </w:t>
      </w:r>
      <w:r w:rsidRPr="000772EC">
        <w:rPr>
          <w:sz w:val="22"/>
          <w:szCs w:val="22"/>
        </w:rPr>
        <w:t>α</w:t>
      </w:r>
      <w:proofErr w:type="gramEnd"/>
      <w:r w:rsidRPr="00655EAF">
        <w:rPr>
          <w:sz w:val="22"/>
          <w:szCs w:val="22"/>
          <w:vertAlign w:val="subscript"/>
        </w:rPr>
        <w:t>2</w:t>
      </w:r>
      <w:r w:rsidRPr="000772EC">
        <w:rPr>
          <w:sz w:val="22"/>
          <w:szCs w:val="22"/>
        </w:rPr>
        <w:t>-adrenoceptor</w:t>
      </w:r>
      <w:r>
        <w:rPr>
          <w:sz w:val="22"/>
          <w:szCs w:val="22"/>
        </w:rPr>
        <w:t xml:space="preserve">ovými </w:t>
      </w:r>
      <w:r w:rsidRPr="00655EAF">
        <w:rPr>
          <w:sz w:val="22"/>
          <w:szCs w:val="22"/>
        </w:rPr>
        <w:t>agonisty</w:t>
      </w:r>
      <w:r w:rsidRPr="000772EC" w:rsidDel="00500EDA">
        <w:rPr>
          <w:sz w:val="22"/>
          <w:szCs w:val="22"/>
        </w:rPr>
        <w:t xml:space="preserve"> </w:t>
      </w:r>
      <w:r w:rsidRPr="000772EC">
        <w:rPr>
          <w:sz w:val="22"/>
          <w:szCs w:val="22"/>
        </w:rPr>
        <w:t>(</w:t>
      </w:r>
      <w:proofErr w:type="spellStart"/>
      <w:r w:rsidRPr="000772EC">
        <w:rPr>
          <w:sz w:val="22"/>
          <w:szCs w:val="22"/>
        </w:rPr>
        <w:t>romifidin</w:t>
      </w:r>
      <w:proofErr w:type="spellEnd"/>
      <w:r w:rsidRPr="000772EC">
        <w:rPr>
          <w:sz w:val="22"/>
          <w:szCs w:val="22"/>
        </w:rPr>
        <w:t xml:space="preserve"> nebo </w:t>
      </w:r>
      <w:proofErr w:type="spellStart"/>
      <w:r w:rsidRPr="000772EC">
        <w:rPr>
          <w:sz w:val="22"/>
          <w:szCs w:val="22"/>
        </w:rPr>
        <w:t>detomidin</w:t>
      </w:r>
      <w:proofErr w:type="spellEnd"/>
      <w:r w:rsidRPr="000772EC">
        <w:rPr>
          <w:sz w:val="22"/>
          <w:szCs w:val="22"/>
        </w:rPr>
        <w:t xml:space="preserve"> u koní, </w:t>
      </w:r>
      <w:proofErr w:type="spellStart"/>
      <w:r w:rsidRPr="000772EC">
        <w:rPr>
          <w:sz w:val="22"/>
          <w:szCs w:val="22"/>
        </w:rPr>
        <w:t>medetomidin</w:t>
      </w:r>
      <w:proofErr w:type="spellEnd"/>
      <w:r w:rsidRPr="000772EC">
        <w:rPr>
          <w:sz w:val="22"/>
          <w:szCs w:val="22"/>
        </w:rPr>
        <w:t xml:space="preserve"> u psů a koček) </w:t>
      </w:r>
      <w:r>
        <w:rPr>
          <w:sz w:val="22"/>
          <w:szCs w:val="22"/>
        </w:rPr>
        <w:t>vzniklé</w:t>
      </w:r>
      <w:r w:rsidRPr="000772EC">
        <w:rPr>
          <w:sz w:val="22"/>
          <w:szCs w:val="22"/>
        </w:rPr>
        <w:t xml:space="preserve"> synergistické účinky vyžadují snížení dávky </w:t>
      </w:r>
      <w:proofErr w:type="spellStart"/>
      <w:r w:rsidRPr="000772EC">
        <w:rPr>
          <w:sz w:val="22"/>
          <w:szCs w:val="22"/>
        </w:rPr>
        <w:t>butorfanolu</w:t>
      </w:r>
      <w:proofErr w:type="spellEnd"/>
      <w:r w:rsidRPr="000772EC">
        <w:rPr>
          <w:sz w:val="22"/>
          <w:szCs w:val="22"/>
        </w:rPr>
        <w:t xml:space="preserve"> (viz </w:t>
      </w:r>
      <w:r>
        <w:rPr>
          <w:sz w:val="22"/>
          <w:szCs w:val="22"/>
        </w:rPr>
        <w:t>bod</w:t>
      </w:r>
      <w:r w:rsidRPr="000772EC">
        <w:rPr>
          <w:sz w:val="22"/>
          <w:szCs w:val="22"/>
        </w:rPr>
        <w:t xml:space="preserve"> 4.9).</w:t>
      </w:r>
    </w:p>
    <w:p w:rsidR="00112103" w:rsidRPr="000772EC" w:rsidRDefault="00112103" w:rsidP="00112103">
      <w:pPr>
        <w:rPr>
          <w:sz w:val="22"/>
          <w:szCs w:val="22"/>
        </w:rPr>
      </w:pPr>
      <w:proofErr w:type="spellStart"/>
      <w:r w:rsidRPr="000772EC">
        <w:rPr>
          <w:sz w:val="22"/>
          <w:szCs w:val="22"/>
        </w:rPr>
        <w:t>Butorfanol</w:t>
      </w:r>
      <w:proofErr w:type="spellEnd"/>
      <w:r w:rsidRPr="000772EC">
        <w:rPr>
          <w:sz w:val="22"/>
          <w:szCs w:val="22"/>
        </w:rPr>
        <w:t xml:space="preserve"> </w:t>
      </w:r>
      <w:r>
        <w:rPr>
          <w:sz w:val="22"/>
          <w:szCs w:val="22"/>
        </w:rPr>
        <w:t>je antitusikum</w:t>
      </w:r>
      <w:r w:rsidRPr="000772EC">
        <w:rPr>
          <w:sz w:val="22"/>
          <w:szCs w:val="22"/>
        </w:rPr>
        <w:t xml:space="preserve"> a neměl by být používán v kombinaci s </w:t>
      </w:r>
      <w:r>
        <w:rPr>
          <w:sz w:val="22"/>
          <w:szCs w:val="22"/>
        </w:rPr>
        <w:t>expektorancii</w:t>
      </w:r>
      <w:r w:rsidRPr="000772EC">
        <w:rPr>
          <w:sz w:val="22"/>
          <w:szCs w:val="22"/>
        </w:rPr>
        <w:t xml:space="preserve">, protože to </w:t>
      </w:r>
      <w:r>
        <w:rPr>
          <w:sz w:val="22"/>
          <w:szCs w:val="22"/>
        </w:rPr>
        <w:t xml:space="preserve">může </w:t>
      </w:r>
      <w:r w:rsidRPr="000772EC">
        <w:rPr>
          <w:sz w:val="22"/>
          <w:szCs w:val="22"/>
        </w:rPr>
        <w:t>vést k hromadění hlenu v dýchacích cestách.</w:t>
      </w:r>
    </w:p>
    <w:p w:rsidR="00112103" w:rsidRPr="00655EAF" w:rsidRDefault="00112103" w:rsidP="00112103">
      <w:pPr>
        <w:widowControl w:val="0"/>
        <w:tabs>
          <w:tab w:val="left" w:pos="708"/>
        </w:tabs>
        <w:jc w:val="both"/>
        <w:rPr>
          <w:b/>
          <w:color w:val="000000"/>
          <w:sz w:val="22"/>
          <w:szCs w:val="22"/>
        </w:rPr>
      </w:pPr>
      <w:r w:rsidRPr="00655EAF">
        <w:rPr>
          <w:color w:val="000000"/>
          <w:sz w:val="22"/>
          <w:szCs w:val="22"/>
        </w:rPr>
        <w:t>Vzhledem ke svým antagonistic</w:t>
      </w:r>
      <w:r>
        <w:rPr>
          <w:color w:val="000000"/>
          <w:sz w:val="22"/>
          <w:szCs w:val="22"/>
        </w:rPr>
        <w:t>kým vlastnostem na opiátovém µ-</w:t>
      </w:r>
      <w:proofErr w:type="spellStart"/>
      <w:r w:rsidRPr="00655EAF">
        <w:rPr>
          <w:color w:val="000000"/>
          <w:sz w:val="22"/>
          <w:szCs w:val="22"/>
        </w:rPr>
        <w:t>opioidním</w:t>
      </w:r>
      <w:proofErr w:type="spellEnd"/>
      <w:r w:rsidRPr="00655EAF">
        <w:rPr>
          <w:color w:val="000000"/>
          <w:sz w:val="22"/>
          <w:szCs w:val="22"/>
        </w:rPr>
        <w:t xml:space="preserve"> receptoru může </w:t>
      </w:r>
      <w:proofErr w:type="spellStart"/>
      <w:r w:rsidRPr="00655EAF">
        <w:rPr>
          <w:color w:val="000000"/>
          <w:sz w:val="22"/>
          <w:szCs w:val="22"/>
        </w:rPr>
        <w:t>butorfanol</w:t>
      </w:r>
      <w:proofErr w:type="spellEnd"/>
      <w:r w:rsidRPr="00655EAF">
        <w:rPr>
          <w:color w:val="000000"/>
          <w:sz w:val="22"/>
          <w:szCs w:val="22"/>
        </w:rPr>
        <w:t xml:space="preserve"> potlačit analgetický účinek u zvířat, která již dostávala čisté µ-</w:t>
      </w:r>
      <w:proofErr w:type="spellStart"/>
      <w:r w:rsidRPr="00655EAF">
        <w:rPr>
          <w:color w:val="000000"/>
          <w:sz w:val="22"/>
          <w:szCs w:val="22"/>
        </w:rPr>
        <w:t>opioidové</w:t>
      </w:r>
      <w:proofErr w:type="spellEnd"/>
      <w:r w:rsidRPr="00655EAF">
        <w:rPr>
          <w:color w:val="000000"/>
          <w:sz w:val="22"/>
          <w:szCs w:val="22"/>
        </w:rPr>
        <w:t xml:space="preserve"> agonisty.</w:t>
      </w:r>
    </w:p>
    <w:p w:rsidR="00112103" w:rsidRDefault="00112103" w:rsidP="00112103">
      <w:pPr>
        <w:widowControl w:val="0"/>
        <w:tabs>
          <w:tab w:val="left" w:pos="708"/>
        </w:tabs>
        <w:jc w:val="both"/>
        <w:rPr>
          <w:b/>
          <w:color w:val="000000"/>
        </w:rPr>
      </w:pP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Při sou</w:t>
      </w:r>
      <w:r>
        <w:rPr>
          <w:sz w:val="22"/>
          <w:szCs w:val="22"/>
        </w:rPr>
        <w:t>běžném</w:t>
      </w:r>
      <w:r w:rsidRPr="000772EC">
        <w:rPr>
          <w:sz w:val="22"/>
          <w:szCs w:val="22"/>
        </w:rPr>
        <w:t xml:space="preserve"> použití </w:t>
      </w:r>
      <w:r>
        <w:rPr>
          <w:sz w:val="22"/>
          <w:szCs w:val="22"/>
        </w:rPr>
        <w:t xml:space="preserve">jiných </w:t>
      </w:r>
      <w:r w:rsidRPr="000772EC">
        <w:rPr>
          <w:sz w:val="22"/>
          <w:szCs w:val="22"/>
        </w:rPr>
        <w:t>depresorů centrálního nervového systému lze očekávat, že dojde k </w:t>
      </w:r>
      <w:proofErr w:type="spellStart"/>
      <w:r w:rsidRPr="000772EC">
        <w:rPr>
          <w:sz w:val="22"/>
          <w:szCs w:val="22"/>
        </w:rPr>
        <w:t>potenciaci</w:t>
      </w:r>
      <w:proofErr w:type="spellEnd"/>
      <w:r w:rsidRPr="000772EC">
        <w:rPr>
          <w:sz w:val="22"/>
          <w:szCs w:val="22"/>
        </w:rPr>
        <w:t xml:space="preserve"> účinků </w:t>
      </w:r>
      <w:proofErr w:type="spellStart"/>
      <w:r w:rsidRPr="000772EC">
        <w:rPr>
          <w:sz w:val="22"/>
          <w:szCs w:val="22"/>
        </w:rPr>
        <w:t>butorfanolu</w:t>
      </w:r>
      <w:proofErr w:type="spellEnd"/>
      <w:r w:rsidRPr="000772EC">
        <w:rPr>
          <w:sz w:val="22"/>
          <w:szCs w:val="22"/>
        </w:rPr>
        <w:t>. Takové přípravky musejí být používány opatrně. Při sou</w:t>
      </w:r>
      <w:r>
        <w:rPr>
          <w:sz w:val="22"/>
          <w:szCs w:val="22"/>
        </w:rPr>
        <w:t>běž</w:t>
      </w:r>
      <w:r w:rsidRPr="000772EC">
        <w:rPr>
          <w:sz w:val="22"/>
          <w:szCs w:val="22"/>
        </w:rPr>
        <w:t xml:space="preserve">ném podání s těmito látkami by měla být použita snížená dávka </w:t>
      </w:r>
      <w:proofErr w:type="spellStart"/>
      <w:r w:rsidRPr="000772EC">
        <w:rPr>
          <w:sz w:val="22"/>
          <w:szCs w:val="22"/>
        </w:rPr>
        <w:t>butorfanolu</w:t>
      </w:r>
      <w:proofErr w:type="spellEnd"/>
      <w:r w:rsidRPr="000772EC">
        <w:rPr>
          <w:sz w:val="22"/>
          <w:szCs w:val="22"/>
        </w:rPr>
        <w:t>.</w:t>
      </w:r>
    </w:p>
    <w:p w:rsidR="00112103" w:rsidRPr="000772EC" w:rsidRDefault="00112103" w:rsidP="00112103">
      <w:pPr>
        <w:tabs>
          <w:tab w:val="left" w:pos="360"/>
          <w:tab w:val="left" w:pos="900"/>
          <w:tab w:val="left" w:pos="1440"/>
        </w:tabs>
        <w:adjustRightInd w:val="0"/>
        <w:jc w:val="both"/>
        <w:rPr>
          <w:sz w:val="22"/>
          <w:szCs w:val="22"/>
        </w:rPr>
      </w:pPr>
    </w:p>
    <w:p w:rsidR="00112103" w:rsidRPr="000772EC" w:rsidRDefault="00112103" w:rsidP="00112103">
      <w:pPr>
        <w:ind w:left="567" w:hanging="567"/>
        <w:outlineLvl w:val="3"/>
        <w:rPr>
          <w:b/>
          <w:bCs/>
          <w:sz w:val="22"/>
          <w:szCs w:val="22"/>
        </w:rPr>
      </w:pPr>
      <w:bookmarkStart w:id="13" w:name="13"/>
      <w:r w:rsidRPr="000772EC">
        <w:rPr>
          <w:b/>
          <w:bCs/>
          <w:sz w:val="22"/>
          <w:szCs w:val="22"/>
        </w:rPr>
        <w:t>4.9</w:t>
      </w:r>
      <w:r>
        <w:rPr>
          <w:b/>
          <w:bCs/>
          <w:sz w:val="22"/>
          <w:szCs w:val="22"/>
        </w:rPr>
        <w:tab/>
      </w:r>
      <w:r w:rsidRPr="000772EC">
        <w:rPr>
          <w:b/>
          <w:bCs/>
          <w:sz w:val="22"/>
          <w:szCs w:val="22"/>
        </w:rPr>
        <w:t>Podávané množství a způsob podání</w:t>
      </w:r>
      <w:bookmarkEnd w:id="13"/>
    </w:p>
    <w:p w:rsidR="00112103" w:rsidRDefault="00112103" w:rsidP="00112103">
      <w:pPr>
        <w:jc w:val="both"/>
        <w:outlineLvl w:val="3"/>
        <w:rPr>
          <w:bCs/>
          <w:sz w:val="22"/>
          <w:szCs w:val="22"/>
        </w:rPr>
      </w:pPr>
    </w:p>
    <w:p w:rsidR="00112103" w:rsidRPr="000772EC" w:rsidRDefault="00112103" w:rsidP="00112103">
      <w:pPr>
        <w:jc w:val="both"/>
        <w:outlineLvl w:val="3"/>
        <w:rPr>
          <w:bCs/>
          <w:sz w:val="22"/>
          <w:szCs w:val="22"/>
        </w:rPr>
      </w:pPr>
      <w:r w:rsidRPr="000772EC">
        <w:rPr>
          <w:bCs/>
          <w:sz w:val="22"/>
          <w:szCs w:val="22"/>
        </w:rPr>
        <w:t>KŮŇ: Pouze intravenózní podání</w:t>
      </w:r>
    </w:p>
    <w:p w:rsidR="00112103" w:rsidRPr="000772EC" w:rsidRDefault="00112103" w:rsidP="00112103">
      <w:pPr>
        <w:jc w:val="both"/>
        <w:outlineLvl w:val="3"/>
        <w:rPr>
          <w:bCs/>
          <w:sz w:val="22"/>
          <w:szCs w:val="22"/>
        </w:rPr>
      </w:pPr>
      <w:r w:rsidRPr="000772EC">
        <w:rPr>
          <w:bCs/>
          <w:sz w:val="22"/>
          <w:szCs w:val="22"/>
        </w:rPr>
        <w:t>PES, KOČKA: Intravenózní, subkutánní nebo intramuskulární podání</w:t>
      </w:r>
    </w:p>
    <w:p w:rsidR="00112103" w:rsidRDefault="00112103" w:rsidP="00112103">
      <w:pPr>
        <w:jc w:val="both"/>
        <w:outlineLvl w:val="3"/>
        <w:rPr>
          <w:bCs/>
          <w:sz w:val="22"/>
          <w:szCs w:val="22"/>
        </w:rPr>
      </w:pPr>
      <w:r w:rsidRPr="000772EC">
        <w:rPr>
          <w:bCs/>
          <w:sz w:val="22"/>
          <w:szCs w:val="22"/>
        </w:rPr>
        <w:t>Vyvarujte se příliš rychlému i</w:t>
      </w:r>
      <w:r>
        <w:rPr>
          <w:bCs/>
          <w:sz w:val="22"/>
          <w:szCs w:val="22"/>
        </w:rPr>
        <w:t>ntravenóznímu</w:t>
      </w:r>
      <w:r w:rsidRPr="000772EC">
        <w:rPr>
          <w:bCs/>
          <w:sz w:val="22"/>
          <w:szCs w:val="22"/>
        </w:rPr>
        <w:t xml:space="preserve"> podání. Při opakovaném s</w:t>
      </w:r>
      <w:r>
        <w:rPr>
          <w:bCs/>
          <w:sz w:val="22"/>
          <w:szCs w:val="22"/>
        </w:rPr>
        <w:t>ubkutánním</w:t>
      </w:r>
      <w:r w:rsidRPr="000772EC">
        <w:rPr>
          <w:bCs/>
          <w:sz w:val="22"/>
          <w:szCs w:val="22"/>
        </w:rPr>
        <w:t xml:space="preserve"> nebo i</w:t>
      </w:r>
      <w:r>
        <w:rPr>
          <w:bCs/>
          <w:sz w:val="22"/>
          <w:szCs w:val="22"/>
        </w:rPr>
        <w:t>ntramuskulárním</w:t>
      </w:r>
      <w:r w:rsidRPr="000772EC">
        <w:rPr>
          <w:bCs/>
          <w:sz w:val="22"/>
          <w:szCs w:val="22"/>
        </w:rPr>
        <w:t xml:space="preserve"> podání aplikujte na různá místa</w:t>
      </w:r>
      <w:r>
        <w:rPr>
          <w:bCs/>
          <w:sz w:val="22"/>
          <w:szCs w:val="22"/>
        </w:rPr>
        <w:t xml:space="preserve"> injekčního podání</w:t>
      </w:r>
      <w:r w:rsidRPr="000772EC">
        <w:rPr>
          <w:bCs/>
          <w:sz w:val="22"/>
          <w:szCs w:val="22"/>
        </w:rPr>
        <w:t>.</w:t>
      </w:r>
    </w:p>
    <w:p w:rsidR="00112103" w:rsidRPr="000772EC" w:rsidRDefault="00112103" w:rsidP="00112103">
      <w:pPr>
        <w:jc w:val="both"/>
        <w:outlineLvl w:val="3"/>
        <w:rPr>
          <w:bCs/>
          <w:sz w:val="22"/>
          <w:szCs w:val="22"/>
        </w:rPr>
      </w:pPr>
    </w:p>
    <w:p w:rsidR="00112103" w:rsidRPr="000772EC" w:rsidRDefault="00112103" w:rsidP="00112103">
      <w:pPr>
        <w:spacing w:before="96" w:after="96"/>
        <w:rPr>
          <w:sz w:val="22"/>
          <w:szCs w:val="22"/>
        </w:rPr>
      </w:pPr>
      <w:r w:rsidRPr="000772EC">
        <w:rPr>
          <w:sz w:val="22"/>
          <w:szCs w:val="22"/>
        </w:rPr>
        <w:t>KŮŇ</w:t>
      </w:r>
      <w:r w:rsidRPr="000772EC">
        <w:rPr>
          <w:sz w:val="22"/>
          <w:szCs w:val="22"/>
        </w:rPr>
        <w:br/>
      </w:r>
      <w:r w:rsidRPr="000772EC">
        <w:rPr>
          <w:sz w:val="22"/>
          <w:szCs w:val="22"/>
          <w:u w:val="single"/>
        </w:rPr>
        <w:t>Jako analgetikum:</w:t>
      </w:r>
    </w:p>
    <w:p w:rsidR="00112103" w:rsidRPr="000772EC" w:rsidRDefault="00112103" w:rsidP="00112103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</w:t>
      </w:r>
      <w:r w:rsidRPr="000772EC">
        <w:rPr>
          <w:b/>
          <w:sz w:val="22"/>
          <w:szCs w:val="22"/>
        </w:rPr>
        <w:t>utorfanol</w:t>
      </w:r>
      <w:proofErr w:type="spellEnd"/>
      <w:r w:rsidRPr="000772EC">
        <w:rPr>
          <w:b/>
          <w:sz w:val="22"/>
          <w:szCs w:val="22"/>
        </w:rPr>
        <w:t xml:space="preserve"> samostatně: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>Aplikujte v dávce 0,1 mg/kg ž. hm., což odpovídá dávce 0,01 ml přípravku/kg ž. hm., tj. 1 ml/100 kg ž. hm. i</w:t>
      </w:r>
      <w:r w:rsidRPr="00112103">
        <w:rPr>
          <w:sz w:val="22"/>
          <w:szCs w:val="22"/>
        </w:rPr>
        <w:t>ntravenózně</w:t>
      </w:r>
      <w:r w:rsidRPr="000772EC">
        <w:rPr>
          <w:sz w:val="22"/>
          <w:szCs w:val="22"/>
        </w:rPr>
        <w:t>.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 xml:space="preserve">Dávku lze opakovat podle potřeby. Analgetický </w:t>
      </w:r>
      <w:r>
        <w:rPr>
          <w:sz w:val="22"/>
          <w:szCs w:val="22"/>
        </w:rPr>
        <w:t>účinek</w:t>
      </w:r>
      <w:r w:rsidRPr="000772EC">
        <w:rPr>
          <w:sz w:val="22"/>
          <w:szCs w:val="22"/>
        </w:rPr>
        <w:t xml:space="preserve"> nastupuje během 15 minut po aplikaci.</w:t>
      </w:r>
    </w:p>
    <w:p w:rsidR="00112103" w:rsidRPr="000772EC" w:rsidRDefault="00112103" w:rsidP="00112103">
      <w:pPr>
        <w:rPr>
          <w:sz w:val="22"/>
          <w:szCs w:val="22"/>
          <w:u w:val="single"/>
        </w:rPr>
      </w:pPr>
    </w:p>
    <w:p w:rsidR="00112103" w:rsidRPr="000772EC" w:rsidRDefault="00112103" w:rsidP="00112103">
      <w:pPr>
        <w:rPr>
          <w:sz w:val="22"/>
          <w:szCs w:val="22"/>
          <w:u w:val="single"/>
        </w:rPr>
      </w:pPr>
      <w:r w:rsidRPr="000772EC">
        <w:rPr>
          <w:sz w:val="22"/>
          <w:szCs w:val="22"/>
          <w:u w:val="single"/>
        </w:rPr>
        <w:t>Jako sedativum: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B</w:t>
      </w:r>
      <w:r w:rsidRPr="000772EC">
        <w:rPr>
          <w:b/>
          <w:sz w:val="22"/>
          <w:szCs w:val="22"/>
        </w:rPr>
        <w:t>utorfanol</w:t>
      </w:r>
      <w:proofErr w:type="spellEnd"/>
      <w:r w:rsidRPr="000772EC">
        <w:rPr>
          <w:b/>
          <w:sz w:val="22"/>
          <w:szCs w:val="22"/>
        </w:rPr>
        <w:t xml:space="preserve"> v kombinaci s </w:t>
      </w:r>
      <w:proofErr w:type="spellStart"/>
      <w:r w:rsidRPr="000772EC">
        <w:rPr>
          <w:b/>
          <w:sz w:val="22"/>
          <w:szCs w:val="22"/>
        </w:rPr>
        <w:t>detomidin</w:t>
      </w:r>
      <w:proofErr w:type="spellEnd"/>
      <w:r w:rsidRPr="000772EC">
        <w:rPr>
          <w:b/>
          <w:sz w:val="22"/>
          <w:szCs w:val="22"/>
        </w:rPr>
        <w:t xml:space="preserve"> </w:t>
      </w:r>
      <w:proofErr w:type="spellStart"/>
      <w:r w:rsidRPr="000772EC">
        <w:rPr>
          <w:b/>
          <w:sz w:val="22"/>
          <w:szCs w:val="22"/>
        </w:rPr>
        <w:t>hydrochloridem</w:t>
      </w:r>
      <w:proofErr w:type="spellEnd"/>
      <w:r w:rsidRPr="000772EC">
        <w:rPr>
          <w:b/>
          <w:sz w:val="22"/>
          <w:szCs w:val="22"/>
        </w:rPr>
        <w:t>:</w:t>
      </w:r>
      <w:r w:rsidRPr="000772EC">
        <w:rPr>
          <w:sz w:val="22"/>
          <w:szCs w:val="22"/>
        </w:rPr>
        <w:t xml:space="preserve"> 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 xml:space="preserve">Aplikujte </w:t>
      </w:r>
      <w:proofErr w:type="spellStart"/>
      <w:r w:rsidRPr="000772EC">
        <w:rPr>
          <w:sz w:val="22"/>
          <w:szCs w:val="22"/>
        </w:rPr>
        <w:t>detomidin</w:t>
      </w:r>
      <w:proofErr w:type="spellEnd"/>
      <w:r w:rsidRPr="000772EC">
        <w:rPr>
          <w:sz w:val="22"/>
          <w:szCs w:val="22"/>
        </w:rPr>
        <w:t xml:space="preserve"> </w:t>
      </w:r>
      <w:proofErr w:type="spellStart"/>
      <w:r w:rsidRPr="000772EC">
        <w:rPr>
          <w:sz w:val="22"/>
          <w:szCs w:val="22"/>
        </w:rPr>
        <w:t>hydrochlorid</w:t>
      </w:r>
      <w:proofErr w:type="spellEnd"/>
      <w:r w:rsidRPr="000772EC">
        <w:rPr>
          <w:sz w:val="22"/>
          <w:szCs w:val="22"/>
        </w:rPr>
        <w:t xml:space="preserve"> v dávce 0,012 mg/kg ž. hm. i</w:t>
      </w:r>
      <w:r w:rsidRPr="00112103">
        <w:rPr>
          <w:sz w:val="22"/>
          <w:szCs w:val="22"/>
        </w:rPr>
        <w:t>ntravenózně</w:t>
      </w:r>
      <w:r w:rsidRPr="000772EC">
        <w:rPr>
          <w:sz w:val="22"/>
          <w:szCs w:val="22"/>
        </w:rPr>
        <w:t xml:space="preserve">. Následně za 5 minut poté aplikujte </w:t>
      </w:r>
      <w:proofErr w:type="spellStart"/>
      <w:r w:rsidRPr="000772EC">
        <w:rPr>
          <w:sz w:val="22"/>
          <w:szCs w:val="22"/>
        </w:rPr>
        <w:t>butorfanol</w:t>
      </w:r>
      <w:proofErr w:type="spellEnd"/>
      <w:r w:rsidRPr="000772EC">
        <w:rPr>
          <w:sz w:val="22"/>
          <w:szCs w:val="22"/>
        </w:rPr>
        <w:t xml:space="preserve"> v dávce 0,025 mg/kg ž. hm., což odpovídá dávce 0,0025 ml přípravku/kg ž. hm., tj. 0,25 ml přípravku/100 kg ž. hm. i</w:t>
      </w:r>
      <w:r w:rsidRPr="00112103">
        <w:rPr>
          <w:sz w:val="22"/>
          <w:szCs w:val="22"/>
        </w:rPr>
        <w:t>ntravenózně</w:t>
      </w:r>
      <w:r w:rsidRPr="000772EC">
        <w:rPr>
          <w:sz w:val="22"/>
          <w:szCs w:val="22"/>
        </w:rPr>
        <w:t>.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B</w:t>
      </w:r>
      <w:r w:rsidRPr="000772EC">
        <w:rPr>
          <w:b/>
          <w:sz w:val="22"/>
          <w:szCs w:val="22"/>
        </w:rPr>
        <w:t>utorfanol</w:t>
      </w:r>
      <w:proofErr w:type="spellEnd"/>
      <w:r w:rsidRPr="000772EC">
        <w:rPr>
          <w:b/>
          <w:sz w:val="22"/>
          <w:szCs w:val="22"/>
        </w:rPr>
        <w:t xml:space="preserve"> v kombinaci s </w:t>
      </w:r>
      <w:proofErr w:type="spellStart"/>
      <w:r w:rsidRPr="000772EC">
        <w:rPr>
          <w:b/>
          <w:sz w:val="22"/>
          <w:szCs w:val="22"/>
        </w:rPr>
        <w:t>romifidinem</w:t>
      </w:r>
      <w:proofErr w:type="spellEnd"/>
      <w:r w:rsidRPr="000772EC">
        <w:rPr>
          <w:b/>
          <w:sz w:val="22"/>
          <w:szCs w:val="22"/>
        </w:rPr>
        <w:t>:</w:t>
      </w:r>
      <w:r w:rsidRPr="000772EC">
        <w:rPr>
          <w:sz w:val="22"/>
          <w:szCs w:val="22"/>
        </w:rPr>
        <w:t xml:space="preserve"> 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 xml:space="preserve">Aplikujte </w:t>
      </w:r>
      <w:proofErr w:type="spellStart"/>
      <w:r w:rsidRPr="000772EC">
        <w:rPr>
          <w:sz w:val="22"/>
          <w:szCs w:val="22"/>
        </w:rPr>
        <w:t>romifidin</w:t>
      </w:r>
      <w:proofErr w:type="spellEnd"/>
      <w:r w:rsidRPr="000772EC">
        <w:rPr>
          <w:sz w:val="22"/>
          <w:szCs w:val="22"/>
        </w:rPr>
        <w:t xml:space="preserve"> v dávce 0,04-0,12 mg/kg ž. hm. i</w:t>
      </w:r>
      <w:r w:rsidRPr="00112103">
        <w:rPr>
          <w:sz w:val="22"/>
          <w:szCs w:val="22"/>
        </w:rPr>
        <w:t>ntravenózně</w:t>
      </w:r>
      <w:r w:rsidRPr="000772EC">
        <w:rPr>
          <w:sz w:val="22"/>
          <w:szCs w:val="22"/>
        </w:rPr>
        <w:t xml:space="preserve">. Následně za 5 minut aplikujte </w:t>
      </w:r>
      <w:proofErr w:type="spellStart"/>
      <w:r w:rsidRPr="000772EC">
        <w:rPr>
          <w:sz w:val="22"/>
          <w:szCs w:val="22"/>
        </w:rPr>
        <w:t>butorfanol</w:t>
      </w:r>
      <w:proofErr w:type="spellEnd"/>
      <w:r w:rsidRPr="000772EC">
        <w:rPr>
          <w:sz w:val="22"/>
          <w:szCs w:val="22"/>
        </w:rPr>
        <w:t xml:space="preserve"> v dávce 0,02 mg/kg ž. hm., což odpovídá dávce 0,002 ml přípravku/kg ž. hm., tj. 0,2 ml přípravku/100 kg ž. hm. i</w:t>
      </w:r>
      <w:r w:rsidRPr="00112103">
        <w:rPr>
          <w:sz w:val="22"/>
          <w:szCs w:val="22"/>
        </w:rPr>
        <w:t>ntravenózně</w:t>
      </w:r>
      <w:r w:rsidRPr="000772EC">
        <w:rPr>
          <w:sz w:val="22"/>
          <w:szCs w:val="22"/>
        </w:rPr>
        <w:t>.</w:t>
      </w:r>
    </w:p>
    <w:p w:rsidR="00112103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PES</w:t>
      </w:r>
    </w:p>
    <w:p w:rsidR="00112103" w:rsidRPr="000772EC" w:rsidRDefault="00112103" w:rsidP="00112103">
      <w:pPr>
        <w:rPr>
          <w:sz w:val="22"/>
          <w:szCs w:val="22"/>
          <w:u w:val="single"/>
        </w:rPr>
      </w:pPr>
      <w:r w:rsidRPr="000772EC">
        <w:rPr>
          <w:sz w:val="22"/>
          <w:szCs w:val="22"/>
          <w:u w:val="single"/>
        </w:rPr>
        <w:t>Jako analgetikum:</w:t>
      </w:r>
    </w:p>
    <w:p w:rsidR="00112103" w:rsidRPr="000772EC" w:rsidRDefault="00112103" w:rsidP="00112103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</w:t>
      </w:r>
      <w:r w:rsidRPr="000772EC">
        <w:rPr>
          <w:b/>
          <w:sz w:val="22"/>
          <w:szCs w:val="22"/>
        </w:rPr>
        <w:t>utorfanol</w:t>
      </w:r>
      <w:proofErr w:type="spellEnd"/>
      <w:r w:rsidRPr="000772EC">
        <w:rPr>
          <w:b/>
          <w:sz w:val="22"/>
          <w:szCs w:val="22"/>
        </w:rPr>
        <w:t xml:space="preserve"> samostatně:</w:t>
      </w: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Aplikujte v dávce 0,2-0,3 mg/kg ž. hm., což odpovídá dávce 0,02-0,03 ml přípravku/kg ž. hm., tj. 0,2-0,3 ml přípravku/10 kg ž. hm. i</w:t>
      </w:r>
      <w:r w:rsidRPr="00112103">
        <w:rPr>
          <w:sz w:val="22"/>
          <w:szCs w:val="22"/>
        </w:rPr>
        <w:t>ntravenózně</w:t>
      </w:r>
      <w:r w:rsidRPr="000772EC">
        <w:rPr>
          <w:sz w:val="22"/>
          <w:szCs w:val="22"/>
        </w:rPr>
        <w:t>, i</w:t>
      </w:r>
      <w:r w:rsidRPr="00112103">
        <w:rPr>
          <w:sz w:val="22"/>
          <w:szCs w:val="22"/>
        </w:rPr>
        <w:t>ntramuskulárně</w:t>
      </w:r>
      <w:r w:rsidRPr="000772EC">
        <w:rPr>
          <w:sz w:val="22"/>
          <w:szCs w:val="22"/>
        </w:rPr>
        <w:t xml:space="preserve"> nebo s</w:t>
      </w:r>
      <w:r w:rsidRPr="00112103">
        <w:rPr>
          <w:sz w:val="22"/>
          <w:szCs w:val="22"/>
        </w:rPr>
        <w:t>ubkutánně</w:t>
      </w:r>
      <w:r w:rsidRPr="000772EC">
        <w:rPr>
          <w:sz w:val="22"/>
          <w:szCs w:val="22"/>
        </w:rPr>
        <w:t>.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 xml:space="preserve">Přípravek aplikujte 15 minut před ukončením anestezie, aby </w:t>
      </w:r>
      <w:r>
        <w:rPr>
          <w:sz w:val="22"/>
          <w:szCs w:val="22"/>
        </w:rPr>
        <w:t>byl zajištěn</w:t>
      </w:r>
      <w:r w:rsidRPr="000772EC">
        <w:rPr>
          <w:sz w:val="22"/>
          <w:szCs w:val="22"/>
        </w:rPr>
        <w:t> analgetick</w:t>
      </w:r>
      <w:r>
        <w:rPr>
          <w:sz w:val="22"/>
          <w:szCs w:val="22"/>
        </w:rPr>
        <w:t>ý</w:t>
      </w:r>
      <w:r w:rsidRPr="000772EC">
        <w:rPr>
          <w:sz w:val="22"/>
          <w:szCs w:val="22"/>
        </w:rPr>
        <w:t xml:space="preserve"> účin</w:t>
      </w:r>
      <w:r>
        <w:rPr>
          <w:sz w:val="22"/>
          <w:szCs w:val="22"/>
        </w:rPr>
        <w:t>e</w:t>
      </w:r>
      <w:r w:rsidRPr="000772EC">
        <w:rPr>
          <w:sz w:val="22"/>
          <w:szCs w:val="22"/>
        </w:rPr>
        <w:t>k ve fázi zotavení. Analgetický účinek lze pozorovat během 15 minut. Při kontinuální analgezii lze opakovat dávku přípravku podle potřeby.</w:t>
      </w:r>
    </w:p>
    <w:p w:rsidR="00112103" w:rsidRDefault="00112103" w:rsidP="00112103">
      <w:pPr>
        <w:rPr>
          <w:sz w:val="22"/>
          <w:szCs w:val="22"/>
          <w:u w:val="single"/>
        </w:rPr>
      </w:pPr>
    </w:p>
    <w:p w:rsidR="00112103" w:rsidRPr="000772EC" w:rsidRDefault="00112103" w:rsidP="00112103">
      <w:pPr>
        <w:rPr>
          <w:b/>
          <w:sz w:val="22"/>
          <w:szCs w:val="22"/>
        </w:rPr>
      </w:pPr>
      <w:r w:rsidRPr="000772EC">
        <w:rPr>
          <w:sz w:val="22"/>
          <w:szCs w:val="22"/>
          <w:u w:val="single"/>
        </w:rPr>
        <w:t>Jako sedativum: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B</w:t>
      </w:r>
      <w:r w:rsidRPr="000772EC">
        <w:rPr>
          <w:b/>
          <w:sz w:val="22"/>
          <w:szCs w:val="22"/>
        </w:rPr>
        <w:t>utorfanol</w:t>
      </w:r>
      <w:proofErr w:type="spellEnd"/>
      <w:r w:rsidRPr="000772EC">
        <w:rPr>
          <w:b/>
          <w:sz w:val="22"/>
          <w:szCs w:val="22"/>
        </w:rPr>
        <w:t xml:space="preserve"> v kombinaci s </w:t>
      </w:r>
      <w:proofErr w:type="spellStart"/>
      <w:r w:rsidRPr="000772EC">
        <w:rPr>
          <w:b/>
          <w:sz w:val="22"/>
          <w:szCs w:val="22"/>
        </w:rPr>
        <w:t>medetomidinem</w:t>
      </w:r>
      <w:proofErr w:type="spellEnd"/>
      <w:r w:rsidRPr="000772EC">
        <w:rPr>
          <w:b/>
          <w:sz w:val="22"/>
          <w:szCs w:val="22"/>
        </w:rPr>
        <w:t>:</w:t>
      </w:r>
      <w:r w:rsidRPr="000772EC">
        <w:rPr>
          <w:sz w:val="22"/>
          <w:szCs w:val="22"/>
        </w:rPr>
        <w:t xml:space="preserve"> 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 xml:space="preserve">Aplikujte </w:t>
      </w:r>
      <w:proofErr w:type="spellStart"/>
      <w:r w:rsidRPr="000772EC">
        <w:rPr>
          <w:sz w:val="22"/>
          <w:szCs w:val="22"/>
        </w:rPr>
        <w:t>butorfanol</w:t>
      </w:r>
      <w:proofErr w:type="spellEnd"/>
      <w:r w:rsidRPr="000772EC">
        <w:rPr>
          <w:sz w:val="22"/>
          <w:szCs w:val="22"/>
        </w:rPr>
        <w:t xml:space="preserve"> v dávce 0,1 mg/kg ž. hm., což odpovídá dávce 0,01 ml přípravku/kg ž. hm. i</w:t>
      </w:r>
      <w:r w:rsidRPr="00112103">
        <w:rPr>
          <w:sz w:val="22"/>
          <w:szCs w:val="22"/>
        </w:rPr>
        <w:t>ntravenózně</w:t>
      </w:r>
      <w:r w:rsidRPr="000772EC">
        <w:rPr>
          <w:sz w:val="22"/>
          <w:szCs w:val="22"/>
        </w:rPr>
        <w:t xml:space="preserve"> nebo i</w:t>
      </w:r>
      <w:r w:rsidRPr="00112103">
        <w:rPr>
          <w:sz w:val="22"/>
          <w:szCs w:val="22"/>
        </w:rPr>
        <w:t>ntramuskulárně</w:t>
      </w:r>
      <w:r w:rsidRPr="000772EC">
        <w:rPr>
          <w:sz w:val="22"/>
          <w:szCs w:val="22"/>
        </w:rPr>
        <w:t xml:space="preserve">. Bezprostředně poté aplikujte </w:t>
      </w:r>
      <w:proofErr w:type="spellStart"/>
      <w:r w:rsidRPr="000772EC">
        <w:rPr>
          <w:sz w:val="22"/>
          <w:szCs w:val="22"/>
        </w:rPr>
        <w:t>medetomidin</w:t>
      </w:r>
      <w:proofErr w:type="spellEnd"/>
      <w:r w:rsidRPr="000772EC">
        <w:rPr>
          <w:sz w:val="22"/>
          <w:szCs w:val="22"/>
        </w:rPr>
        <w:t xml:space="preserve"> </w:t>
      </w:r>
      <w:proofErr w:type="spellStart"/>
      <w:r w:rsidRPr="000772EC">
        <w:rPr>
          <w:sz w:val="22"/>
          <w:szCs w:val="22"/>
        </w:rPr>
        <w:t>hydrochlorid</w:t>
      </w:r>
      <w:proofErr w:type="spellEnd"/>
      <w:r w:rsidRPr="000772EC">
        <w:rPr>
          <w:sz w:val="22"/>
          <w:szCs w:val="22"/>
        </w:rPr>
        <w:t xml:space="preserve"> v dávce 0,01-0,025 mg/kg ž. hm. i</w:t>
      </w:r>
      <w:r w:rsidRPr="00112103">
        <w:rPr>
          <w:sz w:val="22"/>
          <w:szCs w:val="22"/>
        </w:rPr>
        <w:t>ntravenózně</w:t>
      </w:r>
      <w:r w:rsidRPr="000772EC">
        <w:rPr>
          <w:sz w:val="22"/>
          <w:szCs w:val="22"/>
        </w:rPr>
        <w:t xml:space="preserve"> nebo i</w:t>
      </w:r>
      <w:r w:rsidRPr="00112103">
        <w:rPr>
          <w:sz w:val="22"/>
          <w:szCs w:val="22"/>
        </w:rPr>
        <w:t>ntramuskulárně</w:t>
      </w:r>
      <w:r w:rsidRPr="000772EC">
        <w:rPr>
          <w:sz w:val="22"/>
          <w:szCs w:val="22"/>
        </w:rPr>
        <w:t>. Obě léčiva podávejte odděleně, nikoli v jedné injekční stříkačce (viz bod 6.2 Inkompatibility).</w:t>
      </w: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 xml:space="preserve">Před zahájením léčebného zákroku čekejte 20 minut po </w:t>
      </w:r>
      <w:r>
        <w:rPr>
          <w:sz w:val="22"/>
          <w:szCs w:val="22"/>
        </w:rPr>
        <w:t>podání</w:t>
      </w:r>
      <w:r w:rsidRPr="000772EC">
        <w:rPr>
          <w:sz w:val="22"/>
          <w:szCs w:val="22"/>
        </w:rPr>
        <w:t xml:space="preserve"> na dostatečný nástup </w:t>
      </w:r>
      <w:proofErr w:type="spellStart"/>
      <w:r w:rsidRPr="000772EC">
        <w:rPr>
          <w:sz w:val="22"/>
          <w:szCs w:val="22"/>
        </w:rPr>
        <w:t>sedace</w:t>
      </w:r>
      <w:proofErr w:type="spellEnd"/>
      <w:r w:rsidRPr="000772EC">
        <w:rPr>
          <w:sz w:val="22"/>
          <w:szCs w:val="22"/>
        </w:rPr>
        <w:t xml:space="preserve">.  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 xml:space="preserve">Pro návrat z anestezie aplikujte </w:t>
      </w:r>
      <w:proofErr w:type="spellStart"/>
      <w:r w:rsidRPr="000772EC">
        <w:rPr>
          <w:sz w:val="22"/>
          <w:szCs w:val="22"/>
        </w:rPr>
        <w:t>atipamezol</w:t>
      </w:r>
      <w:proofErr w:type="spellEnd"/>
      <w:r w:rsidRPr="000772EC">
        <w:rPr>
          <w:sz w:val="22"/>
          <w:szCs w:val="22"/>
        </w:rPr>
        <w:t xml:space="preserve"> v dávce 0,05-0,125 mg/kg ž. hm. Přibližně do 5 minut se pacient dostává do sternální polohy a za další 2 minuty se pacient postaví.</w:t>
      </w:r>
    </w:p>
    <w:p w:rsidR="00112103" w:rsidRDefault="00112103" w:rsidP="00112103">
      <w:pPr>
        <w:rPr>
          <w:sz w:val="22"/>
          <w:szCs w:val="22"/>
          <w:u w:val="single"/>
        </w:rPr>
      </w:pPr>
    </w:p>
    <w:p w:rsidR="00112103" w:rsidRPr="000772EC" w:rsidRDefault="00112103" w:rsidP="00112103">
      <w:pPr>
        <w:rPr>
          <w:sz w:val="22"/>
          <w:szCs w:val="22"/>
          <w:u w:val="single"/>
        </w:rPr>
      </w:pPr>
      <w:r w:rsidRPr="000772EC">
        <w:rPr>
          <w:sz w:val="22"/>
          <w:szCs w:val="22"/>
          <w:u w:val="single"/>
        </w:rPr>
        <w:t xml:space="preserve">Jako </w:t>
      </w:r>
      <w:proofErr w:type="spellStart"/>
      <w:r w:rsidRPr="000772EC">
        <w:rPr>
          <w:sz w:val="22"/>
          <w:szCs w:val="22"/>
          <w:u w:val="single"/>
        </w:rPr>
        <w:t>preanestetikum</w:t>
      </w:r>
      <w:proofErr w:type="spellEnd"/>
      <w:r w:rsidRPr="000772EC">
        <w:rPr>
          <w:sz w:val="22"/>
          <w:szCs w:val="22"/>
          <w:u w:val="single"/>
        </w:rPr>
        <w:t>:</w:t>
      </w:r>
    </w:p>
    <w:p w:rsidR="00112103" w:rsidRPr="000772EC" w:rsidRDefault="00112103" w:rsidP="00112103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</w:t>
      </w:r>
      <w:r w:rsidRPr="000772EC">
        <w:rPr>
          <w:b/>
          <w:sz w:val="22"/>
          <w:szCs w:val="22"/>
        </w:rPr>
        <w:t>utorfanol</w:t>
      </w:r>
      <w:proofErr w:type="spellEnd"/>
      <w:r w:rsidRPr="000772EC">
        <w:rPr>
          <w:b/>
          <w:sz w:val="22"/>
          <w:szCs w:val="22"/>
        </w:rPr>
        <w:t xml:space="preserve"> samostatně:</w:t>
      </w: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Aplikujte v dávce 0,1-0,2 mg/kg ž. hm., což odpovídá dávce 0,01-0,02 ml přípravku/kg ž. hm. i</w:t>
      </w:r>
      <w:r w:rsidRPr="00112103">
        <w:rPr>
          <w:sz w:val="22"/>
          <w:szCs w:val="22"/>
        </w:rPr>
        <w:t>ntravenózně</w:t>
      </w:r>
      <w:r w:rsidRPr="000772EC">
        <w:rPr>
          <w:sz w:val="22"/>
          <w:szCs w:val="22"/>
        </w:rPr>
        <w:t>, i</w:t>
      </w:r>
      <w:r w:rsidRPr="00112103">
        <w:rPr>
          <w:sz w:val="22"/>
          <w:szCs w:val="22"/>
        </w:rPr>
        <w:t>ntramuskulárně</w:t>
      </w:r>
      <w:r w:rsidRPr="000772EC">
        <w:rPr>
          <w:sz w:val="22"/>
          <w:szCs w:val="22"/>
        </w:rPr>
        <w:t xml:space="preserve"> nebo s</w:t>
      </w:r>
      <w:r w:rsidRPr="00112103">
        <w:rPr>
          <w:sz w:val="22"/>
          <w:szCs w:val="22"/>
        </w:rPr>
        <w:t>ubkutánně</w:t>
      </w:r>
      <w:r w:rsidRPr="000772EC">
        <w:rPr>
          <w:sz w:val="22"/>
          <w:szCs w:val="22"/>
        </w:rPr>
        <w:t>.</w:t>
      </w: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Aplikujte 15 minut před navozením anestezie.</w:t>
      </w:r>
    </w:p>
    <w:p w:rsidR="00112103" w:rsidRDefault="00112103" w:rsidP="00112103">
      <w:pPr>
        <w:rPr>
          <w:sz w:val="22"/>
          <w:szCs w:val="22"/>
          <w:u w:val="single"/>
        </w:rPr>
      </w:pPr>
    </w:p>
    <w:p w:rsidR="00112103" w:rsidRPr="000772EC" w:rsidRDefault="00112103" w:rsidP="00112103">
      <w:pPr>
        <w:rPr>
          <w:sz w:val="22"/>
          <w:szCs w:val="22"/>
          <w:u w:val="single"/>
        </w:rPr>
      </w:pPr>
      <w:r w:rsidRPr="000772EC">
        <w:rPr>
          <w:sz w:val="22"/>
          <w:szCs w:val="22"/>
          <w:u w:val="single"/>
        </w:rPr>
        <w:t xml:space="preserve">Jako sedativum a </w:t>
      </w:r>
      <w:proofErr w:type="spellStart"/>
      <w:r w:rsidRPr="000772EC">
        <w:rPr>
          <w:sz w:val="22"/>
          <w:szCs w:val="22"/>
          <w:u w:val="single"/>
        </w:rPr>
        <w:t>preanestetikum</w:t>
      </w:r>
      <w:proofErr w:type="spellEnd"/>
      <w:r w:rsidRPr="000772EC">
        <w:rPr>
          <w:sz w:val="22"/>
          <w:szCs w:val="22"/>
          <w:u w:val="single"/>
        </w:rPr>
        <w:t xml:space="preserve"> – premedikace barbiturátové anestezie: </w:t>
      </w:r>
    </w:p>
    <w:p w:rsidR="00112103" w:rsidRPr="000772EC" w:rsidRDefault="00112103" w:rsidP="00112103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B</w:t>
      </w:r>
      <w:r w:rsidRPr="000772EC">
        <w:rPr>
          <w:b/>
          <w:sz w:val="22"/>
          <w:szCs w:val="22"/>
        </w:rPr>
        <w:t>utorfanol</w:t>
      </w:r>
      <w:proofErr w:type="spellEnd"/>
      <w:r w:rsidRPr="000772EC">
        <w:rPr>
          <w:b/>
          <w:sz w:val="22"/>
          <w:szCs w:val="22"/>
        </w:rPr>
        <w:t xml:space="preserve"> v kombinaci s </w:t>
      </w:r>
      <w:proofErr w:type="spellStart"/>
      <w:r w:rsidRPr="000772EC">
        <w:rPr>
          <w:b/>
          <w:sz w:val="22"/>
          <w:szCs w:val="22"/>
        </w:rPr>
        <w:t>medetomidinem</w:t>
      </w:r>
      <w:proofErr w:type="spellEnd"/>
      <w:r w:rsidRPr="000772EC">
        <w:rPr>
          <w:sz w:val="22"/>
          <w:szCs w:val="22"/>
        </w:rPr>
        <w:t xml:space="preserve">: </w:t>
      </w: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 xml:space="preserve">Aplikujte </w:t>
      </w:r>
      <w:proofErr w:type="spellStart"/>
      <w:r w:rsidRPr="000772EC">
        <w:rPr>
          <w:sz w:val="22"/>
          <w:szCs w:val="22"/>
        </w:rPr>
        <w:t>butorfanol</w:t>
      </w:r>
      <w:proofErr w:type="spellEnd"/>
      <w:r w:rsidRPr="000772EC">
        <w:rPr>
          <w:sz w:val="22"/>
          <w:szCs w:val="22"/>
        </w:rPr>
        <w:t xml:space="preserve"> v dávce 0,1 mg/kg ž. hm., což odpovídá dávce 0,01 ml přípravku/kg ž. hm. i</w:t>
      </w:r>
      <w:r w:rsidRPr="00112103">
        <w:rPr>
          <w:sz w:val="22"/>
          <w:szCs w:val="22"/>
        </w:rPr>
        <w:t>ntravenózně</w:t>
      </w:r>
      <w:r w:rsidRPr="000772EC">
        <w:rPr>
          <w:sz w:val="22"/>
          <w:szCs w:val="22"/>
        </w:rPr>
        <w:t xml:space="preserve"> nebo i</w:t>
      </w:r>
      <w:r w:rsidRPr="00112103">
        <w:rPr>
          <w:sz w:val="22"/>
          <w:szCs w:val="22"/>
        </w:rPr>
        <w:t>ntramuskulárně</w:t>
      </w:r>
      <w:r w:rsidRPr="000772EC">
        <w:rPr>
          <w:sz w:val="22"/>
          <w:szCs w:val="22"/>
        </w:rPr>
        <w:t xml:space="preserve">. Bezprostředně poté aplikujte </w:t>
      </w:r>
      <w:proofErr w:type="spellStart"/>
      <w:r w:rsidRPr="000772EC">
        <w:rPr>
          <w:sz w:val="22"/>
          <w:szCs w:val="22"/>
        </w:rPr>
        <w:t>medetomidin</w:t>
      </w:r>
      <w:proofErr w:type="spellEnd"/>
      <w:r w:rsidRPr="000772EC">
        <w:rPr>
          <w:sz w:val="22"/>
          <w:szCs w:val="22"/>
        </w:rPr>
        <w:t xml:space="preserve"> </w:t>
      </w:r>
      <w:proofErr w:type="spellStart"/>
      <w:r w:rsidRPr="000772EC">
        <w:rPr>
          <w:sz w:val="22"/>
          <w:szCs w:val="22"/>
        </w:rPr>
        <w:t>hydrochlorid</w:t>
      </w:r>
      <w:proofErr w:type="spellEnd"/>
      <w:r w:rsidRPr="000772EC">
        <w:rPr>
          <w:sz w:val="22"/>
          <w:szCs w:val="22"/>
        </w:rPr>
        <w:t xml:space="preserve"> v dávce 0,01 mg/kg ž. hm. i</w:t>
      </w:r>
      <w:r w:rsidRPr="00112103">
        <w:rPr>
          <w:sz w:val="22"/>
          <w:szCs w:val="22"/>
        </w:rPr>
        <w:t>ntravenózně</w:t>
      </w:r>
      <w:r w:rsidRPr="000772EC">
        <w:rPr>
          <w:sz w:val="22"/>
          <w:szCs w:val="22"/>
        </w:rPr>
        <w:t xml:space="preserve"> nebo i</w:t>
      </w:r>
      <w:r w:rsidRPr="00112103">
        <w:rPr>
          <w:sz w:val="22"/>
          <w:szCs w:val="22"/>
        </w:rPr>
        <w:t>ntramuskulárně</w:t>
      </w:r>
      <w:r w:rsidRPr="000772EC">
        <w:rPr>
          <w:sz w:val="22"/>
          <w:szCs w:val="22"/>
        </w:rPr>
        <w:t>. Obě léčiva podávejte odděleně, nikoli v jedné injekční stříkačce (viz bod 6.2 Inkompatibility).</w:t>
      </w:r>
    </w:p>
    <w:p w:rsidR="00112103" w:rsidRDefault="00112103" w:rsidP="00112103">
      <w:pPr>
        <w:rPr>
          <w:sz w:val="22"/>
          <w:szCs w:val="22"/>
          <w:u w:val="single"/>
        </w:rPr>
      </w:pPr>
    </w:p>
    <w:p w:rsidR="00112103" w:rsidRPr="000772EC" w:rsidRDefault="00112103" w:rsidP="00112103">
      <w:pPr>
        <w:rPr>
          <w:sz w:val="22"/>
          <w:szCs w:val="22"/>
          <w:u w:val="single"/>
        </w:rPr>
      </w:pPr>
      <w:r w:rsidRPr="000772EC">
        <w:rPr>
          <w:sz w:val="22"/>
          <w:szCs w:val="22"/>
          <w:u w:val="single"/>
        </w:rPr>
        <w:t xml:space="preserve">Jako součást anestetické protokolu: 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B</w:t>
      </w:r>
      <w:r w:rsidRPr="000772EC">
        <w:rPr>
          <w:b/>
          <w:sz w:val="22"/>
          <w:szCs w:val="22"/>
        </w:rPr>
        <w:t>utorfanol</w:t>
      </w:r>
      <w:proofErr w:type="spellEnd"/>
      <w:r w:rsidRPr="000772EC">
        <w:rPr>
          <w:b/>
          <w:sz w:val="22"/>
          <w:szCs w:val="22"/>
        </w:rPr>
        <w:t xml:space="preserve"> v kombinaci s </w:t>
      </w:r>
      <w:proofErr w:type="spellStart"/>
      <w:r w:rsidRPr="000772EC">
        <w:rPr>
          <w:b/>
          <w:sz w:val="22"/>
          <w:szCs w:val="22"/>
        </w:rPr>
        <w:t>medetomidinem</w:t>
      </w:r>
      <w:proofErr w:type="spellEnd"/>
      <w:r w:rsidRPr="000772EC">
        <w:rPr>
          <w:b/>
          <w:sz w:val="22"/>
          <w:szCs w:val="22"/>
        </w:rPr>
        <w:t xml:space="preserve"> a </w:t>
      </w:r>
      <w:proofErr w:type="spellStart"/>
      <w:r w:rsidRPr="000772EC">
        <w:rPr>
          <w:b/>
          <w:sz w:val="22"/>
          <w:szCs w:val="22"/>
        </w:rPr>
        <w:t>ketaminem</w:t>
      </w:r>
      <w:proofErr w:type="spellEnd"/>
      <w:r w:rsidRPr="000772EC">
        <w:rPr>
          <w:sz w:val="22"/>
          <w:szCs w:val="22"/>
        </w:rPr>
        <w:t xml:space="preserve">: 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 xml:space="preserve">Aplikujte </w:t>
      </w:r>
      <w:proofErr w:type="spellStart"/>
      <w:r w:rsidRPr="000772EC">
        <w:rPr>
          <w:sz w:val="22"/>
          <w:szCs w:val="22"/>
        </w:rPr>
        <w:t>butorfanol</w:t>
      </w:r>
      <w:proofErr w:type="spellEnd"/>
      <w:r w:rsidRPr="000772EC">
        <w:rPr>
          <w:sz w:val="22"/>
          <w:szCs w:val="22"/>
        </w:rPr>
        <w:t xml:space="preserve"> v dávce 0,1 mg/kg ž. hm., což odpovídá dávce 0,01 ml přípravku/kg ž. hm. i</w:t>
      </w:r>
      <w:r w:rsidRPr="00112103">
        <w:rPr>
          <w:sz w:val="22"/>
          <w:szCs w:val="22"/>
        </w:rPr>
        <w:t>ntramuskulárně</w:t>
      </w:r>
      <w:r w:rsidRPr="000772EC">
        <w:rPr>
          <w:sz w:val="22"/>
          <w:szCs w:val="22"/>
        </w:rPr>
        <w:t xml:space="preserve">. Bezprostředně poté aplikujte </w:t>
      </w:r>
      <w:proofErr w:type="spellStart"/>
      <w:r w:rsidRPr="000772EC">
        <w:rPr>
          <w:sz w:val="22"/>
          <w:szCs w:val="22"/>
        </w:rPr>
        <w:t>medetomidin</w:t>
      </w:r>
      <w:proofErr w:type="spellEnd"/>
      <w:r w:rsidRPr="000772EC">
        <w:rPr>
          <w:sz w:val="22"/>
          <w:szCs w:val="22"/>
        </w:rPr>
        <w:t xml:space="preserve"> </w:t>
      </w:r>
      <w:proofErr w:type="spellStart"/>
      <w:r w:rsidRPr="000772EC">
        <w:rPr>
          <w:sz w:val="22"/>
          <w:szCs w:val="22"/>
        </w:rPr>
        <w:t>hydrochlorid</w:t>
      </w:r>
      <w:proofErr w:type="spellEnd"/>
      <w:r w:rsidRPr="000772EC">
        <w:rPr>
          <w:sz w:val="22"/>
          <w:szCs w:val="22"/>
        </w:rPr>
        <w:t xml:space="preserve"> v dávce 0,025 mg/kg ž. hm. i</w:t>
      </w:r>
      <w:r w:rsidRPr="00112103">
        <w:rPr>
          <w:sz w:val="22"/>
          <w:szCs w:val="22"/>
        </w:rPr>
        <w:t>ntramuskulárně</w:t>
      </w:r>
      <w:r w:rsidRPr="000772EC">
        <w:rPr>
          <w:sz w:val="22"/>
          <w:szCs w:val="22"/>
        </w:rPr>
        <w:t xml:space="preserve">. Obě léčiva podávejte odděleně, nikoli v jedné stříkačce (viz bod 6.2 Inkompatibility). Po 15 minutách aplikujte </w:t>
      </w:r>
      <w:proofErr w:type="spellStart"/>
      <w:r w:rsidRPr="000772EC">
        <w:rPr>
          <w:sz w:val="22"/>
          <w:szCs w:val="22"/>
        </w:rPr>
        <w:t>ketamin</w:t>
      </w:r>
      <w:proofErr w:type="spellEnd"/>
      <w:r w:rsidRPr="000772EC">
        <w:rPr>
          <w:sz w:val="22"/>
          <w:szCs w:val="22"/>
        </w:rPr>
        <w:t xml:space="preserve"> v dávce 5 mg/kg ž. hm. i</w:t>
      </w:r>
      <w:r w:rsidRPr="00112103">
        <w:rPr>
          <w:sz w:val="22"/>
          <w:szCs w:val="22"/>
        </w:rPr>
        <w:t>ntramuskulárně</w:t>
      </w:r>
      <w:r w:rsidRPr="000772EC">
        <w:rPr>
          <w:sz w:val="22"/>
          <w:szCs w:val="22"/>
        </w:rPr>
        <w:t xml:space="preserve">. 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proofErr w:type="spellStart"/>
      <w:r w:rsidRPr="000772EC">
        <w:rPr>
          <w:sz w:val="22"/>
          <w:szCs w:val="22"/>
        </w:rPr>
        <w:t>Sedace</w:t>
      </w:r>
      <w:proofErr w:type="spellEnd"/>
      <w:r w:rsidRPr="000772EC">
        <w:rPr>
          <w:sz w:val="22"/>
          <w:szCs w:val="22"/>
        </w:rPr>
        <w:t xml:space="preserve"> a nástup anestezie se dostaví přibližně do 6 minut od první</w:t>
      </w:r>
      <w:r>
        <w:rPr>
          <w:sz w:val="22"/>
          <w:szCs w:val="22"/>
        </w:rPr>
        <w:t>ho podání</w:t>
      </w:r>
      <w:r w:rsidRPr="000772EC">
        <w:rPr>
          <w:sz w:val="22"/>
          <w:szCs w:val="22"/>
        </w:rPr>
        <w:t xml:space="preserve">. Přibližně za 14 minut se ztrácí pedální reflex. Anestezie odeznívá přibližně za 53 minut po aplikaci </w:t>
      </w:r>
      <w:proofErr w:type="spellStart"/>
      <w:r w:rsidRPr="000772EC">
        <w:rPr>
          <w:sz w:val="22"/>
          <w:szCs w:val="22"/>
        </w:rPr>
        <w:t>ketaminu</w:t>
      </w:r>
      <w:proofErr w:type="spellEnd"/>
      <w:r w:rsidRPr="000772EC">
        <w:rPr>
          <w:sz w:val="22"/>
          <w:szCs w:val="22"/>
        </w:rPr>
        <w:t xml:space="preserve"> – vrací se pedální reflex. Do sternální polohy se pacient vrací přibližně za 35 minut a za dalších 36 minut se pacient postaví. </w:t>
      </w:r>
    </w:p>
    <w:p w:rsidR="00112103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 xml:space="preserve">Pro zrušení anestezie po použití kombinace </w:t>
      </w:r>
      <w:proofErr w:type="spellStart"/>
      <w:r w:rsidRPr="000772EC">
        <w:rPr>
          <w:sz w:val="22"/>
          <w:szCs w:val="22"/>
        </w:rPr>
        <w:t>butorfanol-medetomindin-ketamin</w:t>
      </w:r>
      <w:proofErr w:type="spellEnd"/>
      <w:r w:rsidRPr="000772EC">
        <w:rPr>
          <w:sz w:val="22"/>
          <w:szCs w:val="22"/>
        </w:rPr>
        <w:t xml:space="preserve"> se nedoporučuje použití </w:t>
      </w:r>
      <w:proofErr w:type="spellStart"/>
      <w:r w:rsidRPr="000772EC">
        <w:rPr>
          <w:sz w:val="22"/>
          <w:szCs w:val="22"/>
        </w:rPr>
        <w:t>atipamezolu</w:t>
      </w:r>
      <w:proofErr w:type="spellEnd"/>
      <w:r w:rsidRPr="000772EC">
        <w:rPr>
          <w:sz w:val="22"/>
          <w:szCs w:val="22"/>
        </w:rPr>
        <w:t xml:space="preserve">. 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KOČKA</w:t>
      </w:r>
    </w:p>
    <w:p w:rsidR="00112103" w:rsidRPr="000772EC" w:rsidRDefault="00112103" w:rsidP="00112103">
      <w:pPr>
        <w:rPr>
          <w:sz w:val="22"/>
          <w:szCs w:val="22"/>
          <w:u w:val="single"/>
        </w:rPr>
      </w:pPr>
      <w:r w:rsidRPr="000772EC">
        <w:rPr>
          <w:sz w:val="22"/>
          <w:szCs w:val="22"/>
          <w:u w:val="single"/>
        </w:rPr>
        <w:t>Jako analgetikum předoperační:</w:t>
      </w:r>
    </w:p>
    <w:p w:rsidR="00112103" w:rsidRPr="000772EC" w:rsidRDefault="00112103" w:rsidP="00112103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</w:t>
      </w:r>
      <w:r w:rsidRPr="000772EC">
        <w:rPr>
          <w:b/>
          <w:sz w:val="22"/>
          <w:szCs w:val="22"/>
        </w:rPr>
        <w:t>utorfanol</w:t>
      </w:r>
      <w:proofErr w:type="spellEnd"/>
      <w:r w:rsidRPr="000772EC">
        <w:rPr>
          <w:b/>
          <w:sz w:val="22"/>
          <w:szCs w:val="22"/>
        </w:rPr>
        <w:t xml:space="preserve"> samostatně: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>Aplikujte v dávce 0,4 mg/kg ž. hm., což odpovídá dávce 0,04 ml přípravku/kg ž. hm., tj. 0,2 ml/5 kg ž. hm. i</w:t>
      </w:r>
      <w:r w:rsidRPr="00112103">
        <w:rPr>
          <w:sz w:val="22"/>
          <w:szCs w:val="22"/>
        </w:rPr>
        <w:t>ntramuskulárně</w:t>
      </w:r>
      <w:r w:rsidRPr="000772EC">
        <w:rPr>
          <w:sz w:val="22"/>
          <w:szCs w:val="22"/>
        </w:rPr>
        <w:t>. nebo s</w:t>
      </w:r>
      <w:r w:rsidRPr="00112103">
        <w:rPr>
          <w:sz w:val="22"/>
          <w:szCs w:val="22"/>
        </w:rPr>
        <w:t>ubkutánně</w:t>
      </w:r>
      <w:r w:rsidRPr="000772EC">
        <w:rPr>
          <w:sz w:val="22"/>
          <w:szCs w:val="22"/>
        </w:rPr>
        <w:t>.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 xml:space="preserve">Při použití intravenózní indukce anestezie aplikujte </w:t>
      </w:r>
      <w:proofErr w:type="spellStart"/>
      <w:r w:rsidRPr="000772EC">
        <w:rPr>
          <w:sz w:val="22"/>
          <w:szCs w:val="22"/>
        </w:rPr>
        <w:t>butorfanol</w:t>
      </w:r>
      <w:proofErr w:type="spellEnd"/>
      <w:r w:rsidRPr="000772EC">
        <w:rPr>
          <w:sz w:val="22"/>
          <w:szCs w:val="22"/>
        </w:rPr>
        <w:t xml:space="preserve"> s předstihem 15-30 minut před </w:t>
      </w:r>
      <w:r w:rsidRPr="00646352">
        <w:rPr>
          <w:sz w:val="22"/>
          <w:szCs w:val="22"/>
        </w:rPr>
        <w:t>indukčním činidlem.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>Při použití intramuskulární indukce anestezie (</w:t>
      </w:r>
      <w:proofErr w:type="spellStart"/>
      <w:r w:rsidRPr="000772EC">
        <w:rPr>
          <w:sz w:val="22"/>
          <w:szCs w:val="22"/>
        </w:rPr>
        <w:t>acepromazin</w:t>
      </w:r>
      <w:proofErr w:type="spellEnd"/>
      <w:r>
        <w:rPr>
          <w:sz w:val="22"/>
          <w:szCs w:val="22"/>
        </w:rPr>
        <w:t>/</w:t>
      </w:r>
      <w:proofErr w:type="spellStart"/>
      <w:r w:rsidRPr="000772EC">
        <w:rPr>
          <w:sz w:val="22"/>
          <w:szCs w:val="22"/>
        </w:rPr>
        <w:t>ketamin</w:t>
      </w:r>
      <w:proofErr w:type="spellEnd"/>
      <w:r w:rsidRPr="000772EC">
        <w:rPr>
          <w:sz w:val="22"/>
          <w:szCs w:val="22"/>
        </w:rPr>
        <w:t xml:space="preserve"> nebo </w:t>
      </w:r>
      <w:proofErr w:type="spellStart"/>
      <w:r w:rsidRPr="000772EC">
        <w:rPr>
          <w:sz w:val="22"/>
          <w:szCs w:val="22"/>
        </w:rPr>
        <w:t>xylazin</w:t>
      </w:r>
      <w:proofErr w:type="spellEnd"/>
      <w:r>
        <w:rPr>
          <w:sz w:val="22"/>
          <w:szCs w:val="22"/>
        </w:rPr>
        <w:t>/</w:t>
      </w:r>
      <w:proofErr w:type="spellStart"/>
      <w:r w:rsidRPr="000772EC">
        <w:rPr>
          <w:sz w:val="22"/>
          <w:szCs w:val="22"/>
        </w:rPr>
        <w:t>ketamin</w:t>
      </w:r>
      <w:proofErr w:type="spellEnd"/>
      <w:r w:rsidRPr="000772EC">
        <w:rPr>
          <w:sz w:val="22"/>
          <w:szCs w:val="22"/>
        </w:rPr>
        <w:t xml:space="preserve">) aplikujte </w:t>
      </w:r>
      <w:proofErr w:type="spellStart"/>
      <w:r w:rsidRPr="000772EC">
        <w:rPr>
          <w:sz w:val="22"/>
          <w:szCs w:val="22"/>
        </w:rPr>
        <w:t>butorfanol</w:t>
      </w:r>
      <w:proofErr w:type="spellEnd"/>
      <w:r w:rsidRPr="000772EC">
        <w:rPr>
          <w:sz w:val="22"/>
          <w:szCs w:val="22"/>
        </w:rPr>
        <w:t xml:space="preserve"> s předstihem 5 minut před </w:t>
      </w:r>
      <w:r>
        <w:rPr>
          <w:sz w:val="22"/>
          <w:szCs w:val="22"/>
        </w:rPr>
        <w:t>podáním</w:t>
      </w:r>
      <w:r w:rsidRPr="000772EC">
        <w:rPr>
          <w:sz w:val="22"/>
          <w:szCs w:val="22"/>
        </w:rPr>
        <w:t xml:space="preserve"> anestetika. Doba probouzení se po</w:t>
      </w:r>
      <w:r>
        <w:rPr>
          <w:sz w:val="22"/>
          <w:szCs w:val="22"/>
        </w:rPr>
        <w:t>dáním</w:t>
      </w:r>
      <w:r w:rsidRPr="000772EC">
        <w:rPr>
          <w:sz w:val="22"/>
          <w:szCs w:val="22"/>
        </w:rPr>
        <w:t xml:space="preserve"> </w:t>
      </w:r>
      <w:proofErr w:type="spellStart"/>
      <w:r w:rsidRPr="000772EC">
        <w:rPr>
          <w:sz w:val="22"/>
          <w:szCs w:val="22"/>
        </w:rPr>
        <w:t>butorfanolu</w:t>
      </w:r>
      <w:proofErr w:type="spellEnd"/>
      <w:r w:rsidRPr="000772EC">
        <w:rPr>
          <w:sz w:val="22"/>
          <w:szCs w:val="22"/>
        </w:rPr>
        <w:t xml:space="preserve"> nijak výrazně nenarušuje. </w:t>
      </w:r>
    </w:p>
    <w:p w:rsidR="00112103" w:rsidRDefault="00112103" w:rsidP="00112103">
      <w:pPr>
        <w:jc w:val="both"/>
        <w:rPr>
          <w:sz w:val="22"/>
          <w:szCs w:val="22"/>
          <w:u w:val="single"/>
        </w:rPr>
      </w:pPr>
    </w:p>
    <w:p w:rsidR="00112103" w:rsidRPr="000772EC" w:rsidRDefault="00112103" w:rsidP="00112103">
      <w:pPr>
        <w:jc w:val="both"/>
        <w:rPr>
          <w:sz w:val="22"/>
          <w:szCs w:val="22"/>
          <w:u w:val="single"/>
        </w:rPr>
      </w:pPr>
      <w:r w:rsidRPr="000772EC">
        <w:rPr>
          <w:sz w:val="22"/>
          <w:szCs w:val="22"/>
          <w:u w:val="single"/>
        </w:rPr>
        <w:t>Jako pooperační</w:t>
      </w:r>
      <w:r w:rsidRPr="00BD72CD">
        <w:rPr>
          <w:sz w:val="22"/>
          <w:szCs w:val="22"/>
          <w:u w:val="single"/>
        </w:rPr>
        <w:t xml:space="preserve"> </w:t>
      </w:r>
      <w:r w:rsidRPr="000772EC">
        <w:rPr>
          <w:sz w:val="22"/>
          <w:szCs w:val="22"/>
          <w:u w:val="single"/>
        </w:rPr>
        <w:t>analgetikum:</w:t>
      </w:r>
    </w:p>
    <w:p w:rsidR="00112103" w:rsidRPr="001B0EBF" w:rsidRDefault="00112103" w:rsidP="00112103">
      <w:pPr>
        <w:jc w:val="both"/>
      </w:pPr>
      <w:r>
        <w:rPr>
          <w:b/>
          <w:i/>
          <w:iCs/>
          <w:sz w:val="22"/>
          <w:szCs w:val="22"/>
        </w:rPr>
        <w:t>I</w:t>
      </w:r>
      <w:r w:rsidRPr="00655EAF">
        <w:rPr>
          <w:b/>
          <w:i/>
          <w:iCs/>
          <w:sz w:val="22"/>
          <w:szCs w:val="22"/>
        </w:rPr>
        <w:t>ntramuskulární, subkutánní podání:</w:t>
      </w:r>
      <w:r w:rsidRPr="00655EAF">
        <w:rPr>
          <w:sz w:val="22"/>
          <w:szCs w:val="22"/>
        </w:rPr>
        <w:t xml:space="preserve"> Aplikujte </w:t>
      </w:r>
      <w:proofErr w:type="spellStart"/>
      <w:r w:rsidRPr="00655EAF">
        <w:rPr>
          <w:sz w:val="22"/>
          <w:szCs w:val="22"/>
        </w:rPr>
        <w:t>butorfanol</w:t>
      </w:r>
      <w:proofErr w:type="spellEnd"/>
      <w:r w:rsidRPr="00655EAF">
        <w:rPr>
          <w:sz w:val="22"/>
          <w:szCs w:val="22"/>
        </w:rPr>
        <w:t xml:space="preserve"> v dávce 0,4 mg/kg ž. hm., což odpovídá dávce 0,04 ml přípravku/kg ž. hm., tj. 0,2 ml/5 kg ž. hm. s</w:t>
      </w:r>
      <w:r w:rsidRPr="00112103">
        <w:rPr>
          <w:sz w:val="22"/>
          <w:szCs w:val="22"/>
        </w:rPr>
        <w:t>ubkutánně</w:t>
      </w:r>
      <w:r w:rsidRPr="00655EAF">
        <w:rPr>
          <w:sz w:val="22"/>
          <w:szCs w:val="22"/>
        </w:rPr>
        <w:t xml:space="preserve"> nebo i</w:t>
      </w:r>
      <w:r w:rsidRPr="00112103">
        <w:rPr>
          <w:sz w:val="22"/>
          <w:szCs w:val="22"/>
        </w:rPr>
        <w:t>ntramuskulárně</w:t>
      </w:r>
      <w:r w:rsidRPr="00655EAF">
        <w:rPr>
          <w:sz w:val="22"/>
          <w:szCs w:val="22"/>
        </w:rPr>
        <w:t>.</w:t>
      </w:r>
    </w:p>
    <w:p w:rsidR="00112103" w:rsidRPr="001B0EBF" w:rsidRDefault="00112103" w:rsidP="00112103">
      <w:pPr>
        <w:jc w:val="both"/>
      </w:pPr>
      <w:r>
        <w:rPr>
          <w:b/>
          <w:i/>
          <w:iCs/>
          <w:sz w:val="22"/>
          <w:szCs w:val="22"/>
        </w:rPr>
        <w:t>I</w:t>
      </w:r>
      <w:r w:rsidRPr="00655EAF">
        <w:rPr>
          <w:b/>
          <w:i/>
          <w:iCs/>
          <w:sz w:val="22"/>
          <w:szCs w:val="22"/>
        </w:rPr>
        <w:t>ntravenózní podání:</w:t>
      </w:r>
      <w:r w:rsidRPr="00655EAF">
        <w:rPr>
          <w:sz w:val="22"/>
          <w:szCs w:val="22"/>
        </w:rPr>
        <w:t xml:space="preserve"> Aplikujte </w:t>
      </w:r>
      <w:proofErr w:type="spellStart"/>
      <w:r w:rsidRPr="00655EAF">
        <w:rPr>
          <w:sz w:val="22"/>
          <w:szCs w:val="22"/>
        </w:rPr>
        <w:t>butorfanol</w:t>
      </w:r>
      <w:proofErr w:type="spellEnd"/>
      <w:r w:rsidRPr="00655EAF">
        <w:rPr>
          <w:sz w:val="22"/>
          <w:szCs w:val="22"/>
        </w:rPr>
        <w:t xml:space="preserve"> v dávce 0,1 mg/kg ž. hm., což odpovídá dávce 0,01 ml přípravku/kg ž. hm., tj. 0,05 ml přípravku/5 kg ž. hm. i</w:t>
      </w:r>
      <w:r w:rsidRPr="00112103">
        <w:rPr>
          <w:sz w:val="22"/>
          <w:szCs w:val="22"/>
        </w:rPr>
        <w:t>ntravenózně</w:t>
      </w:r>
      <w:r w:rsidRPr="00655EAF">
        <w:rPr>
          <w:sz w:val="22"/>
          <w:szCs w:val="22"/>
        </w:rPr>
        <w:t>.</w:t>
      </w:r>
    </w:p>
    <w:p w:rsidR="00112103" w:rsidRPr="00BD72CD" w:rsidRDefault="00112103" w:rsidP="00112103">
      <w:pPr>
        <w:jc w:val="both"/>
        <w:rPr>
          <w:sz w:val="22"/>
          <w:szCs w:val="22"/>
        </w:rPr>
      </w:pPr>
      <w:r w:rsidRPr="00BD72CD">
        <w:rPr>
          <w:sz w:val="22"/>
          <w:szCs w:val="22"/>
        </w:rPr>
        <w:t>Aplikujte 15 minut před plánovaným ukončením anestezie.</w:t>
      </w:r>
    </w:p>
    <w:p w:rsidR="00112103" w:rsidRDefault="00112103" w:rsidP="00112103">
      <w:pPr>
        <w:rPr>
          <w:sz w:val="22"/>
          <w:szCs w:val="22"/>
          <w:u w:val="single"/>
        </w:rPr>
      </w:pPr>
    </w:p>
    <w:p w:rsidR="00112103" w:rsidRPr="000772EC" w:rsidRDefault="00112103" w:rsidP="00112103">
      <w:pPr>
        <w:rPr>
          <w:sz w:val="22"/>
          <w:szCs w:val="22"/>
          <w:u w:val="single"/>
        </w:rPr>
      </w:pPr>
      <w:r w:rsidRPr="000772EC">
        <w:rPr>
          <w:sz w:val="22"/>
          <w:szCs w:val="22"/>
          <w:u w:val="single"/>
        </w:rPr>
        <w:t>Jako sedativum: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B</w:t>
      </w:r>
      <w:r w:rsidRPr="000772EC">
        <w:rPr>
          <w:b/>
          <w:sz w:val="22"/>
          <w:szCs w:val="22"/>
        </w:rPr>
        <w:t>utorfanol</w:t>
      </w:r>
      <w:proofErr w:type="spellEnd"/>
      <w:r w:rsidRPr="000772EC">
        <w:rPr>
          <w:b/>
          <w:sz w:val="22"/>
          <w:szCs w:val="22"/>
        </w:rPr>
        <w:t xml:space="preserve"> v kombinaci s </w:t>
      </w:r>
      <w:proofErr w:type="spellStart"/>
      <w:r w:rsidRPr="000772EC">
        <w:rPr>
          <w:b/>
          <w:sz w:val="22"/>
          <w:szCs w:val="22"/>
        </w:rPr>
        <w:t>medetomidinem</w:t>
      </w:r>
      <w:proofErr w:type="spellEnd"/>
      <w:r w:rsidRPr="000772EC">
        <w:rPr>
          <w:sz w:val="22"/>
          <w:szCs w:val="22"/>
        </w:rPr>
        <w:t xml:space="preserve">: 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 xml:space="preserve">Aplikujte </w:t>
      </w:r>
      <w:proofErr w:type="spellStart"/>
      <w:r w:rsidRPr="000772EC">
        <w:rPr>
          <w:sz w:val="22"/>
          <w:szCs w:val="22"/>
        </w:rPr>
        <w:t>butorfanol</w:t>
      </w:r>
      <w:proofErr w:type="spellEnd"/>
      <w:r w:rsidRPr="000772EC">
        <w:rPr>
          <w:sz w:val="22"/>
          <w:szCs w:val="22"/>
        </w:rPr>
        <w:t xml:space="preserve"> v dávce 0,4 mg/kg ž. hm., což odpovídá dávce 0,04 ml přípravku/kg ž. hm. i</w:t>
      </w:r>
      <w:r w:rsidRPr="00112103">
        <w:rPr>
          <w:sz w:val="22"/>
          <w:szCs w:val="22"/>
        </w:rPr>
        <w:t>ntramuskulárně</w:t>
      </w:r>
      <w:r w:rsidRPr="000772EC">
        <w:rPr>
          <w:sz w:val="22"/>
          <w:szCs w:val="22"/>
        </w:rPr>
        <w:t xml:space="preserve"> nebo s</w:t>
      </w:r>
      <w:r w:rsidRPr="00112103">
        <w:rPr>
          <w:sz w:val="22"/>
          <w:szCs w:val="22"/>
        </w:rPr>
        <w:t>ubkutánně</w:t>
      </w:r>
      <w:r w:rsidRPr="000772EC">
        <w:rPr>
          <w:sz w:val="22"/>
          <w:szCs w:val="22"/>
        </w:rPr>
        <w:t xml:space="preserve">. Bezprostředně poté aplikujte </w:t>
      </w:r>
      <w:proofErr w:type="spellStart"/>
      <w:r w:rsidRPr="000772EC">
        <w:rPr>
          <w:sz w:val="22"/>
          <w:szCs w:val="22"/>
        </w:rPr>
        <w:t>medetomidin</w:t>
      </w:r>
      <w:proofErr w:type="spellEnd"/>
      <w:r w:rsidRPr="000772EC">
        <w:rPr>
          <w:sz w:val="22"/>
          <w:szCs w:val="22"/>
        </w:rPr>
        <w:t xml:space="preserve"> </w:t>
      </w:r>
      <w:proofErr w:type="spellStart"/>
      <w:r w:rsidRPr="000772EC">
        <w:rPr>
          <w:sz w:val="22"/>
          <w:szCs w:val="22"/>
        </w:rPr>
        <w:t>hydrochlorid</w:t>
      </w:r>
      <w:proofErr w:type="spellEnd"/>
      <w:r w:rsidRPr="000772EC">
        <w:rPr>
          <w:sz w:val="22"/>
          <w:szCs w:val="22"/>
        </w:rPr>
        <w:t xml:space="preserve"> v dávce 0,05 mg/kg ž. hm. s</w:t>
      </w:r>
      <w:r w:rsidRPr="00112103">
        <w:rPr>
          <w:sz w:val="22"/>
          <w:szCs w:val="22"/>
        </w:rPr>
        <w:t>ubkutánně</w:t>
      </w:r>
      <w:r w:rsidRPr="000772EC">
        <w:rPr>
          <w:sz w:val="22"/>
          <w:szCs w:val="22"/>
        </w:rPr>
        <w:t xml:space="preserve"> nebo i</w:t>
      </w:r>
      <w:r w:rsidRPr="00112103">
        <w:rPr>
          <w:sz w:val="22"/>
          <w:szCs w:val="22"/>
        </w:rPr>
        <w:t>ntramuskulárně</w:t>
      </w:r>
      <w:r w:rsidRPr="000772EC">
        <w:rPr>
          <w:sz w:val="22"/>
          <w:szCs w:val="22"/>
        </w:rPr>
        <w:t>. Obě léčiva podávejte odděleně, nikoli v jedné injekční stříkačce (viz bod 6.2 Inkompatibility).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 xml:space="preserve">Pro použití u chirurgického šití ran by měla být použita lokální anestezie. 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>Pro návrat z</w:t>
      </w:r>
      <w:r>
        <w:rPr>
          <w:sz w:val="22"/>
          <w:szCs w:val="22"/>
        </w:rPr>
        <w:t> </w:t>
      </w:r>
      <w:r w:rsidRPr="000772EC">
        <w:rPr>
          <w:sz w:val="22"/>
          <w:szCs w:val="22"/>
        </w:rPr>
        <w:t>anestezie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medetomidinem</w:t>
      </w:r>
      <w:proofErr w:type="spellEnd"/>
      <w:r w:rsidRPr="000772EC">
        <w:rPr>
          <w:sz w:val="22"/>
          <w:szCs w:val="22"/>
        </w:rPr>
        <w:t xml:space="preserve"> aplikujte </w:t>
      </w:r>
      <w:proofErr w:type="spellStart"/>
      <w:r w:rsidRPr="000772EC">
        <w:rPr>
          <w:sz w:val="22"/>
          <w:szCs w:val="22"/>
        </w:rPr>
        <w:t>atipamezol</w:t>
      </w:r>
      <w:proofErr w:type="spellEnd"/>
      <w:r w:rsidRPr="000772EC">
        <w:rPr>
          <w:sz w:val="22"/>
          <w:szCs w:val="22"/>
        </w:rPr>
        <w:t xml:space="preserve"> v dávce 0,125 mg/kg ž. hm. Přibližně po 4 minutách se pacient dostává do sternální polohy a za další 1 minutu se pacient postaví.</w:t>
      </w:r>
    </w:p>
    <w:p w:rsidR="00112103" w:rsidRDefault="00112103" w:rsidP="00112103">
      <w:pPr>
        <w:jc w:val="both"/>
        <w:rPr>
          <w:sz w:val="22"/>
          <w:szCs w:val="22"/>
          <w:u w:val="single"/>
        </w:rPr>
      </w:pPr>
    </w:p>
    <w:p w:rsidR="00112103" w:rsidRPr="000772EC" w:rsidRDefault="00112103" w:rsidP="00112103">
      <w:pPr>
        <w:jc w:val="both"/>
        <w:rPr>
          <w:b/>
          <w:sz w:val="22"/>
          <w:szCs w:val="22"/>
        </w:rPr>
      </w:pPr>
      <w:r w:rsidRPr="000772EC">
        <w:rPr>
          <w:sz w:val="22"/>
          <w:szCs w:val="22"/>
          <w:u w:val="single"/>
        </w:rPr>
        <w:t>Jako součást anestetického protokolu:</w:t>
      </w:r>
    </w:p>
    <w:p w:rsidR="00112103" w:rsidRPr="000772EC" w:rsidRDefault="00112103" w:rsidP="00112103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</w:t>
      </w:r>
      <w:r w:rsidRPr="000772EC">
        <w:rPr>
          <w:b/>
          <w:sz w:val="22"/>
          <w:szCs w:val="22"/>
        </w:rPr>
        <w:t>utorfanol</w:t>
      </w:r>
      <w:proofErr w:type="spellEnd"/>
      <w:r w:rsidRPr="000772EC">
        <w:rPr>
          <w:b/>
          <w:sz w:val="22"/>
          <w:szCs w:val="22"/>
        </w:rPr>
        <w:t xml:space="preserve"> v kombinaci s </w:t>
      </w:r>
      <w:proofErr w:type="spellStart"/>
      <w:r w:rsidRPr="000772EC">
        <w:rPr>
          <w:b/>
          <w:sz w:val="22"/>
          <w:szCs w:val="22"/>
        </w:rPr>
        <w:t>medetomidinem</w:t>
      </w:r>
      <w:proofErr w:type="spellEnd"/>
      <w:r w:rsidRPr="000772EC">
        <w:rPr>
          <w:b/>
          <w:sz w:val="22"/>
          <w:szCs w:val="22"/>
        </w:rPr>
        <w:t xml:space="preserve"> a </w:t>
      </w:r>
      <w:proofErr w:type="spellStart"/>
      <w:r w:rsidRPr="000772EC">
        <w:rPr>
          <w:b/>
          <w:sz w:val="22"/>
          <w:szCs w:val="22"/>
        </w:rPr>
        <w:t>ketaminem</w:t>
      </w:r>
      <w:proofErr w:type="spellEnd"/>
      <w:r w:rsidRPr="000772EC">
        <w:rPr>
          <w:b/>
          <w:sz w:val="22"/>
          <w:szCs w:val="22"/>
        </w:rPr>
        <w:t xml:space="preserve">: </w:t>
      </w:r>
    </w:p>
    <w:p w:rsidR="00112103" w:rsidRPr="000772EC" w:rsidRDefault="00112103" w:rsidP="00112103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lastRenderedPageBreak/>
        <w:t>I</w:t>
      </w:r>
      <w:r w:rsidRPr="00655EAF">
        <w:rPr>
          <w:rFonts w:ascii="Times New Roman" w:hAnsi="Times New Roman"/>
          <w:b/>
          <w:i/>
          <w:iCs/>
        </w:rPr>
        <w:t>ntravenózní podání:</w:t>
      </w:r>
      <w:r w:rsidRPr="000772EC">
        <w:rPr>
          <w:rFonts w:ascii="Times New Roman" w:hAnsi="Times New Roman"/>
        </w:rPr>
        <w:t xml:space="preserve"> </w:t>
      </w:r>
      <w:r w:rsidRPr="000772EC">
        <w:rPr>
          <w:rFonts w:ascii="Times New Roman" w:hAnsi="Times New Roman"/>
        </w:rPr>
        <w:br/>
        <w:t xml:space="preserve">Aplikujte </w:t>
      </w:r>
      <w:proofErr w:type="spellStart"/>
      <w:r w:rsidRPr="000772EC">
        <w:rPr>
          <w:rFonts w:ascii="Times New Roman" w:hAnsi="Times New Roman"/>
        </w:rPr>
        <w:t>butorfanol</w:t>
      </w:r>
      <w:proofErr w:type="spellEnd"/>
      <w:r w:rsidRPr="000772EC">
        <w:rPr>
          <w:rFonts w:ascii="Times New Roman" w:hAnsi="Times New Roman"/>
        </w:rPr>
        <w:t xml:space="preserve"> v dávce 0,1 mg/kg ž. hm., což odpovídá dávce 0,01 ml přípravku/kg ž. hm. i</w:t>
      </w:r>
      <w:r w:rsidRPr="00112103">
        <w:rPr>
          <w:rFonts w:ascii="Times New Roman" w:hAnsi="Times New Roman"/>
        </w:rPr>
        <w:t>ntravenózně</w:t>
      </w:r>
      <w:r w:rsidRPr="000772EC">
        <w:rPr>
          <w:rFonts w:ascii="Times New Roman" w:hAnsi="Times New Roman"/>
        </w:rPr>
        <w:t xml:space="preserve">. Bezprostředně poté aplikujte </w:t>
      </w:r>
      <w:proofErr w:type="spellStart"/>
      <w:r w:rsidRPr="000772EC">
        <w:rPr>
          <w:rFonts w:ascii="Times New Roman" w:hAnsi="Times New Roman"/>
        </w:rPr>
        <w:t>medetomidin</w:t>
      </w:r>
      <w:proofErr w:type="spellEnd"/>
      <w:r w:rsidRPr="000772EC">
        <w:rPr>
          <w:rFonts w:ascii="Times New Roman" w:hAnsi="Times New Roman"/>
        </w:rPr>
        <w:t xml:space="preserve"> </w:t>
      </w:r>
      <w:proofErr w:type="spellStart"/>
      <w:r w:rsidRPr="000772EC">
        <w:rPr>
          <w:rFonts w:ascii="Times New Roman" w:hAnsi="Times New Roman"/>
        </w:rPr>
        <w:t>hydrochlorid</w:t>
      </w:r>
      <w:proofErr w:type="spellEnd"/>
      <w:r w:rsidRPr="000772EC">
        <w:rPr>
          <w:rFonts w:ascii="Times New Roman" w:hAnsi="Times New Roman"/>
        </w:rPr>
        <w:t xml:space="preserve"> v dávce 0,04 mg/kg ž. hm. i</w:t>
      </w:r>
      <w:r w:rsidRPr="00112103">
        <w:rPr>
          <w:rFonts w:ascii="Times New Roman" w:hAnsi="Times New Roman"/>
        </w:rPr>
        <w:t>ntravenózně</w:t>
      </w:r>
      <w:r w:rsidRPr="000772EC">
        <w:rPr>
          <w:rFonts w:ascii="Times New Roman" w:hAnsi="Times New Roman"/>
        </w:rPr>
        <w:t xml:space="preserve"> a </w:t>
      </w:r>
      <w:proofErr w:type="spellStart"/>
      <w:r w:rsidRPr="000772EC">
        <w:rPr>
          <w:rFonts w:ascii="Times New Roman" w:hAnsi="Times New Roman"/>
        </w:rPr>
        <w:t>ketamin</w:t>
      </w:r>
      <w:proofErr w:type="spellEnd"/>
      <w:r w:rsidRPr="000772EC">
        <w:rPr>
          <w:rFonts w:ascii="Times New Roman" w:hAnsi="Times New Roman"/>
        </w:rPr>
        <w:t xml:space="preserve"> v dávce 1,25-2,5 mg/kg ž. hm. i</w:t>
      </w:r>
      <w:r w:rsidRPr="00112103">
        <w:rPr>
          <w:rFonts w:ascii="Times New Roman" w:hAnsi="Times New Roman"/>
        </w:rPr>
        <w:t>ntravenózně</w:t>
      </w:r>
      <w:r w:rsidRPr="000772EC">
        <w:rPr>
          <w:rFonts w:ascii="Times New Roman" w:hAnsi="Times New Roman"/>
        </w:rPr>
        <w:t xml:space="preserve">; </w:t>
      </w:r>
      <w:proofErr w:type="spellStart"/>
      <w:r w:rsidRPr="000772EC">
        <w:rPr>
          <w:rFonts w:ascii="Times New Roman" w:hAnsi="Times New Roman"/>
        </w:rPr>
        <w:t>ketamin</w:t>
      </w:r>
      <w:proofErr w:type="spellEnd"/>
      <w:r w:rsidRPr="000772EC">
        <w:rPr>
          <w:rFonts w:ascii="Times New Roman" w:hAnsi="Times New Roman"/>
        </w:rPr>
        <w:t xml:space="preserve"> dávkujte podle </w:t>
      </w:r>
      <w:r>
        <w:rPr>
          <w:rFonts w:ascii="Times New Roman" w:hAnsi="Times New Roman"/>
        </w:rPr>
        <w:t xml:space="preserve">účinku, aby se dosáhlo </w:t>
      </w:r>
      <w:r w:rsidRPr="000772EC">
        <w:rPr>
          <w:rFonts w:ascii="Times New Roman" w:hAnsi="Times New Roman"/>
        </w:rPr>
        <w:t>potřebné</w:t>
      </w:r>
      <w:r>
        <w:rPr>
          <w:rFonts w:ascii="Times New Roman" w:hAnsi="Times New Roman"/>
        </w:rPr>
        <w:t xml:space="preserve"> indukce a</w:t>
      </w:r>
      <w:r w:rsidRPr="000772EC">
        <w:rPr>
          <w:rFonts w:ascii="Times New Roman" w:hAnsi="Times New Roman"/>
        </w:rPr>
        <w:t xml:space="preserve"> hloubky anestezie. Léčiva podávejte odděleně, nikoli v jedné injekční stříkačce (viz bod 6.2 Inkompatibility).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>Pacient ulehne během 2-3 minut po aplikaci</w:t>
      </w:r>
      <w:r>
        <w:rPr>
          <w:sz w:val="22"/>
          <w:szCs w:val="22"/>
        </w:rPr>
        <w:t xml:space="preserve"> </w:t>
      </w:r>
      <w:proofErr w:type="spellStart"/>
      <w:r w:rsidRPr="00112103">
        <w:rPr>
          <w:sz w:val="22"/>
          <w:szCs w:val="22"/>
        </w:rPr>
        <w:t>ketaminu</w:t>
      </w:r>
      <w:proofErr w:type="spellEnd"/>
      <w:r w:rsidRPr="00112103">
        <w:rPr>
          <w:sz w:val="22"/>
          <w:szCs w:val="22"/>
        </w:rPr>
        <w:t>, ale často téměř okamžitě</w:t>
      </w:r>
      <w:r w:rsidRPr="000772EC">
        <w:rPr>
          <w:sz w:val="22"/>
          <w:szCs w:val="22"/>
        </w:rPr>
        <w:t>. Ztráta pedálního reflexu nastává za 3 minuty po aplikaci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ketaminu</w:t>
      </w:r>
      <w:proofErr w:type="spellEnd"/>
      <w:r w:rsidRPr="000772EC">
        <w:rPr>
          <w:sz w:val="22"/>
          <w:szCs w:val="22"/>
        </w:rPr>
        <w:t>. Pro návrat z</w:t>
      </w:r>
      <w:r>
        <w:rPr>
          <w:sz w:val="22"/>
          <w:szCs w:val="22"/>
        </w:rPr>
        <w:t> </w:t>
      </w:r>
      <w:r w:rsidRPr="000772EC">
        <w:rPr>
          <w:sz w:val="22"/>
          <w:szCs w:val="22"/>
        </w:rPr>
        <w:t>anestezie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medetomidinem</w:t>
      </w:r>
      <w:proofErr w:type="spellEnd"/>
      <w:r w:rsidRPr="000772EC">
        <w:rPr>
          <w:sz w:val="22"/>
          <w:szCs w:val="22"/>
        </w:rPr>
        <w:t xml:space="preserve"> aplikujte </w:t>
      </w:r>
      <w:proofErr w:type="spellStart"/>
      <w:r w:rsidRPr="000772EC">
        <w:rPr>
          <w:sz w:val="22"/>
          <w:szCs w:val="22"/>
        </w:rPr>
        <w:t>atipamezol</w:t>
      </w:r>
      <w:proofErr w:type="spellEnd"/>
      <w:r w:rsidRPr="000772EC">
        <w:rPr>
          <w:sz w:val="22"/>
          <w:szCs w:val="22"/>
        </w:rPr>
        <w:t xml:space="preserve"> v dávce 0,2 mg/kg ž. hm. Přibližně do 2 minut se obnoví pedální reflex, přibližně za 6 minut se pacient dostává do sternální polohy a za dalších 18 minut se pacient postaví. </w:t>
      </w:r>
    </w:p>
    <w:p w:rsidR="00112103" w:rsidRPr="000772EC" w:rsidRDefault="00112103" w:rsidP="00112103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I</w:t>
      </w:r>
      <w:r w:rsidRPr="00655EAF">
        <w:rPr>
          <w:rFonts w:ascii="Times New Roman" w:hAnsi="Times New Roman"/>
          <w:b/>
          <w:i/>
          <w:iCs/>
        </w:rPr>
        <w:t>ntramuskulární podání:</w:t>
      </w:r>
      <w:r w:rsidRPr="000772EC">
        <w:rPr>
          <w:rFonts w:ascii="Times New Roman" w:hAnsi="Times New Roman"/>
        </w:rPr>
        <w:t xml:space="preserve"> </w:t>
      </w:r>
      <w:r w:rsidRPr="000772EC">
        <w:rPr>
          <w:rFonts w:ascii="Times New Roman" w:hAnsi="Times New Roman"/>
        </w:rPr>
        <w:br/>
        <w:t xml:space="preserve">Aplikujte </w:t>
      </w:r>
      <w:proofErr w:type="spellStart"/>
      <w:r w:rsidRPr="000772EC">
        <w:rPr>
          <w:rFonts w:ascii="Times New Roman" w:hAnsi="Times New Roman"/>
        </w:rPr>
        <w:t>butorfanol</w:t>
      </w:r>
      <w:proofErr w:type="spellEnd"/>
      <w:r w:rsidRPr="000772EC">
        <w:rPr>
          <w:rFonts w:ascii="Times New Roman" w:hAnsi="Times New Roman"/>
        </w:rPr>
        <w:t xml:space="preserve"> v dávce 0,4 mg/kg ž. hm., což odpovídá dávce 0,04 ml přípravku/kg ž. hm. i</w:t>
      </w:r>
      <w:r w:rsidRPr="00112103">
        <w:rPr>
          <w:rFonts w:ascii="Times New Roman" w:hAnsi="Times New Roman"/>
        </w:rPr>
        <w:t>ntramuskulárně</w:t>
      </w:r>
      <w:r w:rsidRPr="000772EC">
        <w:rPr>
          <w:rFonts w:ascii="Times New Roman" w:hAnsi="Times New Roman"/>
        </w:rPr>
        <w:t xml:space="preserve">. Bezprostředně poté aplikujte </w:t>
      </w:r>
      <w:proofErr w:type="spellStart"/>
      <w:r w:rsidRPr="000772EC">
        <w:rPr>
          <w:rFonts w:ascii="Times New Roman" w:hAnsi="Times New Roman"/>
        </w:rPr>
        <w:t>medetomidin</w:t>
      </w:r>
      <w:proofErr w:type="spellEnd"/>
      <w:r w:rsidRPr="000772EC">
        <w:rPr>
          <w:rFonts w:ascii="Times New Roman" w:hAnsi="Times New Roman"/>
        </w:rPr>
        <w:t xml:space="preserve"> </w:t>
      </w:r>
      <w:proofErr w:type="spellStart"/>
      <w:r w:rsidRPr="000772EC">
        <w:rPr>
          <w:rFonts w:ascii="Times New Roman" w:hAnsi="Times New Roman"/>
        </w:rPr>
        <w:t>hydrochlorid</w:t>
      </w:r>
      <w:proofErr w:type="spellEnd"/>
      <w:r w:rsidRPr="000772EC">
        <w:rPr>
          <w:rFonts w:ascii="Times New Roman" w:hAnsi="Times New Roman"/>
        </w:rPr>
        <w:t xml:space="preserve"> v dávce 0,08 mg/kg ž. hm. i</w:t>
      </w:r>
      <w:r w:rsidRPr="00112103">
        <w:rPr>
          <w:rFonts w:ascii="Times New Roman" w:hAnsi="Times New Roman"/>
        </w:rPr>
        <w:t>ntramuskulárně</w:t>
      </w:r>
      <w:r w:rsidRPr="000772EC">
        <w:rPr>
          <w:rFonts w:ascii="Times New Roman" w:hAnsi="Times New Roman"/>
        </w:rPr>
        <w:t xml:space="preserve"> a </w:t>
      </w:r>
      <w:proofErr w:type="spellStart"/>
      <w:r w:rsidRPr="000772EC">
        <w:rPr>
          <w:rFonts w:ascii="Times New Roman" w:hAnsi="Times New Roman"/>
        </w:rPr>
        <w:t>ketamin</w:t>
      </w:r>
      <w:proofErr w:type="spellEnd"/>
      <w:r w:rsidRPr="000772EC">
        <w:rPr>
          <w:rFonts w:ascii="Times New Roman" w:hAnsi="Times New Roman"/>
        </w:rPr>
        <w:t xml:space="preserve"> v dávce 5 mg/kg ž. hm. i</w:t>
      </w:r>
      <w:r w:rsidRPr="00112103">
        <w:rPr>
          <w:rFonts w:ascii="Times New Roman" w:hAnsi="Times New Roman"/>
        </w:rPr>
        <w:t>ntramuskulárně</w:t>
      </w:r>
      <w:r w:rsidRPr="000772EC">
        <w:rPr>
          <w:rFonts w:ascii="Times New Roman" w:hAnsi="Times New Roman"/>
        </w:rPr>
        <w:t>. Léčiva podávejte odděleně, nikoli v jedné injekční stříkačce (viz bod 6.2 Inkompatibility).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 xml:space="preserve">Nástup účinku a návrat je závislý na podané dávce </w:t>
      </w:r>
      <w:proofErr w:type="spellStart"/>
      <w:r w:rsidRPr="000772EC">
        <w:rPr>
          <w:sz w:val="22"/>
          <w:szCs w:val="22"/>
        </w:rPr>
        <w:t>ketaminu</w:t>
      </w:r>
      <w:proofErr w:type="spellEnd"/>
      <w:r w:rsidRPr="000772EC">
        <w:rPr>
          <w:sz w:val="22"/>
          <w:szCs w:val="22"/>
        </w:rPr>
        <w:t>. Pacient ulehne do 1 minuty včetně ztráty pedálního reflexu. Bez další medikace trvá anestezie až 60 minut</w:t>
      </w:r>
      <w:r>
        <w:rPr>
          <w:sz w:val="22"/>
          <w:szCs w:val="22"/>
        </w:rPr>
        <w:t xml:space="preserve"> </w:t>
      </w:r>
      <w:r w:rsidRPr="00112103">
        <w:rPr>
          <w:sz w:val="22"/>
          <w:szCs w:val="22"/>
        </w:rPr>
        <w:t>a poté se zvíře začíná vracet</w:t>
      </w:r>
      <w:r w:rsidRPr="000772EC">
        <w:rPr>
          <w:sz w:val="22"/>
          <w:szCs w:val="22"/>
        </w:rPr>
        <w:t xml:space="preserve"> do sternální polohy</w:t>
      </w:r>
      <w:r>
        <w:rPr>
          <w:sz w:val="22"/>
          <w:szCs w:val="22"/>
        </w:rPr>
        <w:t>.</w:t>
      </w:r>
      <w:r w:rsidRPr="000772EC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0772EC">
        <w:rPr>
          <w:sz w:val="22"/>
          <w:szCs w:val="22"/>
        </w:rPr>
        <w:t>acient se postaví během 70-83 minut. Pro návrat z</w:t>
      </w:r>
      <w:r>
        <w:rPr>
          <w:sz w:val="22"/>
          <w:szCs w:val="22"/>
        </w:rPr>
        <w:t> </w:t>
      </w:r>
      <w:r w:rsidRPr="000772EC">
        <w:rPr>
          <w:sz w:val="22"/>
          <w:szCs w:val="22"/>
        </w:rPr>
        <w:t>anestezie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medetomidinem</w:t>
      </w:r>
      <w:proofErr w:type="spellEnd"/>
      <w:r w:rsidRPr="000772EC">
        <w:rPr>
          <w:sz w:val="22"/>
          <w:szCs w:val="22"/>
        </w:rPr>
        <w:t xml:space="preserve"> aplikujte </w:t>
      </w:r>
      <w:proofErr w:type="spellStart"/>
      <w:r w:rsidRPr="000772EC">
        <w:rPr>
          <w:sz w:val="22"/>
          <w:szCs w:val="22"/>
        </w:rPr>
        <w:t>atipamezol</w:t>
      </w:r>
      <w:proofErr w:type="spellEnd"/>
      <w:r w:rsidRPr="000772EC">
        <w:rPr>
          <w:sz w:val="22"/>
          <w:szCs w:val="22"/>
        </w:rPr>
        <w:t xml:space="preserve"> v dávce 0,1 mg/kg ž. hm. Přibližně do 4 minut se obnoví pedální reflex, přibližně za 7 minut se pacient dostává do sternální polohy a za 18 minut se pacient postaví. </w:t>
      </w: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>Zátku lze propíchnout maximálně 50krát.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</w:p>
    <w:p w:rsidR="00112103" w:rsidRPr="000772EC" w:rsidRDefault="00112103" w:rsidP="00112103">
      <w:pPr>
        <w:ind w:left="567" w:hanging="567"/>
        <w:outlineLvl w:val="3"/>
        <w:rPr>
          <w:b/>
          <w:bCs/>
          <w:sz w:val="22"/>
          <w:szCs w:val="22"/>
        </w:rPr>
      </w:pPr>
      <w:bookmarkStart w:id="14" w:name="14"/>
      <w:r w:rsidRPr="000772EC">
        <w:rPr>
          <w:b/>
          <w:bCs/>
          <w:sz w:val="22"/>
          <w:szCs w:val="22"/>
        </w:rPr>
        <w:t>4.10</w:t>
      </w:r>
      <w:r>
        <w:rPr>
          <w:b/>
          <w:bCs/>
          <w:sz w:val="22"/>
          <w:szCs w:val="22"/>
        </w:rPr>
        <w:tab/>
      </w:r>
      <w:r w:rsidRPr="000772EC">
        <w:rPr>
          <w:b/>
          <w:bCs/>
          <w:sz w:val="22"/>
          <w:szCs w:val="22"/>
        </w:rPr>
        <w:t xml:space="preserve">Předávkování (symptomy, první pomoc, </w:t>
      </w:r>
      <w:proofErr w:type="spellStart"/>
      <w:r w:rsidRPr="000772EC">
        <w:rPr>
          <w:b/>
          <w:bCs/>
          <w:sz w:val="22"/>
          <w:szCs w:val="22"/>
        </w:rPr>
        <w:t>antidota</w:t>
      </w:r>
      <w:proofErr w:type="spellEnd"/>
      <w:r w:rsidRPr="000772EC">
        <w:rPr>
          <w:b/>
          <w:bCs/>
          <w:sz w:val="22"/>
          <w:szCs w:val="22"/>
        </w:rPr>
        <w:t>), pokud je to nutné</w:t>
      </w:r>
      <w:bookmarkEnd w:id="14"/>
    </w:p>
    <w:p w:rsidR="00112103" w:rsidRDefault="00112103" w:rsidP="00112103">
      <w:pPr>
        <w:jc w:val="both"/>
        <w:rPr>
          <w:sz w:val="22"/>
          <w:szCs w:val="22"/>
        </w:rPr>
      </w:pP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 xml:space="preserve">Nejvýznamnější následek předávkování je deprese dechu. Vhodným </w:t>
      </w:r>
      <w:proofErr w:type="spellStart"/>
      <w:r w:rsidRPr="000772EC">
        <w:rPr>
          <w:sz w:val="22"/>
          <w:szCs w:val="22"/>
        </w:rPr>
        <w:t>antidotem</w:t>
      </w:r>
      <w:proofErr w:type="spellEnd"/>
      <w:r w:rsidRPr="000772EC">
        <w:rPr>
          <w:sz w:val="22"/>
          <w:szCs w:val="22"/>
        </w:rPr>
        <w:t xml:space="preserve"> jsou antagonisté </w:t>
      </w:r>
      <w:proofErr w:type="spellStart"/>
      <w:r w:rsidRPr="000772EC">
        <w:rPr>
          <w:sz w:val="22"/>
          <w:szCs w:val="22"/>
        </w:rPr>
        <w:t>opiodidních</w:t>
      </w:r>
      <w:proofErr w:type="spellEnd"/>
      <w:r w:rsidRPr="000772EC">
        <w:rPr>
          <w:sz w:val="22"/>
          <w:szCs w:val="22"/>
        </w:rPr>
        <w:t xml:space="preserve"> </w:t>
      </w:r>
      <w:proofErr w:type="spellStart"/>
      <w:r w:rsidRPr="000772EC">
        <w:rPr>
          <w:sz w:val="22"/>
          <w:szCs w:val="22"/>
        </w:rPr>
        <w:t>recepterů</w:t>
      </w:r>
      <w:proofErr w:type="spellEnd"/>
      <w:r w:rsidRPr="000772EC">
        <w:rPr>
          <w:sz w:val="22"/>
          <w:szCs w:val="22"/>
        </w:rPr>
        <w:t xml:space="preserve"> (např. </w:t>
      </w:r>
      <w:proofErr w:type="spellStart"/>
      <w:r w:rsidRPr="000772EC">
        <w:rPr>
          <w:sz w:val="22"/>
          <w:szCs w:val="22"/>
        </w:rPr>
        <w:t>naloxon</w:t>
      </w:r>
      <w:proofErr w:type="spellEnd"/>
      <w:r w:rsidRPr="000772EC">
        <w:rPr>
          <w:sz w:val="22"/>
          <w:szCs w:val="22"/>
        </w:rPr>
        <w:t xml:space="preserve">). 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  <w:r w:rsidRPr="000772EC">
        <w:rPr>
          <w:sz w:val="22"/>
          <w:szCs w:val="22"/>
        </w:rPr>
        <w:t xml:space="preserve">Při předávkování </w:t>
      </w:r>
      <w:proofErr w:type="spellStart"/>
      <w:r w:rsidRPr="000772EC">
        <w:rPr>
          <w:sz w:val="22"/>
          <w:szCs w:val="22"/>
        </w:rPr>
        <w:t>butorfanolem</w:t>
      </w:r>
      <w:proofErr w:type="spellEnd"/>
      <w:r w:rsidRPr="000772EC">
        <w:rPr>
          <w:sz w:val="22"/>
          <w:szCs w:val="22"/>
        </w:rPr>
        <w:t xml:space="preserve"> v kombinaci s</w:t>
      </w:r>
      <w:r>
        <w:rPr>
          <w:sz w:val="22"/>
          <w:szCs w:val="22"/>
        </w:rPr>
        <w:t xml:space="preserve"> </w:t>
      </w:r>
      <w:r w:rsidRPr="000772EC">
        <w:rPr>
          <w:sz w:val="22"/>
          <w:szCs w:val="22"/>
        </w:rPr>
        <w:t>α</w:t>
      </w:r>
      <w:r w:rsidRPr="00613461">
        <w:rPr>
          <w:sz w:val="22"/>
          <w:szCs w:val="22"/>
          <w:vertAlign w:val="subscript"/>
        </w:rPr>
        <w:t>2</w:t>
      </w:r>
      <w:r w:rsidRPr="000772EC">
        <w:rPr>
          <w:sz w:val="22"/>
          <w:szCs w:val="22"/>
        </w:rPr>
        <w:t>-adrenoceptor</w:t>
      </w:r>
      <w:r>
        <w:rPr>
          <w:sz w:val="22"/>
          <w:szCs w:val="22"/>
        </w:rPr>
        <w:t xml:space="preserve">ovými </w:t>
      </w:r>
      <w:r w:rsidRPr="00613461">
        <w:rPr>
          <w:sz w:val="22"/>
          <w:szCs w:val="22"/>
        </w:rPr>
        <w:t>agonisty</w:t>
      </w:r>
      <w:r w:rsidRPr="000772EC" w:rsidDel="00500EDA">
        <w:rPr>
          <w:sz w:val="22"/>
          <w:szCs w:val="22"/>
        </w:rPr>
        <w:t xml:space="preserve"> </w:t>
      </w:r>
      <w:r w:rsidRPr="006651B1">
        <w:rPr>
          <w:sz w:val="22"/>
          <w:szCs w:val="22"/>
        </w:rPr>
        <w:t xml:space="preserve">(např. </w:t>
      </w:r>
      <w:proofErr w:type="spellStart"/>
      <w:r w:rsidRPr="006651B1">
        <w:rPr>
          <w:sz w:val="22"/>
          <w:szCs w:val="22"/>
        </w:rPr>
        <w:t>xylazin</w:t>
      </w:r>
      <w:r>
        <w:rPr>
          <w:sz w:val="22"/>
          <w:szCs w:val="22"/>
        </w:rPr>
        <w:t>em</w:t>
      </w:r>
      <w:proofErr w:type="spellEnd"/>
      <w:r w:rsidRPr="006651B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 w:rsidRPr="000772EC">
        <w:rPr>
          <w:sz w:val="22"/>
          <w:szCs w:val="22"/>
        </w:rPr>
        <w:t>medetomidin</w:t>
      </w:r>
      <w:proofErr w:type="spellEnd"/>
      <w:r w:rsidRPr="000772EC">
        <w:rPr>
          <w:sz w:val="22"/>
          <w:szCs w:val="22"/>
        </w:rPr>
        <w:t xml:space="preserve"> </w:t>
      </w:r>
      <w:proofErr w:type="spellStart"/>
      <w:r w:rsidRPr="000772EC">
        <w:rPr>
          <w:sz w:val="22"/>
          <w:szCs w:val="22"/>
        </w:rPr>
        <w:t>hydrochloridem</w:t>
      </w:r>
      <w:proofErr w:type="spellEnd"/>
      <w:r>
        <w:rPr>
          <w:sz w:val="22"/>
          <w:szCs w:val="22"/>
        </w:rPr>
        <w:t>)</w:t>
      </w:r>
      <w:r w:rsidRPr="000772EC">
        <w:rPr>
          <w:sz w:val="22"/>
          <w:szCs w:val="22"/>
        </w:rPr>
        <w:t xml:space="preserve"> je vhodným </w:t>
      </w:r>
      <w:proofErr w:type="spellStart"/>
      <w:r w:rsidRPr="000772EC">
        <w:rPr>
          <w:sz w:val="22"/>
          <w:szCs w:val="22"/>
        </w:rPr>
        <w:t>antidotem</w:t>
      </w:r>
      <w:proofErr w:type="spellEnd"/>
      <w:r w:rsidRPr="000772EC">
        <w:rPr>
          <w:sz w:val="22"/>
          <w:szCs w:val="22"/>
        </w:rPr>
        <w:t xml:space="preserve"> </w:t>
      </w:r>
      <w:proofErr w:type="spellStart"/>
      <w:r w:rsidRPr="000772EC">
        <w:rPr>
          <w:sz w:val="22"/>
          <w:szCs w:val="22"/>
        </w:rPr>
        <w:t>atipemazol</w:t>
      </w:r>
      <w:proofErr w:type="spellEnd"/>
      <w:r w:rsidRPr="000772EC">
        <w:rPr>
          <w:sz w:val="22"/>
          <w:szCs w:val="22"/>
        </w:rPr>
        <w:t xml:space="preserve">, s výjimkou intramuskulárního podání kombinace </w:t>
      </w:r>
      <w:proofErr w:type="spellStart"/>
      <w:r w:rsidRPr="000772EC">
        <w:rPr>
          <w:sz w:val="22"/>
          <w:szCs w:val="22"/>
        </w:rPr>
        <w:t>butorfanol</w:t>
      </w:r>
      <w:proofErr w:type="spellEnd"/>
      <w:r>
        <w:rPr>
          <w:sz w:val="22"/>
          <w:szCs w:val="22"/>
        </w:rPr>
        <w:t>/</w:t>
      </w:r>
      <w:proofErr w:type="spellStart"/>
      <w:r w:rsidRPr="000772EC">
        <w:rPr>
          <w:sz w:val="22"/>
          <w:szCs w:val="22"/>
        </w:rPr>
        <w:t>medetomidin</w:t>
      </w:r>
      <w:proofErr w:type="spellEnd"/>
      <w:r>
        <w:rPr>
          <w:sz w:val="22"/>
          <w:szCs w:val="22"/>
        </w:rPr>
        <w:t>/</w:t>
      </w:r>
      <w:proofErr w:type="spellStart"/>
      <w:r w:rsidRPr="000772EC">
        <w:rPr>
          <w:sz w:val="22"/>
          <w:szCs w:val="22"/>
        </w:rPr>
        <w:t>ketamin</w:t>
      </w:r>
      <w:proofErr w:type="spellEnd"/>
      <w:r w:rsidRPr="000772EC">
        <w:rPr>
          <w:sz w:val="22"/>
          <w:szCs w:val="22"/>
        </w:rPr>
        <w:t xml:space="preserve"> u psů. </w:t>
      </w:r>
    </w:p>
    <w:p w:rsidR="00112103" w:rsidRPr="000772EC" w:rsidRDefault="00112103" w:rsidP="00112103">
      <w:pPr>
        <w:jc w:val="both"/>
        <w:rPr>
          <w:sz w:val="22"/>
          <w:szCs w:val="22"/>
        </w:rPr>
      </w:pPr>
    </w:p>
    <w:p w:rsidR="00112103" w:rsidRPr="00655EAF" w:rsidRDefault="00112103" w:rsidP="00112103">
      <w:pPr>
        <w:ind w:left="567" w:hanging="567"/>
        <w:rPr>
          <w:sz w:val="22"/>
          <w:szCs w:val="22"/>
        </w:rPr>
      </w:pPr>
      <w:bookmarkStart w:id="15" w:name="15"/>
      <w:r w:rsidRPr="000772EC">
        <w:rPr>
          <w:b/>
          <w:bCs/>
          <w:sz w:val="22"/>
          <w:szCs w:val="22"/>
        </w:rPr>
        <w:t>4.11</w:t>
      </w:r>
      <w:r>
        <w:rPr>
          <w:b/>
          <w:bCs/>
          <w:sz w:val="22"/>
          <w:szCs w:val="22"/>
        </w:rPr>
        <w:tab/>
      </w:r>
      <w:bookmarkEnd w:id="15"/>
      <w:r w:rsidRPr="00655EAF">
        <w:rPr>
          <w:b/>
          <w:sz w:val="22"/>
          <w:szCs w:val="22"/>
        </w:rPr>
        <w:t>Ochranná(é) lhůta(y)</w:t>
      </w:r>
    </w:p>
    <w:p w:rsidR="00112103" w:rsidRDefault="00112103" w:rsidP="00112103">
      <w:pPr>
        <w:pStyle w:val="Bezmezer"/>
        <w:rPr>
          <w:rFonts w:ascii="Times New Roman" w:hAnsi="Times New Roman"/>
          <w:noProof/>
        </w:rPr>
      </w:pPr>
    </w:p>
    <w:p w:rsidR="00112103" w:rsidRPr="001249D4" w:rsidRDefault="00112103" w:rsidP="00112103">
      <w:pPr>
        <w:pStyle w:val="Bezmezer"/>
        <w:rPr>
          <w:rFonts w:ascii="Times New Roman" w:hAnsi="Times New Roman"/>
          <w:noProof/>
        </w:rPr>
      </w:pPr>
      <w:r w:rsidRPr="000772EC">
        <w:rPr>
          <w:rFonts w:ascii="Times New Roman" w:hAnsi="Times New Roman"/>
          <w:noProof/>
        </w:rPr>
        <w:t>K</w:t>
      </w:r>
      <w:r>
        <w:rPr>
          <w:rFonts w:ascii="Times New Roman" w:hAnsi="Times New Roman"/>
          <w:noProof/>
        </w:rPr>
        <w:t>oně</w:t>
      </w:r>
      <w:r w:rsidRPr="000772EC">
        <w:rPr>
          <w:rFonts w:ascii="Times New Roman" w:hAnsi="Times New Roman"/>
          <w:noProof/>
        </w:rPr>
        <w:t xml:space="preserve">: </w:t>
      </w:r>
    </w:p>
    <w:p w:rsidR="00112103" w:rsidRPr="00DC6E9C" w:rsidRDefault="00112103" w:rsidP="00112103">
      <w:pPr>
        <w:pStyle w:val="Bezmezer"/>
        <w:rPr>
          <w:rFonts w:ascii="Times New Roman" w:hAnsi="Times New Roman"/>
          <w:noProof/>
        </w:rPr>
      </w:pPr>
      <w:r w:rsidRPr="001249D4">
        <w:rPr>
          <w:rFonts w:ascii="Times New Roman" w:hAnsi="Times New Roman"/>
          <w:noProof/>
        </w:rPr>
        <w:t>Maso: Bez ochranných lhůt.</w:t>
      </w:r>
    </w:p>
    <w:p w:rsidR="00112103" w:rsidRPr="00A3422D" w:rsidRDefault="00112103" w:rsidP="00112103">
      <w:pPr>
        <w:pStyle w:val="Bezmezer"/>
        <w:rPr>
          <w:rFonts w:ascii="Times New Roman" w:hAnsi="Times New Roman"/>
          <w:noProof/>
        </w:rPr>
      </w:pPr>
      <w:r w:rsidRPr="00A3422D">
        <w:rPr>
          <w:rFonts w:ascii="Times New Roman" w:hAnsi="Times New Roman"/>
          <w:noProof/>
        </w:rPr>
        <w:t>Mléko: Bez ochranných lhůt.</w:t>
      </w:r>
    </w:p>
    <w:p w:rsidR="00112103" w:rsidRDefault="00112103" w:rsidP="00112103">
      <w:pPr>
        <w:pStyle w:val="Bezmezer"/>
        <w:rPr>
          <w:rFonts w:ascii="Times New Roman" w:hAnsi="Times New Roman"/>
          <w:noProof/>
        </w:rPr>
      </w:pPr>
    </w:p>
    <w:p w:rsidR="00112103" w:rsidRPr="00706905" w:rsidRDefault="00112103" w:rsidP="00112103">
      <w:pPr>
        <w:pStyle w:val="Bezmezer"/>
        <w:rPr>
          <w:rFonts w:ascii="Times New Roman" w:hAnsi="Times New Roman"/>
          <w:noProof/>
        </w:rPr>
      </w:pPr>
    </w:p>
    <w:p w:rsidR="00112103" w:rsidRPr="000772EC" w:rsidRDefault="00112103" w:rsidP="00112103">
      <w:pPr>
        <w:keepNext/>
        <w:ind w:left="567" w:hanging="567"/>
        <w:jc w:val="both"/>
        <w:rPr>
          <w:sz w:val="22"/>
          <w:szCs w:val="22"/>
        </w:rPr>
      </w:pPr>
      <w:bookmarkStart w:id="16" w:name="16"/>
      <w:r w:rsidRPr="00706905">
        <w:rPr>
          <w:b/>
          <w:bCs/>
          <w:sz w:val="22"/>
          <w:szCs w:val="22"/>
        </w:rPr>
        <w:t>5.</w:t>
      </w:r>
      <w:r>
        <w:rPr>
          <w:b/>
          <w:bCs/>
          <w:sz w:val="22"/>
          <w:szCs w:val="22"/>
        </w:rPr>
        <w:tab/>
      </w:r>
      <w:r w:rsidRPr="000772EC">
        <w:rPr>
          <w:b/>
          <w:bCs/>
          <w:sz w:val="22"/>
          <w:szCs w:val="22"/>
        </w:rPr>
        <w:t>FARMAKOLOGICKÉ VLASTNOSTI</w:t>
      </w:r>
      <w:bookmarkEnd w:id="16"/>
    </w:p>
    <w:p w:rsidR="00112103" w:rsidRDefault="00112103" w:rsidP="00112103">
      <w:pPr>
        <w:keepNext/>
        <w:rPr>
          <w:sz w:val="22"/>
          <w:szCs w:val="22"/>
        </w:rPr>
      </w:pPr>
    </w:p>
    <w:p w:rsidR="00112103" w:rsidRDefault="00112103" w:rsidP="00112103">
      <w:pPr>
        <w:keepNext/>
        <w:rPr>
          <w:sz w:val="22"/>
          <w:szCs w:val="22"/>
        </w:rPr>
      </w:pPr>
      <w:r w:rsidRPr="007337A0">
        <w:rPr>
          <w:sz w:val="22"/>
          <w:szCs w:val="22"/>
        </w:rPr>
        <w:t xml:space="preserve">Farmakoterapeutická skupina: analgetika, deriváty </w:t>
      </w:r>
      <w:proofErr w:type="spellStart"/>
      <w:r w:rsidRPr="007337A0">
        <w:rPr>
          <w:sz w:val="22"/>
          <w:szCs w:val="22"/>
        </w:rPr>
        <w:t>morfinanu</w:t>
      </w:r>
      <w:proofErr w:type="spellEnd"/>
      <w:r w:rsidRPr="007337A0">
        <w:rPr>
          <w:sz w:val="22"/>
          <w:szCs w:val="22"/>
        </w:rPr>
        <w:t>.</w:t>
      </w:r>
      <w:r w:rsidRPr="007337A0">
        <w:rPr>
          <w:sz w:val="22"/>
          <w:szCs w:val="22"/>
        </w:rPr>
        <w:br/>
      </w:r>
      <w:proofErr w:type="spellStart"/>
      <w:r w:rsidRPr="007337A0">
        <w:rPr>
          <w:sz w:val="22"/>
          <w:szCs w:val="22"/>
        </w:rPr>
        <w:t>ATCvet</w:t>
      </w:r>
      <w:proofErr w:type="spellEnd"/>
      <w:r w:rsidRPr="007337A0">
        <w:rPr>
          <w:sz w:val="22"/>
          <w:szCs w:val="22"/>
        </w:rPr>
        <w:t xml:space="preserve"> kód: QN02AF01.</w:t>
      </w:r>
    </w:p>
    <w:p w:rsidR="00112103" w:rsidRPr="00706905" w:rsidRDefault="00112103" w:rsidP="00112103">
      <w:pPr>
        <w:rPr>
          <w:sz w:val="22"/>
          <w:szCs w:val="22"/>
        </w:rPr>
      </w:pPr>
    </w:p>
    <w:p w:rsidR="00112103" w:rsidRPr="00706905" w:rsidRDefault="00112103" w:rsidP="00112103">
      <w:pPr>
        <w:ind w:left="567" w:hanging="567"/>
        <w:outlineLvl w:val="3"/>
        <w:rPr>
          <w:b/>
          <w:bCs/>
          <w:sz w:val="22"/>
          <w:szCs w:val="22"/>
        </w:rPr>
      </w:pPr>
      <w:r w:rsidRPr="00706905">
        <w:rPr>
          <w:b/>
          <w:bCs/>
          <w:sz w:val="22"/>
          <w:szCs w:val="22"/>
        </w:rPr>
        <w:t>5.1</w:t>
      </w:r>
      <w:r w:rsidRPr="00706905">
        <w:rPr>
          <w:b/>
          <w:bCs/>
          <w:sz w:val="22"/>
          <w:szCs w:val="22"/>
        </w:rPr>
        <w:tab/>
        <w:t>Farmakodynamické vlastnosti</w:t>
      </w:r>
    </w:p>
    <w:p w:rsidR="00112103" w:rsidRDefault="00112103" w:rsidP="00112103">
      <w:pPr>
        <w:jc w:val="both"/>
        <w:rPr>
          <w:sz w:val="22"/>
          <w:szCs w:val="22"/>
        </w:rPr>
      </w:pPr>
    </w:p>
    <w:p w:rsidR="00112103" w:rsidRPr="00A3422D" w:rsidRDefault="00112103" w:rsidP="00112103">
      <w:pPr>
        <w:jc w:val="both"/>
        <w:rPr>
          <w:sz w:val="22"/>
          <w:szCs w:val="22"/>
        </w:rPr>
      </w:pPr>
      <w:r w:rsidRPr="00706905">
        <w:rPr>
          <w:sz w:val="22"/>
          <w:szCs w:val="22"/>
        </w:rPr>
        <w:t xml:space="preserve">Přípravek obsahuje </w:t>
      </w:r>
      <w:proofErr w:type="spellStart"/>
      <w:r w:rsidRPr="00706905">
        <w:rPr>
          <w:sz w:val="22"/>
          <w:szCs w:val="22"/>
        </w:rPr>
        <w:t>butorfanol</w:t>
      </w:r>
      <w:proofErr w:type="spellEnd"/>
      <w:r w:rsidRPr="00706905">
        <w:rPr>
          <w:sz w:val="22"/>
          <w:szCs w:val="22"/>
        </w:rPr>
        <w:t xml:space="preserve">, </w:t>
      </w:r>
      <w:proofErr w:type="spellStart"/>
      <w:r w:rsidRPr="00706905">
        <w:rPr>
          <w:sz w:val="22"/>
          <w:szCs w:val="22"/>
        </w:rPr>
        <w:t>opioidní</w:t>
      </w:r>
      <w:proofErr w:type="spellEnd"/>
      <w:r w:rsidRPr="00706905">
        <w:rPr>
          <w:sz w:val="22"/>
          <w:szCs w:val="22"/>
        </w:rPr>
        <w:t xml:space="preserve">, centrálně působící analgetikum. </w:t>
      </w:r>
      <w:proofErr w:type="spellStart"/>
      <w:r w:rsidRPr="00706905">
        <w:rPr>
          <w:sz w:val="22"/>
          <w:szCs w:val="22"/>
        </w:rPr>
        <w:t>Butorfanol</w:t>
      </w:r>
      <w:proofErr w:type="spellEnd"/>
      <w:r w:rsidRPr="00706905">
        <w:rPr>
          <w:sz w:val="22"/>
          <w:szCs w:val="22"/>
        </w:rPr>
        <w:t xml:space="preserve"> patří do skupiny agonistů a antagonistů. Analgetický účinek je </w:t>
      </w:r>
      <w:proofErr w:type="gramStart"/>
      <w:r w:rsidRPr="00706905">
        <w:rPr>
          <w:sz w:val="22"/>
          <w:szCs w:val="22"/>
        </w:rPr>
        <w:t>4-7krát</w:t>
      </w:r>
      <w:proofErr w:type="gramEnd"/>
      <w:r w:rsidRPr="00706905">
        <w:rPr>
          <w:sz w:val="22"/>
          <w:szCs w:val="22"/>
        </w:rPr>
        <w:t xml:space="preserve"> vyšší než účinek morfinu a narkoticko-antagonistická aktivita odpovídá 1/40 účinku </w:t>
      </w:r>
      <w:proofErr w:type="spellStart"/>
      <w:r w:rsidRPr="00706905">
        <w:rPr>
          <w:sz w:val="22"/>
          <w:szCs w:val="22"/>
        </w:rPr>
        <w:t>naloxonu</w:t>
      </w:r>
      <w:proofErr w:type="spellEnd"/>
      <w:r w:rsidRPr="00706905">
        <w:rPr>
          <w:sz w:val="22"/>
          <w:szCs w:val="22"/>
        </w:rPr>
        <w:t>. Analgetická aktivita je závislá na dávce, u koní působí 15-90 minut.</w:t>
      </w:r>
    </w:p>
    <w:p w:rsidR="00112103" w:rsidRDefault="00112103" w:rsidP="00112103">
      <w:pPr>
        <w:jc w:val="both"/>
        <w:rPr>
          <w:sz w:val="22"/>
          <w:szCs w:val="22"/>
        </w:rPr>
      </w:pPr>
      <w:r w:rsidRPr="00A77BFC">
        <w:rPr>
          <w:sz w:val="22"/>
          <w:szCs w:val="22"/>
        </w:rPr>
        <w:t xml:space="preserve">V kombinaci s </w:t>
      </w:r>
      <w:proofErr w:type="spellStart"/>
      <w:r w:rsidRPr="00A77BFC">
        <w:rPr>
          <w:sz w:val="22"/>
          <w:szCs w:val="22"/>
        </w:rPr>
        <w:t>medetomidinem</w:t>
      </w:r>
      <w:proofErr w:type="spellEnd"/>
      <w:r w:rsidRPr="00A77BFC">
        <w:rPr>
          <w:sz w:val="22"/>
          <w:szCs w:val="22"/>
        </w:rPr>
        <w:t xml:space="preserve">, </w:t>
      </w:r>
      <w:proofErr w:type="spellStart"/>
      <w:r w:rsidRPr="00A77BFC">
        <w:rPr>
          <w:sz w:val="22"/>
          <w:szCs w:val="22"/>
        </w:rPr>
        <w:t>detomidinem</w:t>
      </w:r>
      <w:proofErr w:type="spellEnd"/>
      <w:r w:rsidRPr="00A77BFC">
        <w:rPr>
          <w:sz w:val="22"/>
          <w:szCs w:val="22"/>
        </w:rPr>
        <w:t xml:space="preserve"> nebo </w:t>
      </w:r>
      <w:proofErr w:type="spellStart"/>
      <w:r w:rsidRPr="00A77BFC">
        <w:rPr>
          <w:sz w:val="22"/>
          <w:szCs w:val="22"/>
        </w:rPr>
        <w:t>romifidinem</w:t>
      </w:r>
      <w:proofErr w:type="spellEnd"/>
      <w:r w:rsidRPr="00A77BFC">
        <w:rPr>
          <w:sz w:val="22"/>
          <w:szCs w:val="22"/>
        </w:rPr>
        <w:t xml:space="preserve"> napomáhá </w:t>
      </w:r>
      <w:proofErr w:type="spellStart"/>
      <w:r w:rsidRPr="00A77BFC">
        <w:rPr>
          <w:sz w:val="22"/>
          <w:szCs w:val="22"/>
        </w:rPr>
        <w:t>butorfanol</w:t>
      </w:r>
      <w:proofErr w:type="spellEnd"/>
      <w:r w:rsidRPr="00A77BFC">
        <w:rPr>
          <w:sz w:val="22"/>
          <w:szCs w:val="22"/>
        </w:rPr>
        <w:t xml:space="preserve"> v navození prohloubené </w:t>
      </w:r>
      <w:proofErr w:type="spellStart"/>
      <w:r w:rsidRPr="00A77BFC">
        <w:rPr>
          <w:sz w:val="22"/>
          <w:szCs w:val="22"/>
        </w:rPr>
        <w:t>sedace</w:t>
      </w:r>
      <w:proofErr w:type="spellEnd"/>
      <w:r w:rsidRPr="00A77BFC">
        <w:rPr>
          <w:sz w:val="22"/>
          <w:szCs w:val="22"/>
        </w:rPr>
        <w:t>. Je vhodný k předoperační analgezii před navozením anestezie různými přípravky. Ve vysokých dávkách se může pozorovat deprese dýchání, následovaná kardiova</w:t>
      </w:r>
      <w:r w:rsidRPr="00DB518D">
        <w:rPr>
          <w:sz w:val="22"/>
          <w:szCs w:val="22"/>
        </w:rPr>
        <w:t>skulární depresí.</w:t>
      </w:r>
    </w:p>
    <w:p w:rsidR="00112103" w:rsidRPr="00706905" w:rsidRDefault="00112103" w:rsidP="00112103">
      <w:pPr>
        <w:jc w:val="both"/>
        <w:rPr>
          <w:sz w:val="22"/>
          <w:szCs w:val="22"/>
        </w:rPr>
      </w:pPr>
    </w:p>
    <w:p w:rsidR="00112103" w:rsidRPr="00A3422D" w:rsidRDefault="00112103" w:rsidP="00112103">
      <w:pPr>
        <w:ind w:left="567" w:hanging="567"/>
        <w:outlineLvl w:val="3"/>
        <w:rPr>
          <w:b/>
          <w:bCs/>
          <w:sz w:val="22"/>
          <w:szCs w:val="22"/>
        </w:rPr>
      </w:pPr>
      <w:r w:rsidRPr="00706905">
        <w:rPr>
          <w:b/>
          <w:bCs/>
          <w:sz w:val="22"/>
          <w:szCs w:val="22"/>
        </w:rPr>
        <w:t>5.2</w:t>
      </w:r>
      <w:r w:rsidRPr="00706905">
        <w:rPr>
          <w:b/>
          <w:bCs/>
          <w:sz w:val="22"/>
          <w:szCs w:val="22"/>
        </w:rPr>
        <w:tab/>
        <w:t>Farmakokinetické údaje</w:t>
      </w:r>
    </w:p>
    <w:p w:rsidR="00112103" w:rsidRDefault="00112103" w:rsidP="00112103">
      <w:pPr>
        <w:rPr>
          <w:sz w:val="22"/>
          <w:szCs w:val="22"/>
        </w:rPr>
      </w:pPr>
    </w:p>
    <w:p w:rsidR="00112103" w:rsidRPr="00A3422D" w:rsidRDefault="00112103" w:rsidP="00112103">
      <w:pPr>
        <w:rPr>
          <w:sz w:val="22"/>
          <w:szCs w:val="22"/>
        </w:rPr>
      </w:pPr>
      <w:r w:rsidRPr="00706905">
        <w:rPr>
          <w:sz w:val="22"/>
          <w:szCs w:val="22"/>
        </w:rPr>
        <w:lastRenderedPageBreak/>
        <w:t xml:space="preserve">U koní má </w:t>
      </w:r>
      <w:proofErr w:type="spellStart"/>
      <w:r w:rsidRPr="00706905">
        <w:rPr>
          <w:sz w:val="22"/>
          <w:szCs w:val="22"/>
        </w:rPr>
        <w:t>butorfanol</w:t>
      </w:r>
      <w:proofErr w:type="spellEnd"/>
      <w:r w:rsidRPr="00706905">
        <w:rPr>
          <w:sz w:val="22"/>
          <w:szCs w:val="22"/>
        </w:rPr>
        <w:t xml:space="preserve"> vysokou </w:t>
      </w:r>
      <w:proofErr w:type="spellStart"/>
      <w:r w:rsidRPr="00706905">
        <w:rPr>
          <w:sz w:val="22"/>
          <w:szCs w:val="22"/>
        </w:rPr>
        <w:t>clearance</w:t>
      </w:r>
      <w:proofErr w:type="spellEnd"/>
      <w:r w:rsidRPr="00706905">
        <w:rPr>
          <w:sz w:val="22"/>
          <w:szCs w:val="22"/>
        </w:rPr>
        <w:t xml:space="preserve"> (průměrně 1,3 l/h.kg) po intravenózním podání. Má krátký terminální biologický poločas (průměr </w:t>
      </w:r>
      <w:proofErr w:type="gramStart"/>
      <w:r w:rsidRPr="00706905">
        <w:rPr>
          <w:sz w:val="22"/>
          <w:szCs w:val="22"/>
        </w:rPr>
        <w:t>&lt; 1</w:t>
      </w:r>
      <w:proofErr w:type="gramEnd"/>
      <w:r w:rsidRPr="00706905">
        <w:rPr>
          <w:sz w:val="22"/>
          <w:szCs w:val="22"/>
        </w:rPr>
        <w:t xml:space="preserve"> hodina), což </w:t>
      </w:r>
      <w:r>
        <w:rPr>
          <w:sz w:val="22"/>
          <w:szCs w:val="22"/>
        </w:rPr>
        <w:t>indik</w:t>
      </w:r>
      <w:r w:rsidRPr="00706905">
        <w:rPr>
          <w:sz w:val="22"/>
          <w:szCs w:val="22"/>
        </w:rPr>
        <w:t xml:space="preserve">uje, že 97% dávky </w:t>
      </w:r>
      <w:r>
        <w:rPr>
          <w:sz w:val="22"/>
          <w:szCs w:val="22"/>
        </w:rPr>
        <w:t>bude</w:t>
      </w:r>
      <w:r w:rsidRPr="00706905">
        <w:rPr>
          <w:sz w:val="22"/>
          <w:szCs w:val="22"/>
        </w:rPr>
        <w:t xml:space="preserve"> po intravenózním podání </w:t>
      </w:r>
      <w:proofErr w:type="spellStart"/>
      <w:r w:rsidRPr="00706905">
        <w:rPr>
          <w:sz w:val="22"/>
          <w:szCs w:val="22"/>
        </w:rPr>
        <w:t>butorfanol</w:t>
      </w:r>
      <w:r w:rsidRPr="00A3422D">
        <w:rPr>
          <w:sz w:val="22"/>
          <w:szCs w:val="22"/>
        </w:rPr>
        <w:t>u</w:t>
      </w:r>
      <w:proofErr w:type="spellEnd"/>
      <w:r w:rsidRPr="00A3422D">
        <w:rPr>
          <w:sz w:val="22"/>
          <w:szCs w:val="22"/>
        </w:rPr>
        <w:t xml:space="preserve"> eliminováno v průměru za méně než 5 hodin.</w:t>
      </w:r>
    </w:p>
    <w:p w:rsidR="00112103" w:rsidRPr="000772EC" w:rsidRDefault="00112103" w:rsidP="00112103">
      <w:pPr>
        <w:rPr>
          <w:sz w:val="22"/>
          <w:szCs w:val="22"/>
        </w:rPr>
      </w:pPr>
      <w:r w:rsidRPr="00A3422D">
        <w:rPr>
          <w:sz w:val="22"/>
          <w:szCs w:val="22"/>
        </w:rPr>
        <w:t xml:space="preserve">U psů má </w:t>
      </w:r>
      <w:proofErr w:type="spellStart"/>
      <w:r w:rsidRPr="00A3422D">
        <w:rPr>
          <w:sz w:val="22"/>
          <w:szCs w:val="22"/>
        </w:rPr>
        <w:t>butorfanol</w:t>
      </w:r>
      <w:proofErr w:type="spellEnd"/>
      <w:r w:rsidRPr="00A3422D">
        <w:rPr>
          <w:sz w:val="22"/>
          <w:szCs w:val="22"/>
        </w:rPr>
        <w:t xml:space="preserve"> podaný intramuskulárně vysokou </w:t>
      </w:r>
      <w:proofErr w:type="spellStart"/>
      <w:r w:rsidRPr="00A3422D">
        <w:rPr>
          <w:sz w:val="22"/>
          <w:szCs w:val="22"/>
        </w:rPr>
        <w:t>clearance</w:t>
      </w:r>
      <w:proofErr w:type="spellEnd"/>
      <w:r w:rsidRPr="00A3422D">
        <w:rPr>
          <w:sz w:val="22"/>
          <w:szCs w:val="22"/>
        </w:rPr>
        <w:t xml:space="preserve"> (okolo 3,5 l/h.kg). Má krátký terminální biologický poločas (průměr </w:t>
      </w:r>
      <w:proofErr w:type="gramStart"/>
      <w:r w:rsidRPr="00A3422D">
        <w:rPr>
          <w:sz w:val="22"/>
          <w:szCs w:val="22"/>
        </w:rPr>
        <w:t>&lt; 2</w:t>
      </w:r>
      <w:proofErr w:type="gramEnd"/>
      <w:r w:rsidRPr="00A3422D">
        <w:rPr>
          <w:sz w:val="22"/>
          <w:szCs w:val="22"/>
        </w:rPr>
        <w:t xml:space="preserve"> hodiny), což </w:t>
      </w:r>
      <w:r>
        <w:rPr>
          <w:sz w:val="22"/>
          <w:szCs w:val="22"/>
        </w:rPr>
        <w:t>indiku</w:t>
      </w:r>
      <w:r w:rsidRPr="00A3422D">
        <w:rPr>
          <w:sz w:val="22"/>
          <w:szCs w:val="22"/>
        </w:rPr>
        <w:t xml:space="preserve">je, že 97% dávky </w:t>
      </w:r>
      <w:r>
        <w:rPr>
          <w:sz w:val="22"/>
          <w:szCs w:val="22"/>
        </w:rPr>
        <w:t>bude</w:t>
      </w:r>
      <w:r w:rsidRPr="00A3422D">
        <w:rPr>
          <w:sz w:val="22"/>
          <w:szCs w:val="22"/>
        </w:rPr>
        <w:t xml:space="preserve"> po intramuskulárním podán</w:t>
      </w:r>
      <w:r>
        <w:rPr>
          <w:sz w:val="22"/>
          <w:szCs w:val="22"/>
        </w:rPr>
        <w:t>í</w:t>
      </w:r>
      <w:r w:rsidRPr="00A3422D">
        <w:rPr>
          <w:sz w:val="22"/>
          <w:szCs w:val="22"/>
        </w:rPr>
        <w:t xml:space="preserve"> </w:t>
      </w:r>
      <w:proofErr w:type="spellStart"/>
      <w:r w:rsidRPr="00A3422D">
        <w:rPr>
          <w:sz w:val="22"/>
          <w:szCs w:val="22"/>
        </w:rPr>
        <w:t>butorfanolu</w:t>
      </w:r>
      <w:proofErr w:type="spellEnd"/>
      <w:r w:rsidRPr="00A3422D">
        <w:rPr>
          <w:sz w:val="22"/>
          <w:szCs w:val="22"/>
        </w:rPr>
        <w:t xml:space="preserve"> e</w:t>
      </w:r>
      <w:r w:rsidRPr="00A77BFC">
        <w:rPr>
          <w:sz w:val="22"/>
          <w:szCs w:val="22"/>
        </w:rPr>
        <w:t>liminováno v průměru za méně než 10 hodin. Farmakokinetika po opakované dávce a farmakokinetika po intravenózním podání nebyly studována.</w:t>
      </w:r>
    </w:p>
    <w:p w:rsidR="00112103" w:rsidRPr="000772EC" w:rsidRDefault="00112103" w:rsidP="00112103">
      <w:pPr>
        <w:rPr>
          <w:sz w:val="22"/>
          <w:szCs w:val="22"/>
        </w:rPr>
      </w:pPr>
      <w:r w:rsidRPr="000772EC">
        <w:rPr>
          <w:sz w:val="22"/>
          <w:szCs w:val="22"/>
        </w:rPr>
        <w:t xml:space="preserve">U koček má </w:t>
      </w:r>
      <w:proofErr w:type="spellStart"/>
      <w:r w:rsidRPr="000772EC">
        <w:rPr>
          <w:sz w:val="22"/>
          <w:szCs w:val="22"/>
        </w:rPr>
        <w:t>butorfanol</w:t>
      </w:r>
      <w:proofErr w:type="spellEnd"/>
      <w:r w:rsidRPr="000772EC">
        <w:rPr>
          <w:sz w:val="22"/>
          <w:szCs w:val="22"/>
        </w:rPr>
        <w:t xml:space="preserve"> podávaný subkutánně nízkou </w:t>
      </w:r>
      <w:proofErr w:type="spellStart"/>
      <w:r w:rsidRPr="000772EC">
        <w:rPr>
          <w:sz w:val="22"/>
          <w:szCs w:val="22"/>
        </w:rPr>
        <w:t>clearance</w:t>
      </w:r>
      <w:proofErr w:type="spellEnd"/>
      <w:r w:rsidRPr="000772EC">
        <w:rPr>
          <w:sz w:val="22"/>
          <w:szCs w:val="22"/>
        </w:rPr>
        <w:t xml:space="preserve"> </w:t>
      </w:r>
      <w:proofErr w:type="gramStart"/>
      <w:r w:rsidRPr="000772EC">
        <w:rPr>
          <w:sz w:val="22"/>
          <w:szCs w:val="22"/>
        </w:rPr>
        <w:t>(&lt; 1320</w:t>
      </w:r>
      <w:proofErr w:type="gramEnd"/>
      <w:r w:rsidRPr="000772EC">
        <w:rPr>
          <w:sz w:val="22"/>
          <w:szCs w:val="22"/>
        </w:rPr>
        <w:t xml:space="preserve"> ml/</w:t>
      </w:r>
      <w:proofErr w:type="spellStart"/>
      <w:r w:rsidRPr="000772EC">
        <w:rPr>
          <w:sz w:val="22"/>
          <w:szCs w:val="22"/>
        </w:rPr>
        <w:t>kg.h</w:t>
      </w:r>
      <w:proofErr w:type="spellEnd"/>
      <w:r w:rsidRPr="000772EC">
        <w:rPr>
          <w:sz w:val="22"/>
          <w:szCs w:val="22"/>
        </w:rPr>
        <w:t xml:space="preserve">). Má relativně dlouhý terminální biologický poločas (okolo 6 hodin), což </w:t>
      </w:r>
      <w:r>
        <w:rPr>
          <w:sz w:val="22"/>
          <w:szCs w:val="22"/>
        </w:rPr>
        <w:t>indik</w:t>
      </w:r>
      <w:r w:rsidRPr="000772EC">
        <w:rPr>
          <w:sz w:val="22"/>
          <w:szCs w:val="22"/>
        </w:rPr>
        <w:t xml:space="preserve">uje, že </w:t>
      </w:r>
      <w:proofErr w:type="gramStart"/>
      <w:r w:rsidRPr="000772EC">
        <w:rPr>
          <w:sz w:val="22"/>
          <w:szCs w:val="22"/>
        </w:rPr>
        <w:t>97%</w:t>
      </w:r>
      <w:proofErr w:type="gramEnd"/>
      <w:r w:rsidRPr="000772EC">
        <w:rPr>
          <w:sz w:val="22"/>
          <w:szCs w:val="22"/>
        </w:rPr>
        <w:t xml:space="preserve"> dávky </w:t>
      </w:r>
      <w:r>
        <w:rPr>
          <w:sz w:val="22"/>
          <w:szCs w:val="22"/>
        </w:rPr>
        <w:t>bude</w:t>
      </w:r>
      <w:r w:rsidRPr="000772EC">
        <w:rPr>
          <w:sz w:val="22"/>
          <w:szCs w:val="22"/>
        </w:rPr>
        <w:t xml:space="preserve"> eliminováno přibližně za 30 hodin. Farmakokinetika po opakované dávce nebyla studována.</w:t>
      </w:r>
    </w:p>
    <w:p w:rsidR="00112103" w:rsidRPr="000772EC" w:rsidRDefault="00112103" w:rsidP="00112103">
      <w:pPr>
        <w:rPr>
          <w:sz w:val="22"/>
          <w:szCs w:val="22"/>
        </w:rPr>
      </w:pPr>
      <w:proofErr w:type="spellStart"/>
      <w:r w:rsidRPr="000772EC">
        <w:rPr>
          <w:sz w:val="22"/>
          <w:szCs w:val="22"/>
        </w:rPr>
        <w:t>Butorfanol</w:t>
      </w:r>
      <w:proofErr w:type="spellEnd"/>
      <w:r w:rsidRPr="000772EC">
        <w:rPr>
          <w:sz w:val="22"/>
          <w:szCs w:val="22"/>
        </w:rPr>
        <w:t xml:space="preserve"> je ve velké míře metabolizován v játrech a vylučuje se močí. Distribuční objem je velký, což naznačuje rozsáhlou distribuci do tkání.</w:t>
      </w:r>
    </w:p>
    <w:p w:rsidR="00112103" w:rsidRDefault="00112103" w:rsidP="00112103">
      <w:pPr>
        <w:jc w:val="both"/>
        <w:rPr>
          <w:sz w:val="22"/>
          <w:szCs w:val="22"/>
        </w:rPr>
      </w:pPr>
    </w:p>
    <w:p w:rsidR="00112103" w:rsidRPr="009F6F1C" w:rsidRDefault="00112103" w:rsidP="00112103">
      <w:pPr>
        <w:jc w:val="both"/>
        <w:rPr>
          <w:sz w:val="22"/>
          <w:szCs w:val="22"/>
        </w:rPr>
      </w:pPr>
    </w:p>
    <w:p w:rsidR="00112103" w:rsidRDefault="00112103" w:rsidP="00112103">
      <w:pPr>
        <w:keepNext/>
        <w:ind w:left="567" w:hanging="567"/>
        <w:rPr>
          <w:b/>
          <w:bCs/>
          <w:sz w:val="22"/>
          <w:szCs w:val="22"/>
        </w:rPr>
      </w:pPr>
      <w:r w:rsidRPr="009F6F1C"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ab/>
      </w:r>
      <w:r w:rsidRPr="000772EC">
        <w:rPr>
          <w:b/>
          <w:bCs/>
          <w:sz w:val="22"/>
          <w:szCs w:val="22"/>
        </w:rPr>
        <w:t>FARMACEUTICKÉ ÚDAJE</w:t>
      </w:r>
    </w:p>
    <w:p w:rsidR="00112103" w:rsidRPr="00655EAF" w:rsidRDefault="00112103" w:rsidP="00112103">
      <w:pPr>
        <w:keepNext/>
        <w:ind w:left="567" w:hanging="567"/>
        <w:rPr>
          <w:sz w:val="22"/>
          <w:szCs w:val="22"/>
        </w:rPr>
      </w:pPr>
    </w:p>
    <w:p w:rsidR="00112103" w:rsidRPr="009F6F1C" w:rsidRDefault="00112103" w:rsidP="00112103">
      <w:pPr>
        <w:keepNext/>
        <w:ind w:left="567" w:hanging="567"/>
        <w:outlineLvl w:val="3"/>
        <w:rPr>
          <w:b/>
          <w:bCs/>
          <w:sz w:val="22"/>
          <w:szCs w:val="22"/>
        </w:rPr>
      </w:pPr>
      <w:bookmarkStart w:id="17" w:name="17"/>
      <w:r w:rsidRPr="009F6F1C">
        <w:rPr>
          <w:b/>
          <w:bCs/>
          <w:sz w:val="22"/>
          <w:szCs w:val="22"/>
        </w:rPr>
        <w:t>6.1</w:t>
      </w:r>
      <w:r>
        <w:rPr>
          <w:b/>
          <w:bCs/>
          <w:sz w:val="22"/>
          <w:szCs w:val="22"/>
        </w:rPr>
        <w:tab/>
      </w:r>
      <w:r w:rsidRPr="009F6F1C">
        <w:rPr>
          <w:b/>
          <w:bCs/>
          <w:sz w:val="22"/>
          <w:szCs w:val="22"/>
        </w:rPr>
        <w:t>Seznam pomocných látek</w:t>
      </w:r>
      <w:bookmarkEnd w:id="17"/>
    </w:p>
    <w:p w:rsidR="00112103" w:rsidRDefault="00112103" w:rsidP="00112103">
      <w:pPr>
        <w:rPr>
          <w:sz w:val="22"/>
          <w:szCs w:val="22"/>
        </w:rPr>
      </w:pPr>
    </w:p>
    <w:p w:rsidR="00112103" w:rsidRPr="00903043" w:rsidRDefault="00112103" w:rsidP="00112103">
      <w:pPr>
        <w:rPr>
          <w:sz w:val="22"/>
          <w:szCs w:val="22"/>
        </w:rPr>
      </w:pPr>
      <w:proofErr w:type="spellStart"/>
      <w:r w:rsidRPr="009F6F1C">
        <w:rPr>
          <w:sz w:val="22"/>
          <w:szCs w:val="22"/>
        </w:rPr>
        <w:t>Dihydrát</w:t>
      </w:r>
      <w:proofErr w:type="spellEnd"/>
      <w:r w:rsidRPr="009F6F1C">
        <w:rPr>
          <w:sz w:val="22"/>
          <w:szCs w:val="22"/>
        </w:rPr>
        <w:t xml:space="preserve"> natrium-citrátu</w:t>
      </w:r>
      <w:r w:rsidRPr="009F6F1C">
        <w:rPr>
          <w:sz w:val="22"/>
          <w:szCs w:val="22"/>
        </w:rPr>
        <w:br/>
        <w:t>Chlorid sodný</w:t>
      </w:r>
      <w:r w:rsidRPr="009F6F1C">
        <w:rPr>
          <w:sz w:val="22"/>
          <w:szCs w:val="22"/>
        </w:rPr>
        <w:br/>
      </w:r>
      <w:proofErr w:type="spellStart"/>
      <w:r w:rsidRPr="00A3422D">
        <w:rPr>
          <w:sz w:val="22"/>
          <w:szCs w:val="22"/>
        </w:rPr>
        <w:t>Monohydrát</w:t>
      </w:r>
      <w:proofErr w:type="spellEnd"/>
      <w:r w:rsidRPr="00A3422D">
        <w:rPr>
          <w:sz w:val="22"/>
          <w:szCs w:val="22"/>
        </w:rPr>
        <w:t xml:space="preserve"> kyseliny citronové</w:t>
      </w:r>
      <w:r w:rsidRPr="00A3422D">
        <w:rPr>
          <w:sz w:val="22"/>
          <w:szCs w:val="22"/>
        </w:rPr>
        <w:br/>
      </w:r>
      <w:proofErr w:type="spellStart"/>
      <w:r w:rsidRPr="00A3422D">
        <w:rPr>
          <w:sz w:val="22"/>
          <w:szCs w:val="22"/>
        </w:rPr>
        <w:t>Benzethonium</w:t>
      </w:r>
      <w:proofErr w:type="spellEnd"/>
      <w:r w:rsidRPr="00A3422D">
        <w:rPr>
          <w:sz w:val="22"/>
          <w:szCs w:val="22"/>
        </w:rPr>
        <w:t>-chlorid</w:t>
      </w:r>
      <w:r w:rsidRPr="00A3422D">
        <w:rPr>
          <w:sz w:val="22"/>
          <w:szCs w:val="22"/>
        </w:rPr>
        <w:br/>
        <w:t xml:space="preserve">Voda </w:t>
      </w:r>
      <w:r>
        <w:rPr>
          <w:sz w:val="22"/>
          <w:szCs w:val="22"/>
        </w:rPr>
        <w:t>pro</w:t>
      </w:r>
      <w:r w:rsidRPr="00A3422D">
        <w:rPr>
          <w:sz w:val="22"/>
          <w:szCs w:val="22"/>
        </w:rPr>
        <w:t xml:space="preserve"> injekci</w:t>
      </w: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keepNext/>
        <w:ind w:left="567" w:hanging="567"/>
        <w:outlineLvl w:val="3"/>
        <w:rPr>
          <w:b/>
          <w:bCs/>
          <w:sz w:val="22"/>
          <w:szCs w:val="22"/>
        </w:rPr>
      </w:pPr>
      <w:bookmarkStart w:id="18" w:name="18"/>
      <w:r w:rsidRPr="000772EC">
        <w:rPr>
          <w:b/>
          <w:bCs/>
          <w:sz w:val="22"/>
          <w:szCs w:val="22"/>
        </w:rPr>
        <w:t>6.2</w:t>
      </w:r>
      <w:r>
        <w:rPr>
          <w:b/>
          <w:bCs/>
          <w:sz w:val="22"/>
          <w:szCs w:val="22"/>
        </w:rPr>
        <w:tab/>
      </w:r>
      <w:r w:rsidRPr="000772EC">
        <w:rPr>
          <w:b/>
          <w:bCs/>
          <w:sz w:val="22"/>
          <w:szCs w:val="22"/>
        </w:rPr>
        <w:t>Hlavní inkompatibility</w:t>
      </w:r>
      <w:bookmarkEnd w:id="18"/>
    </w:p>
    <w:p w:rsidR="00112103" w:rsidRDefault="00112103" w:rsidP="00112103">
      <w:pPr>
        <w:jc w:val="both"/>
        <w:rPr>
          <w:sz w:val="22"/>
          <w:szCs w:val="22"/>
        </w:rPr>
      </w:pPr>
    </w:p>
    <w:p w:rsidR="00112103" w:rsidRPr="00A3422D" w:rsidRDefault="00112103" w:rsidP="00112103">
      <w:pPr>
        <w:jc w:val="both"/>
        <w:rPr>
          <w:sz w:val="22"/>
          <w:szCs w:val="22"/>
        </w:rPr>
      </w:pPr>
      <w:r w:rsidRPr="002209EC">
        <w:rPr>
          <w:sz w:val="22"/>
          <w:szCs w:val="22"/>
        </w:rPr>
        <w:t>Studie kompatibility nejsou k dispozici, a proto tento veterinární léčivý přípravek nesmí být mísen s žádnými dalšími veterinárními léčivými přípravky.</w:t>
      </w:r>
    </w:p>
    <w:p w:rsidR="00112103" w:rsidRPr="00903043" w:rsidRDefault="00112103" w:rsidP="00112103">
      <w:pPr>
        <w:jc w:val="both"/>
        <w:rPr>
          <w:sz w:val="22"/>
          <w:szCs w:val="22"/>
        </w:rPr>
      </w:pPr>
    </w:p>
    <w:p w:rsidR="00112103" w:rsidRDefault="00112103" w:rsidP="00112103">
      <w:pPr>
        <w:keepNext/>
        <w:ind w:left="567" w:hanging="567"/>
        <w:outlineLvl w:val="3"/>
        <w:rPr>
          <w:b/>
          <w:bCs/>
          <w:sz w:val="22"/>
          <w:szCs w:val="22"/>
        </w:rPr>
      </w:pPr>
      <w:bookmarkStart w:id="19" w:name="19"/>
      <w:r w:rsidRPr="00A77BFC">
        <w:rPr>
          <w:b/>
          <w:bCs/>
          <w:sz w:val="22"/>
          <w:szCs w:val="22"/>
        </w:rPr>
        <w:t>6.3</w:t>
      </w:r>
      <w:r>
        <w:rPr>
          <w:b/>
          <w:bCs/>
          <w:sz w:val="22"/>
          <w:szCs w:val="22"/>
        </w:rPr>
        <w:tab/>
      </w:r>
      <w:r w:rsidRPr="000772EC">
        <w:rPr>
          <w:b/>
          <w:bCs/>
          <w:sz w:val="22"/>
          <w:szCs w:val="22"/>
        </w:rPr>
        <w:t>Doba použitelnosti</w:t>
      </w:r>
      <w:bookmarkEnd w:id="19"/>
    </w:p>
    <w:p w:rsidR="00112103" w:rsidRPr="000772EC" w:rsidRDefault="00112103" w:rsidP="00112103">
      <w:pPr>
        <w:keepNext/>
        <w:ind w:left="567" w:hanging="567"/>
        <w:outlineLvl w:val="3"/>
        <w:rPr>
          <w:b/>
          <w:bCs/>
          <w:sz w:val="22"/>
          <w:szCs w:val="22"/>
        </w:rPr>
      </w:pPr>
    </w:p>
    <w:p w:rsidR="00112103" w:rsidRPr="0006661D" w:rsidRDefault="00112103" w:rsidP="00112103">
      <w:pPr>
        <w:rPr>
          <w:sz w:val="22"/>
          <w:szCs w:val="22"/>
        </w:rPr>
      </w:pPr>
      <w:r w:rsidRPr="002209EC">
        <w:rPr>
          <w:sz w:val="22"/>
          <w:szCs w:val="22"/>
        </w:rPr>
        <w:t xml:space="preserve">Doba použitelnosti veterinárního léčivého přípravku v neporušeném obalu: </w:t>
      </w:r>
      <w:r w:rsidR="001E2A3D">
        <w:rPr>
          <w:sz w:val="22"/>
          <w:szCs w:val="22"/>
        </w:rPr>
        <w:t>3</w:t>
      </w:r>
      <w:r w:rsidRPr="002209EC">
        <w:rPr>
          <w:sz w:val="22"/>
          <w:szCs w:val="22"/>
        </w:rPr>
        <w:t xml:space="preserve"> roky.</w:t>
      </w:r>
      <w:r w:rsidRPr="002209EC">
        <w:rPr>
          <w:sz w:val="22"/>
          <w:szCs w:val="22"/>
        </w:rPr>
        <w:br/>
        <w:t>Doba použitelnosti po prvn</w:t>
      </w:r>
      <w:r w:rsidRPr="00A3422D">
        <w:rPr>
          <w:sz w:val="22"/>
          <w:szCs w:val="22"/>
        </w:rPr>
        <w:t>ím otevření vnitřního obalu: 28 dnů.</w:t>
      </w:r>
    </w:p>
    <w:p w:rsidR="00112103" w:rsidRPr="00903043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keepNext/>
        <w:ind w:left="567" w:hanging="567"/>
        <w:outlineLvl w:val="3"/>
        <w:rPr>
          <w:b/>
          <w:bCs/>
          <w:sz w:val="22"/>
          <w:szCs w:val="22"/>
        </w:rPr>
      </w:pPr>
      <w:bookmarkStart w:id="20" w:name="20"/>
      <w:r w:rsidRPr="00A77BFC">
        <w:rPr>
          <w:b/>
          <w:bCs/>
          <w:sz w:val="22"/>
          <w:szCs w:val="22"/>
        </w:rPr>
        <w:t>6.4</w:t>
      </w:r>
      <w:r>
        <w:rPr>
          <w:b/>
          <w:bCs/>
          <w:sz w:val="22"/>
          <w:szCs w:val="22"/>
        </w:rPr>
        <w:tab/>
      </w:r>
      <w:r w:rsidRPr="000772EC">
        <w:rPr>
          <w:b/>
          <w:bCs/>
          <w:sz w:val="22"/>
          <w:szCs w:val="22"/>
        </w:rPr>
        <w:t>Zvláštní opatření pro uchovávání</w:t>
      </w:r>
      <w:bookmarkEnd w:id="20"/>
    </w:p>
    <w:p w:rsidR="00112103" w:rsidRDefault="00112103" w:rsidP="00112103">
      <w:pPr>
        <w:rPr>
          <w:sz w:val="22"/>
          <w:szCs w:val="22"/>
        </w:rPr>
      </w:pPr>
    </w:p>
    <w:p w:rsidR="00112103" w:rsidRPr="00A3422D" w:rsidRDefault="00112103" w:rsidP="00112103">
      <w:pPr>
        <w:rPr>
          <w:sz w:val="22"/>
          <w:szCs w:val="22"/>
        </w:rPr>
      </w:pPr>
      <w:r w:rsidRPr="002209EC">
        <w:rPr>
          <w:sz w:val="22"/>
          <w:szCs w:val="22"/>
        </w:rPr>
        <w:t>Tento veterinární léčivý přípravek nevyžaduje žádné zvláštní podmínky uchovávání.</w:t>
      </w:r>
      <w:r w:rsidRPr="002209EC">
        <w:rPr>
          <w:sz w:val="22"/>
          <w:szCs w:val="22"/>
        </w:rPr>
        <w:br/>
        <w:t>Chraňte před světlem.</w:t>
      </w:r>
    </w:p>
    <w:p w:rsidR="00112103" w:rsidRPr="00903043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keepNext/>
        <w:ind w:left="567" w:hanging="567"/>
        <w:outlineLvl w:val="3"/>
        <w:rPr>
          <w:b/>
          <w:bCs/>
          <w:sz w:val="22"/>
          <w:szCs w:val="22"/>
        </w:rPr>
      </w:pPr>
      <w:bookmarkStart w:id="21" w:name="21"/>
      <w:r w:rsidRPr="00A77BFC">
        <w:rPr>
          <w:b/>
          <w:bCs/>
          <w:sz w:val="22"/>
          <w:szCs w:val="22"/>
        </w:rPr>
        <w:t>6.5</w:t>
      </w:r>
      <w:r>
        <w:rPr>
          <w:b/>
          <w:bCs/>
          <w:sz w:val="22"/>
          <w:szCs w:val="22"/>
        </w:rPr>
        <w:tab/>
      </w:r>
      <w:r w:rsidRPr="000772EC">
        <w:rPr>
          <w:b/>
          <w:bCs/>
          <w:sz w:val="22"/>
          <w:szCs w:val="22"/>
        </w:rPr>
        <w:t>Druh a složení vnitřního obalu</w:t>
      </w:r>
      <w:bookmarkEnd w:id="21"/>
    </w:p>
    <w:p w:rsidR="00112103" w:rsidRDefault="00112103" w:rsidP="00112103">
      <w:pPr>
        <w:jc w:val="both"/>
        <w:rPr>
          <w:sz w:val="22"/>
          <w:szCs w:val="22"/>
        </w:rPr>
      </w:pPr>
    </w:p>
    <w:p w:rsidR="00112103" w:rsidRPr="00A3422D" w:rsidRDefault="00112103" w:rsidP="00112103">
      <w:pPr>
        <w:jc w:val="both"/>
        <w:rPr>
          <w:sz w:val="22"/>
          <w:szCs w:val="22"/>
        </w:rPr>
      </w:pPr>
      <w:r w:rsidRPr="002209EC">
        <w:rPr>
          <w:sz w:val="22"/>
          <w:szCs w:val="22"/>
        </w:rPr>
        <w:t xml:space="preserve">10ml injekční lahvička z čirého skla typu </w:t>
      </w:r>
      <w:proofErr w:type="gramStart"/>
      <w:r w:rsidRPr="002209EC">
        <w:rPr>
          <w:sz w:val="22"/>
          <w:szCs w:val="22"/>
        </w:rPr>
        <w:t>I</w:t>
      </w:r>
      <w:proofErr w:type="gramEnd"/>
      <w:r w:rsidRPr="002209EC">
        <w:rPr>
          <w:sz w:val="22"/>
          <w:szCs w:val="22"/>
        </w:rPr>
        <w:t xml:space="preserve"> s propichovací pryžovou </w:t>
      </w:r>
      <w:proofErr w:type="spellStart"/>
      <w:r>
        <w:rPr>
          <w:sz w:val="22"/>
          <w:szCs w:val="22"/>
        </w:rPr>
        <w:t>chlorobutylovou</w:t>
      </w:r>
      <w:proofErr w:type="spellEnd"/>
      <w:r>
        <w:rPr>
          <w:sz w:val="22"/>
          <w:szCs w:val="22"/>
        </w:rPr>
        <w:t xml:space="preserve"> </w:t>
      </w:r>
      <w:r w:rsidRPr="002209EC">
        <w:rPr>
          <w:sz w:val="22"/>
          <w:szCs w:val="22"/>
        </w:rPr>
        <w:t xml:space="preserve">zátkou a hliníkovou </w:t>
      </w:r>
      <w:proofErr w:type="spellStart"/>
      <w:r w:rsidRPr="002209EC">
        <w:rPr>
          <w:sz w:val="22"/>
          <w:szCs w:val="22"/>
        </w:rPr>
        <w:t>pertlí</w:t>
      </w:r>
      <w:proofErr w:type="spellEnd"/>
      <w:r w:rsidRPr="002209EC">
        <w:rPr>
          <w:sz w:val="22"/>
          <w:szCs w:val="22"/>
        </w:rPr>
        <w:t>, v krabičce.</w:t>
      </w:r>
    </w:p>
    <w:p w:rsidR="00112103" w:rsidRPr="00A77BFC" w:rsidRDefault="00112103" w:rsidP="00112103">
      <w:pPr>
        <w:rPr>
          <w:sz w:val="22"/>
          <w:szCs w:val="22"/>
        </w:rPr>
      </w:pPr>
      <w:r w:rsidRPr="00903043">
        <w:rPr>
          <w:sz w:val="22"/>
          <w:szCs w:val="22"/>
        </w:rPr>
        <w:t>Velikost balení: 1 x 10 ml.</w:t>
      </w: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keepNext/>
        <w:ind w:left="567" w:hanging="567"/>
        <w:outlineLvl w:val="3"/>
        <w:rPr>
          <w:b/>
          <w:bCs/>
          <w:sz w:val="22"/>
          <w:szCs w:val="22"/>
        </w:rPr>
      </w:pPr>
      <w:bookmarkStart w:id="22" w:name="22"/>
      <w:r w:rsidRPr="000772EC">
        <w:rPr>
          <w:b/>
          <w:bCs/>
          <w:sz w:val="22"/>
          <w:szCs w:val="22"/>
        </w:rPr>
        <w:t>6.6</w:t>
      </w:r>
      <w:r>
        <w:rPr>
          <w:b/>
          <w:bCs/>
          <w:sz w:val="22"/>
          <w:szCs w:val="22"/>
        </w:rPr>
        <w:tab/>
      </w:r>
      <w:r w:rsidRPr="000772EC">
        <w:rPr>
          <w:b/>
          <w:bCs/>
          <w:sz w:val="22"/>
          <w:szCs w:val="22"/>
        </w:rPr>
        <w:t>Zvláštní opatření pro zneškodňování nepoužitého veterinárního léčivého přípravku nebo odpadu, který pochází z tohoto přípravku</w:t>
      </w:r>
      <w:bookmarkEnd w:id="22"/>
    </w:p>
    <w:p w:rsidR="00112103" w:rsidRDefault="00112103" w:rsidP="00112103">
      <w:pPr>
        <w:keepNext/>
        <w:rPr>
          <w:sz w:val="22"/>
          <w:szCs w:val="22"/>
        </w:rPr>
      </w:pPr>
    </w:p>
    <w:p w:rsidR="00112103" w:rsidRDefault="00112103" w:rsidP="00112103">
      <w:pPr>
        <w:rPr>
          <w:sz w:val="22"/>
          <w:szCs w:val="22"/>
        </w:rPr>
      </w:pPr>
      <w:r w:rsidRPr="007337A0">
        <w:rPr>
          <w:sz w:val="22"/>
          <w:szCs w:val="22"/>
        </w:rPr>
        <w:t>Všechen nepoužitý veterinární léčivý přípravek nebo odpad, který pochází z tohoto přípravku, musí být likvidován podle místních právních předpisů.</w:t>
      </w:r>
    </w:p>
    <w:p w:rsidR="00112103" w:rsidRDefault="00112103" w:rsidP="00112103">
      <w:pPr>
        <w:rPr>
          <w:sz w:val="22"/>
          <w:szCs w:val="22"/>
        </w:rPr>
      </w:pPr>
    </w:p>
    <w:p w:rsidR="00112103" w:rsidRPr="006B542F" w:rsidRDefault="00112103" w:rsidP="00112103">
      <w:pPr>
        <w:rPr>
          <w:sz w:val="22"/>
          <w:szCs w:val="22"/>
        </w:rPr>
      </w:pPr>
    </w:p>
    <w:p w:rsidR="00112103" w:rsidRPr="006B542F" w:rsidRDefault="00112103" w:rsidP="00112103">
      <w:pPr>
        <w:ind w:left="567" w:hanging="567"/>
        <w:outlineLvl w:val="2"/>
        <w:rPr>
          <w:b/>
          <w:bCs/>
          <w:sz w:val="22"/>
          <w:szCs w:val="22"/>
        </w:rPr>
      </w:pPr>
      <w:bookmarkStart w:id="23" w:name="23"/>
      <w:r w:rsidRPr="006B542F">
        <w:rPr>
          <w:b/>
          <w:bCs/>
          <w:sz w:val="22"/>
          <w:szCs w:val="22"/>
        </w:rPr>
        <w:t>7.</w:t>
      </w:r>
      <w:r>
        <w:rPr>
          <w:b/>
          <w:bCs/>
          <w:sz w:val="22"/>
          <w:szCs w:val="22"/>
        </w:rPr>
        <w:tab/>
      </w:r>
      <w:r w:rsidRPr="006B542F">
        <w:rPr>
          <w:b/>
          <w:bCs/>
          <w:sz w:val="22"/>
          <w:szCs w:val="22"/>
        </w:rPr>
        <w:t>DRŽITEL ROZHODNUTÍ O REGISTRACI</w:t>
      </w:r>
      <w:bookmarkEnd w:id="23"/>
    </w:p>
    <w:p w:rsidR="00112103" w:rsidRDefault="00112103" w:rsidP="00112103">
      <w:pPr>
        <w:rPr>
          <w:bCs/>
          <w:sz w:val="22"/>
          <w:szCs w:val="22"/>
        </w:rPr>
      </w:pPr>
    </w:p>
    <w:p w:rsidR="00112103" w:rsidRPr="00A3422D" w:rsidRDefault="00112103" w:rsidP="00112103">
      <w:pPr>
        <w:rPr>
          <w:bCs/>
          <w:sz w:val="22"/>
          <w:szCs w:val="22"/>
        </w:rPr>
      </w:pPr>
      <w:proofErr w:type="spellStart"/>
      <w:r w:rsidRPr="006B542F">
        <w:rPr>
          <w:bCs/>
          <w:sz w:val="22"/>
          <w:szCs w:val="22"/>
        </w:rPr>
        <w:t>Bioveta</w:t>
      </w:r>
      <w:proofErr w:type="spellEnd"/>
      <w:r w:rsidRPr="006B542F">
        <w:rPr>
          <w:bCs/>
          <w:sz w:val="22"/>
          <w:szCs w:val="22"/>
        </w:rPr>
        <w:t>, a. s.</w:t>
      </w:r>
      <w:r w:rsidRPr="006B542F">
        <w:rPr>
          <w:bCs/>
          <w:sz w:val="22"/>
          <w:szCs w:val="22"/>
        </w:rPr>
        <w:br/>
        <w:t>Komenského 212/12</w:t>
      </w:r>
      <w:r w:rsidRPr="006B542F">
        <w:rPr>
          <w:bCs/>
          <w:sz w:val="22"/>
          <w:szCs w:val="22"/>
        </w:rPr>
        <w:br/>
      </w:r>
      <w:r w:rsidRPr="006B542F">
        <w:rPr>
          <w:bCs/>
          <w:sz w:val="22"/>
          <w:szCs w:val="22"/>
        </w:rPr>
        <w:lastRenderedPageBreak/>
        <w:t>683 23 Ivanovice na Hané</w:t>
      </w:r>
      <w:r w:rsidRPr="006B542F">
        <w:rPr>
          <w:bCs/>
          <w:sz w:val="22"/>
          <w:szCs w:val="22"/>
        </w:rPr>
        <w:br/>
        <w:t>Česká republika</w:t>
      </w:r>
    </w:p>
    <w:p w:rsidR="00112103" w:rsidRPr="0006661D" w:rsidRDefault="00112103" w:rsidP="00112103">
      <w:pPr>
        <w:rPr>
          <w:bCs/>
          <w:sz w:val="22"/>
          <w:szCs w:val="22"/>
        </w:rPr>
      </w:pPr>
      <w:r w:rsidRPr="00A3422D">
        <w:rPr>
          <w:bCs/>
          <w:sz w:val="22"/>
          <w:szCs w:val="22"/>
        </w:rPr>
        <w:t>tel: 00420 517 318 500</w:t>
      </w:r>
    </w:p>
    <w:p w:rsidR="00112103" w:rsidRDefault="00112103" w:rsidP="00112103">
      <w:pPr>
        <w:rPr>
          <w:rStyle w:val="Hypertextovodkaz"/>
          <w:bCs/>
          <w:sz w:val="22"/>
          <w:szCs w:val="22"/>
        </w:rPr>
      </w:pPr>
      <w:r w:rsidRPr="00981BD0">
        <w:rPr>
          <w:bCs/>
          <w:sz w:val="22"/>
          <w:szCs w:val="22"/>
        </w:rPr>
        <w:t xml:space="preserve">e-mail: </w:t>
      </w:r>
      <w:hyperlink r:id="rId7" w:history="1">
        <w:r w:rsidRPr="000772EC">
          <w:rPr>
            <w:rStyle w:val="Hypertextovodkaz"/>
            <w:bCs/>
            <w:sz w:val="22"/>
            <w:szCs w:val="22"/>
          </w:rPr>
          <w:t>registrace@bioveta.cz</w:t>
        </w:r>
      </w:hyperlink>
    </w:p>
    <w:p w:rsidR="00112103" w:rsidRDefault="00112103" w:rsidP="00112103">
      <w:pPr>
        <w:rPr>
          <w:rStyle w:val="Hypertextovodkaz"/>
          <w:bCs/>
          <w:sz w:val="22"/>
          <w:szCs w:val="22"/>
        </w:rPr>
      </w:pPr>
    </w:p>
    <w:p w:rsidR="00112103" w:rsidRPr="000772EC" w:rsidRDefault="00112103" w:rsidP="00112103">
      <w:pPr>
        <w:rPr>
          <w:bCs/>
          <w:sz w:val="22"/>
          <w:szCs w:val="22"/>
        </w:rPr>
      </w:pPr>
    </w:p>
    <w:p w:rsidR="00112103" w:rsidRPr="001249D4" w:rsidRDefault="00112103" w:rsidP="00112103">
      <w:pPr>
        <w:ind w:left="567" w:hanging="567"/>
        <w:outlineLvl w:val="2"/>
        <w:rPr>
          <w:b/>
          <w:bCs/>
          <w:sz w:val="22"/>
          <w:szCs w:val="22"/>
        </w:rPr>
      </w:pPr>
      <w:bookmarkStart w:id="24" w:name="24"/>
      <w:r w:rsidRPr="001249D4">
        <w:rPr>
          <w:b/>
          <w:bCs/>
          <w:sz w:val="22"/>
          <w:szCs w:val="22"/>
        </w:rPr>
        <w:t>8.</w:t>
      </w:r>
      <w:r>
        <w:rPr>
          <w:b/>
          <w:bCs/>
          <w:sz w:val="22"/>
          <w:szCs w:val="22"/>
        </w:rPr>
        <w:tab/>
      </w:r>
      <w:r w:rsidRPr="001249D4">
        <w:rPr>
          <w:b/>
          <w:bCs/>
          <w:sz w:val="22"/>
          <w:szCs w:val="22"/>
        </w:rPr>
        <w:t>REGISTRAČNÍ ČÍSLO</w:t>
      </w:r>
      <w:bookmarkEnd w:id="24"/>
      <w:r w:rsidRPr="001249D4">
        <w:rPr>
          <w:b/>
          <w:bCs/>
          <w:sz w:val="22"/>
          <w:szCs w:val="22"/>
        </w:rPr>
        <w:t>(A)</w:t>
      </w:r>
    </w:p>
    <w:p w:rsidR="00112103" w:rsidRDefault="00112103" w:rsidP="00112103">
      <w:pPr>
        <w:outlineLvl w:val="2"/>
        <w:rPr>
          <w:bCs/>
          <w:sz w:val="22"/>
          <w:szCs w:val="22"/>
        </w:rPr>
      </w:pPr>
    </w:p>
    <w:p w:rsidR="00112103" w:rsidRDefault="00112103" w:rsidP="00112103">
      <w:pPr>
        <w:outlineLvl w:val="2"/>
        <w:rPr>
          <w:bCs/>
          <w:sz w:val="22"/>
          <w:szCs w:val="22"/>
        </w:rPr>
      </w:pPr>
      <w:r w:rsidRPr="006B542F">
        <w:rPr>
          <w:bCs/>
          <w:sz w:val="22"/>
          <w:szCs w:val="22"/>
        </w:rPr>
        <w:t>96/056/</w:t>
      </w:r>
      <w:proofErr w:type="gramStart"/>
      <w:r w:rsidRPr="006B542F">
        <w:rPr>
          <w:bCs/>
          <w:sz w:val="22"/>
          <w:szCs w:val="22"/>
        </w:rPr>
        <w:t>16-C</w:t>
      </w:r>
      <w:proofErr w:type="gramEnd"/>
    </w:p>
    <w:p w:rsidR="00112103" w:rsidRPr="006B542F" w:rsidRDefault="00112103" w:rsidP="00112103">
      <w:pPr>
        <w:outlineLvl w:val="2"/>
        <w:rPr>
          <w:bCs/>
          <w:sz w:val="22"/>
          <w:szCs w:val="22"/>
        </w:rPr>
      </w:pPr>
    </w:p>
    <w:p w:rsidR="00112103" w:rsidRPr="006B542F" w:rsidRDefault="00112103" w:rsidP="00112103">
      <w:pPr>
        <w:ind w:left="567" w:hanging="567"/>
        <w:outlineLvl w:val="2"/>
        <w:rPr>
          <w:b/>
          <w:bCs/>
          <w:sz w:val="22"/>
          <w:szCs w:val="22"/>
        </w:rPr>
      </w:pPr>
      <w:bookmarkStart w:id="25" w:name="25"/>
      <w:r w:rsidRPr="006B542F">
        <w:rPr>
          <w:b/>
          <w:bCs/>
          <w:sz w:val="22"/>
          <w:szCs w:val="22"/>
        </w:rPr>
        <w:t>9.</w:t>
      </w:r>
      <w:r>
        <w:rPr>
          <w:b/>
          <w:bCs/>
          <w:sz w:val="22"/>
          <w:szCs w:val="22"/>
        </w:rPr>
        <w:tab/>
      </w:r>
      <w:r w:rsidRPr="006B542F">
        <w:rPr>
          <w:b/>
          <w:bCs/>
          <w:sz w:val="22"/>
          <w:szCs w:val="22"/>
        </w:rPr>
        <w:t>DATUM REGISTRACE/ PRODLOUŽENÍ REGISTRACE</w:t>
      </w:r>
      <w:bookmarkEnd w:id="25"/>
    </w:p>
    <w:p w:rsidR="00112103" w:rsidRDefault="00112103" w:rsidP="00112103">
      <w:pPr>
        <w:outlineLvl w:val="2"/>
        <w:rPr>
          <w:bCs/>
          <w:sz w:val="22"/>
          <w:szCs w:val="22"/>
        </w:rPr>
      </w:pPr>
    </w:p>
    <w:p w:rsidR="00112103" w:rsidRPr="00112103" w:rsidRDefault="00112103" w:rsidP="00112103">
      <w:pPr>
        <w:outlineLvl w:val="2"/>
        <w:rPr>
          <w:bCs/>
          <w:sz w:val="22"/>
          <w:szCs w:val="22"/>
        </w:rPr>
      </w:pPr>
      <w:r w:rsidRPr="006651B1">
        <w:rPr>
          <w:sz w:val="22"/>
          <w:szCs w:val="22"/>
        </w:rPr>
        <w:t>Datum registrace:</w:t>
      </w:r>
      <w:r>
        <w:rPr>
          <w:sz w:val="22"/>
          <w:szCs w:val="22"/>
        </w:rPr>
        <w:t xml:space="preserve"> </w:t>
      </w:r>
      <w:r w:rsidRPr="00112103">
        <w:rPr>
          <w:bCs/>
          <w:sz w:val="22"/>
          <w:szCs w:val="22"/>
        </w:rPr>
        <w:t>14. 7. 2016</w:t>
      </w:r>
    </w:p>
    <w:p w:rsidR="00112103" w:rsidRDefault="00112103" w:rsidP="00112103">
      <w:pPr>
        <w:outlineLvl w:val="2"/>
        <w:rPr>
          <w:bCs/>
          <w:sz w:val="22"/>
          <w:szCs w:val="22"/>
        </w:rPr>
      </w:pPr>
      <w:r w:rsidRPr="006651B1">
        <w:rPr>
          <w:sz w:val="22"/>
          <w:szCs w:val="22"/>
        </w:rPr>
        <w:t>Datum posledního prodloužení: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9</w:t>
      </w:r>
      <w:r w:rsidRPr="006B542F">
        <w:rPr>
          <w:bCs/>
          <w:sz w:val="22"/>
          <w:szCs w:val="22"/>
        </w:rPr>
        <w:t>. 7. 20</w:t>
      </w:r>
      <w:r>
        <w:rPr>
          <w:bCs/>
          <w:sz w:val="22"/>
          <w:szCs w:val="22"/>
        </w:rPr>
        <w:t>2</w:t>
      </w:r>
      <w:r w:rsidRPr="006B542F">
        <w:rPr>
          <w:bCs/>
          <w:sz w:val="22"/>
          <w:szCs w:val="22"/>
        </w:rPr>
        <w:t>1</w:t>
      </w:r>
    </w:p>
    <w:p w:rsidR="00112103" w:rsidRDefault="00112103" w:rsidP="00112103">
      <w:pPr>
        <w:outlineLvl w:val="2"/>
        <w:rPr>
          <w:bCs/>
          <w:sz w:val="22"/>
          <w:szCs w:val="22"/>
        </w:rPr>
      </w:pPr>
    </w:p>
    <w:p w:rsidR="00112103" w:rsidRPr="00637182" w:rsidRDefault="00112103" w:rsidP="00112103">
      <w:pPr>
        <w:outlineLvl w:val="2"/>
        <w:rPr>
          <w:bCs/>
          <w:sz w:val="22"/>
          <w:szCs w:val="22"/>
        </w:rPr>
      </w:pPr>
    </w:p>
    <w:p w:rsidR="00112103" w:rsidRDefault="00112103" w:rsidP="00112103">
      <w:pPr>
        <w:ind w:left="567" w:hanging="567"/>
        <w:outlineLvl w:val="2"/>
        <w:rPr>
          <w:b/>
          <w:bCs/>
          <w:sz w:val="22"/>
          <w:szCs w:val="22"/>
        </w:rPr>
      </w:pPr>
      <w:bookmarkStart w:id="26" w:name="26"/>
      <w:r w:rsidRPr="00637182">
        <w:rPr>
          <w:b/>
          <w:bCs/>
          <w:sz w:val="22"/>
          <w:szCs w:val="22"/>
        </w:rPr>
        <w:t>10.</w:t>
      </w:r>
      <w:r>
        <w:rPr>
          <w:b/>
          <w:bCs/>
          <w:sz w:val="22"/>
          <w:szCs w:val="22"/>
        </w:rPr>
        <w:tab/>
      </w:r>
      <w:r w:rsidRPr="00637182">
        <w:rPr>
          <w:b/>
          <w:bCs/>
          <w:sz w:val="22"/>
          <w:szCs w:val="22"/>
        </w:rPr>
        <w:t>DATUM REVIZE TEXTU</w:t>
      </w:r>
      <w:bookmarkEnd w:id="26"/>
    </w:p>
    <w:p w:rsidR="00112103" w:rsidRPr="00637182" w:rsidRDefault="00112103" w:rsidP="00112103">
      <w:pPr>
        <w:ind w:left="567" w:hanging="567"/>
        <w:outlineLvl w:val="2"/>
        <w:rPr>
          <w:b/>
          <w:bCs/>
          <w:sz w:val="22"/>
          <w:szCs w:val="22"/>
        </w:rPr>
      </w:pPr>
    </w:p>
    <w:p w:rsidR="00112103" w:rsidRDefault="001E2A3D" w:rsidP="0011210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Srpen </w:t>
      </w:r>
      <w:r w:rsidR="00112103" w:rsidRPr="00637182">
        <w:rPr>
          <w:bCs/>
          <w:sz w:val="22"/>
          <w:szCs w:val="22"/>
        </w:rPr>
        <w:t>20</w:t>
      </w:r>
      <w:r w:rsidR="00112103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4</w:t>
      </w:r>
    </w:p>
    <w:p w:rsidR="00112103" w:rsidRPr="00A3422D" w:rsidRDefault="00112103" w:rsidP="00112103">
      <w:pPr>
        <w:rPr>
          <w:bCs/>
          <w:sz w:val="22"/>
          <w:szCs w:val="22"/>
        </w:rPr>
      </w:pPr>
    </w:p>
    <w:p w:rsidR="00112103" w:rsidRPr="00903043" w:rsidRDefault="00112103" w:rsidP="00112103">
      <w:pPr>
        <w:rPr>
          <w:b/>
          <w:bCs/>
          <w:sz w:val="22"/>
          <w:szCs w:val="22"/>
        </w:rPr>
      </w:pPr>
    </w:p>
    <w:p w:rsidR="00112103" w:rsidRPr="00BA2D89" w:rsidRDefault="00112103" w:rsidP="00112103">
      <w:pPr>
        <w:rPr>
          <w:sz w:val="22"/>
          <w:szCs w:val="22"/>
        </w:rPr>
      </w:pPr>
      <w:r w:rsidRPr="00BA2D89">
        <w:rPr>
          <w:b/>
          <w:sz w:val="22"/>
          <w:szCs w:val="22"/>
        </w:rPr>
        <w:t>DALŠÍ INFORMACE</w:t>
      </w:r>
    </w:p>
    <w:p w:rsidR="00112103" w:rsidRPr="000772EC" w:rsidRDefault="00112103" w:rsidP="00112103">
      <w:pPr>
        <w:rPr>
          <w:sz w:val="22"/>
          <w:szCs w:val="22"/>
        </w:rPr>
      </w:pPr>
    </w:p>
    <w:p w:rsidR="00112103" w:rsidRPr="000772EC" w:rsidRDefault="00112103" w:rsidP="00112103">
      <w:pPr>
        <w:rPr>
          <w:b/>
          <w:sz w:val="22"/>
          <w:szCs w:val="22"/>
        </w:rPr>
      </w:pPr>
      <w:r w:rsidRPr="000772EC">
        <w:rPr>
          <w:sz w:val="22"/>
          <w:szCs w:val="22"/>
        </w:rPr>
        <w:t>Veterinární léčivý přípravek je vydáván pouze na předpis.</w:t>
      </w:r>
    </w:p>
    <w:p w:rsidR="00112103" w:rsidRPr="00655EAF" w:rsidRDefault="00112103" w:rsidP="00112103">
      <w:pPr>
        <w:rPr>
          <w:sz w:val="22"/>
          <w:szCs w:val="22"/>
        </w:rPr>
      </w:pPr>
    </w:p>
    <w:p w:rsidR="00AB7C92" w:rsidRPr="00112103" w:rsidRDefault="00AB7C92" w:rsidP="00112103"/>
    <w:sectPr w:rsidR="00AB7C92" w:rsidRPr="00112103" w:rsidSect="00C26242">
      <w:footerReference w:type="default" r:id="rId8"/>
      <w:footerReference w:type="first" r:id="rId9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873" w:rsidRDefault="00C71873">
      <w:r>
        <w:separator/>
      </w:r>
    </w:p>
  </w:endnote>
  <w:endnote w:type="continuationSeparator" w:id="0">
    <w:p w:rsidR="00C71873" w:rsidRDefault="00C7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EDC" w:rsidRDefault="00D33EDC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D33EDC" w:rsidRDefault="004328C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C26242">
      <w:instrText xml:space="preserve"> PAGE  \* MERGEFORMAT </w:instrText>
    </w:r>
    <w:r>
      <w:fldChar w:fldCharType="separate"/>
    </w:r>
    <w:r w:rsidR="0011210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EDC" w:rsidRDefault="00D33EDC">
    <w:pPr>
      <w:pStyle w:val="Zpat"/>
      <w:tabs>
        <w:tab w:val="clear" w:pos="8930"/>
        <w:tab w:val="right" w:pos="8931"/>
      </w:tabs>
    </w:pPr>
  </w:p>
  <w:p w:rsidR="00D33EDC" w:rsidRDefault="004328C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C26242">
      <w:instrText xml:space="preserve"> PAGE  \* MERGEFORMAT </w:instrText>
    </w:r>
    <w:r>
      <w:fldChar w:fldCharType="separate"/>
    </w:r>
    <w:r w:rsidR="0011210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873" w:rsidRDefault="00C71873">
      <w:r>
        <w:separator/>
      </w:r>
    </w:p>
  </w:footnote>
  <w:footnote w:type="continuationSeparator" w:id="0">
    <w:p w:rsidR="00C71873" w:rsidRDefault="00C71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2FB74BE4"/>
    <w:multiLevelType w:val="hybridMultilevel"/>
    <w:tmpl w:val="ACAE1676"/>
    <w:lvl w:ilvl="0" w:tplc="6AF6E9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24D5578"/>
    <w:multiLevelType w:val="hybridMultilevel"/>
    <w:tmpl w:val="0D5CF6C6"/>
    <w:lvl w:ilvl="0" w:tplc="4EB4D2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1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6"/>
  </w:num>
  <w:num w:numId="5">
    <w:abstractNumId w:val="35"/>
  </w:num>
  <w:num w:numId="6">
    <w:abstractNumId w:val="11"/>
  </w:num>
  <w:num w:numId="7">
    <w:abstractNumId w:val="23"/>
  </w:num>
  <w:num w:numId="8">
    <w:abstractNumId w:val="22"/>
  </w:num>
  <w:num w:numId="9">
    <w:abstractNumId w:val="6"/>
  </w:num>
  <w:num w:numId="10">
    <w:abstractNumId w:val="33"/>
  </w:num>
  <w:num w:numId="11">
    <w:abstractNumId w:val="34"/>
  </w:num>
  <w:num w:numId="12">
    <w:abstractNumId w:val="17"/>
  </w:num>
  <w:num w:numId="13">
    <w:abstractNumId w:val="13"/>
  </w:num>
  <w:num w:numId="14">
    <w:abstractNumId w:val="2"/>
  </w:num>
  <w:num w:numId="15">
    <w:abstractNumId w:val="32"/>
  </w:num>
  <w:num w:numId="16">
    <w:abstractNumId w:val="20"/>
  </w:num>
  <w:num w:numId="17">
    <w:abstractNumId w:val="37"/>
  </w:num>
  <w:num w:numId="18">
    <w:abstractNumId w:val="7"/>
  </w:num>
  <w:num w:numId="19">
    <w:abstractNumId w:val="1"/>
  </w:num>
  <w:num w:numId="20">
    <w:abstractNumId w:val="18"/>
  </w:num>
  <w:num w:numId="21">
    <w:abstractNumId w:val="3"/>
  </w:num>
  <w:num w:numId="22">
    <w:abstractNumId w:val="5"/>
  </w:num>
  <w:num w:numId="23">
    <w:abstractNumId w:val="26"/>
  </w:num>
  <w:num w:numId="24">
    <w:abstractNumId w:val="10"/>
  </w:num>
  <w:num w:numId="25">
    <w:abstractNumId w:val="31"/>
  </w:num>
  <w:num w:numId="26">
    <w:abstractNumId w:val="25"/>
  </w:num>
  <w:num w:numId="27">
    <w:abstractNumId w:val="12"/>
  </w:num>
  <w:num w:numId="28">
    <w:abstractNumId w:val="9"/>
  </w:num>
  <w:num w:numId="29">
    <w:abstractNumId w:val="21"/>
  </w:num>
  <w:num w:numId="30">
    <w:abstractNumId w:val="24"/>
  </w:num>
  <w:num w:numId="31">
    <w:abstractNumId w:val="15"/>
  </w:num>
  <w:num w:numId="32">
    <w:abstractNumId w:val="8"/>
  </w:num>
  <w:num w:numId="33">
    <w:abstractNumId w:val="29"/>
  </w:num>
  <w:num w:numId="34">
    <w:abstractNumId w:val="30"/>
  </w:num>
  <w:num w:numId="35">
    <w:abstractNumId w:val="28"/>
  </w:num>
  <w:num w:numId="36">
    <w:abstractNumId w:val="16"/>
  </w:num>
  <w:num w:numId="37">
    <w:abstractNumId w:val="4"/>
  </w:num>
  <w:num w:numId="38">
    <w:abstractNumId w:val="38"/>
  </w:num>
  <w:num w:numId="39">
    <w:abstractNumId w:val="1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94"/>
    <w:rsid w:val="00005294"/>
    <w:rsid w:val="00096DF3"/>
    <w:rsid w:val="00112103"/>
    <w:rsid w:val="001E2A3D"/>
    <w:rsid w:val="003E58A2"/>
    <w:rsid w:val="004328CE"/>
    <w:rsid w:val="005E5C4D"/>
    <w:rsid w:val="006960F6"/>
    <w:rsid w:val="006D0019"/>
    <w:rsid w:val="006F1626"/>
    <w:rsid w:val="008C71AD"/>
    <w:rsid w:val="00A40773"/>
    <w:rsid w:val="00AA7DE7"/>
    <w:rsid w:val="00AB7C92"/>
    <w:rsid w:val="00B8790A"/>
    <w:rsid w:val="00BA31FA"/>
    <w:rsid w:val="00C26242"/>
    <w:rsid w:val="00C71873"/>
    <w:rsid w:val="00D33EDC"/>
    <w:rsid w:val="00DA2F9A"/>
    <w:rsid w:val="00FB2F54"/>
    <w:rsid w:val="00FC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6FDFF-DEE0-40E9-A5F6-74829420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26242"/>
    <w:rPr>
      <w:sz w:val="24"/>
      <w:szCs w:val="24"/>
    </w:rPr>
  </w:style>
  <w:style w:type="paragraph" w:styleId="Nadpis1">
    <w:name w:val="heading 1"/>
    <w:basedOn w:val="Normln"/>
    <w:next w:val="Normln"/>
    <w:qFormat/>
    <w:rsid w:val="00C262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26242"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096D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sid w:val="00C26242"/>
    <w:rPr>
      <w:rFonts w:ascii="Arial" w:hAnsi="Arial"/>
      <w:color w:val="0000FF"/>
      <w:sz w:val="20"/>
    </w:rPr>
  </w:style>
  <w:style w:type="character" w:customStyle="1" w:styleId="erven">
    <w:name w:val="červený"/>
    <w:rsid w:val="00C26242"/>
    <w:rPr>
      <w:rFonts w:ascii="Tahoma" w:hAnsi="Tahoma"/>
      <w:b/>
      <w:color w:val="FF0000"/>
    </w:rPr>
  </w:style>
  <w:style w:type="paragraph" w:customStyle="1" w:styleId="modr0">
    <w:name w:val="modrý"/>
    <w:basedOn w:val="Nadpis1"/>
    <w:rsid w:val="00C26242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rsid w:val="00C26242"/>
    <w:pPr>
      <w:spacing w:after="120"/>
    </w:pPr>
  </w:style>
  <w:style w:type="paragraph" w:customStyle="1" w:styleId="kurz">
    <w:name w:val="kurz"/>
    <w:basedOn w:val="Normln"/>
    <w:rsid w:val="00C26242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rsid w:val="00C26242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rsid w:val="00C26242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rsid w:val="00C26242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C2624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C26242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C26242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rsid w:val="00C26242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rsid w:val="00C26242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character" w:customStyle="1" w:styleId="Nadpis5Char">
    <w:name w:val="Nadpis 5 Char"/>
    <w:link w:val="Nadpis5"/>
    <w:rsid w:val="00096DF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ezmezer">
    <w:name w:val="No Spacing"/>
    <w:qFormat/>
    <w:rsid w:val="00096DF3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096D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textovodkaz">
    <w:name w:val="Hyperlink"/>
    <w:rsid w:val="00096D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gistrace@biove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</vt:lpstr>
    </vt:vector>
  </TitlesOfParts>
  <Company>USKVBL</Company>
  <LinksUpToDate>false</LinksUpToDate>
  <CharactersWithSpaces>19580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/>
  <dc:creator>formankova</dc:creator>
  <cp:keywords/>
  <dc:description/>
  <cp:lastModifiedBy>Neugebauerová Kateřina</cp:lastModifiedBy>
  <cp:revision>5</cp:revision>
  <cp:lastPrinted>2006-05-02T09:18:00Z</cp:lastPrinted>
  <dcterms:created xsi:type="dcterms:W3CDTF">2024-08-01T12:18:00Z</dcterms:created>
  <dcterms:modified xsi:type="dcterms:W3CDTF">2024-08-07T08:04:00Z</dcterms:modified>
</cp:coreProperties>
</file>