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7E232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7E232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7E232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5DB382" w14:textId="6B54819B" w:rsidR="00C93804" w:rsidRPr="00B0776C" w:rsidRDefault="00C93804" w:rsidP="00C93804">
      <w:pPr>
        <w:tabs>
          <w:tab w:val="clear" w:pos="567"/>
        </w:tabs>
        <w:spacing w:line="240" w:lineRule="auto"/>
        <w:rPr>
          <w:szCs w:val="22"/>
        </w:rPr>
      </w:pPr>
      <w:r w:rsidRPr="00B0776C">
        <w:t xml:space="preserve">Boflox flavour </w:t>
      </w:r>
      <w:r w:rsidR="006848CE" w:rsidRPr="00B0776C">
        <w:t>8</w:t>
      </w:r>
      <w:r w:rsidRPr="00B0776C">
        <w:t xml:space="preserve">0 mg tablety pro psy </w:t>
      </w:r>
    </w:p>
    <w:p w14:paraId="5906BB1F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0776C" w:rsidRDefault="007E232F" w:rsidP="00B13B6D">
      <w:pPr>
        <w:pStyle w:val="Style1"/>
      </w:pPr>
      <w:r w:rsidRPr="00B0776C">
        <w:t>2.</w:t>
      </w:r>
      <w:r w:rsidRPr="00B0776C">
        <w:tab/>
        <w:t>KVALITATIVNÍ A KVANTITATIVNÍ SLOŽENÍ</w:t>
      </w:r>
    </w:p>
    <w:p w14:paraId="3EAF4F83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7252CD" w14:textId="6EDF7975" w:rsidR="00C93804" w:rsidRPr="00B0776C" w:rsidRDefault="00C93804" w:rsidP="00A9226B">
      <w:pPr>
        <w:tabs>
          <w:tab w:val="clear" w:pos="567"/>
        </w:tabs>
        <w:spacing w:line="240" w:lineRule="auto"/>
      </w:pPr>
      <w:r w:rsidRPr="00B0776C">
        <w:t>Každá tableta obsahuje:</w:t>
      </w:r>
    </w:p>
    <w:p w14:paraId="1ECE9518" w14:textId="77777777" w:rsidR="00C93804" w:rsidRPr="00B0776C" w:rsidRDefault="00C938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5EB60617" w:rsidR="00C114FF" w:rsidRPr="00B0776C" w:rsidRDefault="007E232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0776C">
        <w:rPr>
          <w:b/>
          <w:szCs w:val="22"/>
        </w:rPr>
        <w:t>Léčivé látky:</w:t>
      </w:r>
    </w:p>
    <w:p w14:paraId="6E68ABCE" w14:textId="23FD121E" w:rsidR="00C93804" w:rsidRPr="00B0776C" w:rsidRDefault="00C93804" w:rsidP="00C93804">
      <w:pPr>
        <w:tabs>
          <w:tab w:val="clear" w:pos="567"/>
        </w:tabs>
        <w:spacing w:line="240" w:lineRule="auto"/>
        <w:rPr>
          <w:iCs/>
          <w:szCs w:val="22"/>
        </w:rPr>
      </w:pPr>
      <w:r w:rsidRPr="00B0776C">
        <w:t xml:space="preserve">Marbofloxacinum </w:t>
      </w:r>
      <w:r w:rsidR="006848CE" w:rsidRPr="00B0776C">
        <w:t>8</w:t>
      </w:r>
      <w:r w:rsidRPr="00B0776C">
        <w:t>0 mg</w:t>
      </w:r>
    </w:p>
    <w:p w14:paraId="5DBC8849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55E7C20E" w:rsidR="00C114FF" w:rsidRPr="00B0776C" w:rsidRDefault="007E232F" w:rsidP="00A9226B">
      <w:pPr>
        <w:tabs>
          <w:tab w:val="clear" w:pos="567"/>
        </w:tabs>
        <w:spacing w:line="240" w:lineRule="auto"/>
        <w:rPr>
          <w:szCs w:val="22"/>
        </w:rPr>
      </w:pPr>
      <w:r w:rsidRPr="00B0776C">
        <w:rPr>
          <w:b/>
          <w:szCs w:val="22"/>
        </w:rPr>
        <w:t>Pomocné látky:</w:t>
      </w:r>
    </w:p>
    <w:p w14:paraId="13C45036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C93804" w:rsidRPr="00B0776C" w14:paraId="44EFFB6D" w14:textId="77777777" w:rsidTr="00165038">
        <w:tc>
          <w:tcPr>
            <w:tcW w:w="4525" w:type="dxa"/>
            <w:shd w:val="clear" w:color="auto" w:fill="auto"/>
            <w:vAlign w:val="center"/>
          </w:tcPr>
          <w:p w14:paraId="11D574D6" w14:textId="77777777" w:rsidR="00C93804" w:rsidRPr="00B0776C" w:rsidRDefault="00C93804" w:rsidP="00165038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0776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93804" w:rsidRPr="00B0776C" w14:paraId="5AFF8546" w14:textId="77777777" w:rsidTr="00165038">
        <w:tc>
          <w:tcPr>
            <w:tcW w:w="4525" w:type="dxa"/>
            <w:shd w:val="clear" w:color="auto" w:fill="auto"/>
          </w:tcPr>
          <w:p w14:paraId="458D5B97" w14:textId="77777777" w:rsidR="00C93804" w:rsidRPr="00B0776C" w:rsidRDefault="00C93804" w:rsidP="00165038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B0776C">
              <w:t>Monohydrát laktosy</w:t>
            </w:r>
          </w:p>
        </w:tc>
      </w:tr>
      <w:tr w:rsidR="00C93804" w:rsidRPr="00B0776C" w14:paraId="3CB3AC15" w14:textId="77777777" w:rsidTr="00165038">
        <w:tc>
          <w:tcPr>
            <w:tcW w:w="4525" w:type="dxa"/>
            <w:shd w:val="clear" w:color="auto" w:fill="auto"/>
          </w:tcPr>
          <w:p w14:paraId="17A8AAF8" w14:textId="77777777" w:rsidR="00C93804" w:rsidRPr="00B0776C" w:rsidRDefault="00C93804" w:rsidP="00165038">
            <w:pPr>
              <w:spacing w:before="60" w:after="60"/>
              <w:rPr>
                <w:iCs/>
                <w:szCs w:val="22"/>
              </w:rPr>
            </w:pPr>
            <w:r w:rsidRPr="00B0776C">
              <w:t>Celulosový prášek</w:t>
            </w:r>
          </w:p>
        </w:tc>
      </w:tr>
      <w:tr w:rsidR="00C93804" w:rsidRPr="00B0776C" w14:paraId="7388B43F" w14:textId="77777777" w:rsidTr="00165038">
        <w:tc>
          <w:tcPr>
            <w:tcW w:w="4525" w:type="dxa"/>
            <w:shd w:val="clear" w:color="auto" w:fill="auto"/>
          </w:tcPr>
          <w:p w14:paraId="53DD801D" w14:textId="77777777" w:rsidR="00C93804" w:rsidRPr="00B0776C" w:rsidRDefault="00C93804" w:rsidP="00165038">
            <w:pPr>
              <w:spacing w:before="60" w:after="60"/>
              <w:rPr>
                <w:iCs/>
                <w:szCs w:val="22"/>
              </w:rPr>
            </w:pPr>
            <w:r w:rsidRPr="00B0776C">
              <w:t xml:space="preserve">Povidon </w:t>
            </w:r>
          </w:p>
        </w:tc>
      </w:tr>
      <w:tr w:rsidR="00C93804" w:rsidRPr="00B0776C" w14:paraId="3259D197" w14:textId="77777777" w:rsidTr="00165038">
        <w:tc>
          <w:tcPr>
            <w:tcW w:w="4525" w:type="dxa"/>
            <w:shd w:val="clear" w:color="auto" w:fill="auto"/>
          </w:tcPr>
          <w:p w14:paraId="5E77BB50" w14:textId="77777777" w:rsidR="00C93804" w:rsidRPr="00B0776C" w:rsidRDefault="00C93804" w:rsidP="00165038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B0776C">
              <w:t>Krospovidon</w:t>
            </w:r>
          </w:p>
        </w:tc>
      </w:tr>
      <w:tr w:rsidR="00C93804" w:rsidRPr="00B0776C" w14:paraId="02AE0131" w14:textId="77777777" w:rsidTr="00165038">
        <w:tc>
          <w:tcPr>
            <w:tcW w:w="4525" w:type="dxa"/>
            <w:shd w:val="clear" w:color="auto" w:fill="auto"/>
          </w:tcPr>
          <w:p w14:paraId="3ACA6C6A" w14:textId="77777777" w:rsidR="00C93804" w:rsidRPr="00B0776C" w:rsidRDefault="00C93804" w:rsidP="00165038">
            <w:pPr>
              <w:spacing w:before="60" w:after="60"/>
              <w:rPr>
                <w:iCs/>
                <w:szCs w:val="22"/>
              </w:rPr>
            </w:pPr>
            <w:r w:rsidRPr="00B0776C">
              <w:t xml:space="preserve">Koloidní bezvodý oxid křemičitý </w:t>
            </w:r>
          </w:p>
        </w:tc>
      </w:tr>
      <w:tr w:rsidR="00C93804" w:rsidRPr="00B0776C" w14:paraId="3CA20EDB" w14:textId="77777777" w:rsidTr="00165038">
        <w:tc>
          <w:tcPr>
            <w:tcW w:w="4525" w:type="dxa"/>
            <w:shd w:val="clear" w:color="auto" w:fill="auto"/>
          </w:tcPr>
          <w:p w14:paraId="687070BE" w14:textId="77777777" w:rsidR="00C93804" w:rsidRPr="00B0776C" w:rsidRDefault="00C93804" w:rsidP="00165038">
            <w:pPr>
              <w:spacing w:before="60" w:after="60"/>
            </w:pPr>
            <w:r w:rsidRPr="00B0776C">
              <w:t xml:space="preserve">Kalcium-behenát </w:t>
            </w:r>
          </w:p>
        </w:tc>
      </w:tr>
      <w:tr w:rsidR="00C93804" w:rsidRPr="00B0776C" w14:paraId="707D9C32" w14:textId="77777777" w:rsidTr="00165038">
        <w:tc>
          <w:tcPr>
            <w:tcW w:w="4525" w:type="dxa"/>
            <w:shd w:val="clear" w:color="auto" w:fill="auto"/>
          </w:tcPr>
          <w:p w14:paraId="3020AC45" w14:textId="77777777" w:rsidR="00C93804" w:rsidRPr="00B0776C" w:rsidRDefault="00C93804" w:rsidP="00165038">
            <w:pPr>
              <w:spacing w:before="60" w:after="60"/>
            </w:pPr>
            <w:r w:rsidRPr="00B0776C">
              <w:t>Kvasnice</w:t>
            </w:r>
          </w:p>
        </w:tc>
      </w:tr>
      <w:tr w:rsidR="00C93804" w:rsidRPr="00B0776C" w14:paraId="6AEA597C" w14:textId="77777777" w:rsidTr="00165038">
        <w:tc>
          <w:tcPr>
            <w:tcW w:w="4525" w:type="dxa"/>
            <w:shd w:val="clear" w:color="auto" w:fill="auto"/>
          </w:tcPr>
          <w:p w14:paraId="1DDE0ECC" w14:textId="77777777" w:rsidR="00C93804" w:rsidRPr="00B0776C" w:rsidRDefault="00C93804" w:rsidP="00165038">
            <w:pPr>
              <w:spacing w:before="60" w:after="60"/>
            </w:pPr>
            <w:r w:rsidRPr="00B0776C">
              <w:t>Hovězí aroma</w:t>
            </w:r>
          </w:p>
        </w:tc>
      </w:tr>
    </w:tbl>
    <w:p w14:paraId="256F4B6E" w14:textId="77777777" w:rsidR="006848CE" w:rsidRPr="00B0776C" w:rsidRDefault="006848CE" w:rsidP="006848CE">
      <w:pPr>
        <w:rPr>
          <w:szCs w:val="22"/>
        </w:rPr>
      </w:pPr>
      <w:r w:rsidRPr="00B0776C">
        <w:t>Podlouhlé béžové tablety s hnědými tečkami a dělicí rýhou na obou stranách.</w:t>
      </w:r>
    </w:p>
    <w:p w14:paraId="39AD903B" w14:textId="77777777" w:rsidR="006848CE" w:rsidRPr="00B0776C" w:rsidRDefault="006848CE" w:rsidP="006848CE">
      <w:pPr>
        <w:tabs>
          <w:tab w:val="clear" w:pos="567"/>
        </w:tabs>
        <w:spacing w:line="240" w:lineRule="auto"/>
        <w:rPr>
          <w:szCs w:val="22"/>
        </w:rPr>
      </w:pPr>
      <w:r w:rsidRPr="00B0776C">
        <w:t>Tablety lze dělit na dvě stejné poloviny.</w:t>
      </w:r>
    </w:p>
    <w:p w14:paraId="38F51D2A" w14:textId="77777777" w:rsidR="00872C48" w:rsidRPr="00B0776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0776C" w:rsidRDefault="007E232F" w:rsidP="00B13B6D">
      <w:pPr>
        <w:pStyle w:val="Style1"/>
      </w:pPr>
      <w:r w:rsidRPr="00B0776C">
        <w:t>3.</w:t>
      </w:r>
      <w:r w:rsidRPr="00B0776C">
        <w:tab/>
        <w:t>KLINICKÉ INFORMACE</w:t>
      </w:r>
    </w:p>
    <w:p w14:paraId="03304F78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0776C" w:rsidRDefault="007E232F" w:rsidP="00B13B6D">
      <w:pPr>
        <w:pStyle w:val="Style1"/>
      </w:pPr>
      <w:r w:rsidRPr="00B0776C">
        <w:t>3.1</w:t>
      </w:r>
      <w:r w:rsidRPr="00B0776C">
        <w:tab/>
        <w:t>Cílové druhy zvířat</w:t>
      </w:r>
    </w:p>
    <w:p w14:paraId="20FFAC3D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9C0B0" w14:textId="350F055A" w:rsidR="0086112C" w:rsidRPr="00B0776C" w:rsidRDefault="0086112C" w:rsidP="00A9226B">
      <w:pPr>
        <w:tabs>
          <w:tab w:val="clear" w:pos="567"/>
        </w:tabs>
        <w:spacing w:line="240" w:lineRule="auto"/>
      </w:pPr>
      <w:r w:rsidRPr="00B0776C">
        <w:t>Psi.</w:t>
      </w:r>
    </w:p>
    <w:p w14:paraId="650F5364" w14:textId="77777777" w:rsidR="0086112C" w:rsidRPr="00B0776C" w:rsidRDefault="008611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0776C" w:rsidRDefault="007E232F" w:rsidP="00B13B6D">
      <w:pPr>
        <w:pStyle w:val="Style1"/>
      </w:pPr>
      <w:r w:rsidRPr="00B0776C">
        <w:t>3.2</w:t>
      </w:r>
      <w:r w:rsidRPr="00B0776C">
        <w:tab/>
        <w:t xml:space="preserve">Indikace pro použití pro každý cílový druh </w:t>
      </w:r>
      <w:r w:rsidR="0043586F" w:rsidRPr="00B0776C">
        <w:t>zvířat</w:t>
      </w:r>
    </w:p>
    <w:p w14:paraId="327E3A6F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C157E8" w14:textId="00475CDD" w:rsidR="006848CE" w:rsidRPr="00B0776C" w:rsidRDefault="006848CE" w:rsidP="006848CE">
      <w:pPr>
        <w:tabs>
          <w:tab w:val="clear" w:pos="567"/>
        </w:tabs>
        <w:spacing w:line="240" w:lineRule="auto"/>
        <w:rPr>
          <w:szCs w:val="22"/>
        </w:rPr>
      </w:pPr>
      <w:r w:rsidRPr="00B0776C">
        <w:t>Léčba infekcí vyvolaných kmeny mikroorganismů citlivými k marbofloxacin</w:t>
      </w:r>
      <w:r w:rsidR="002520EA" w:rsidRPr="00B0776C">
        <w:t>u</w:t>
      </w:r>
      <w:r w:rsidRPr="00B0776C">
        <w:t>. Viz bod 4.</w:t>
      </w:r>
      <w:r w:rsidR="00C04BB6" w:rsidRPr="00B0776C">
        <w:t>2</w:t>
      </w:r>
      <w:r w:rsidRPr="00B0776C">
        <w:t>.</w:t>
      </w:r>
    </w:p>
    <w:p w14:paraId="26563932" w14:textId="77777777" w:rsidR="006848CE" w:rsidRPr="00B0776C" w:rsidRDefault="006848CE" w:rsidP="006848CE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B0776C">
        <w:t>•</w:t>
      </w:r>
      <w:r w:rsidRPr="00B0776C">
        <w:tab/>
        <w:t xml:space="preserve">infekce kůže a měkkých tkání (pyodermie kožních záhybů, impetigo, folikulitida, furunkulóza, celulitida); </w:t>
      </w:r>
    </w:p>
    <w:p w14:paraId="54DD0BCE" w14:textId="77CDF476" w:rsidR="006848CE" w:rsidRPr="00B0776C" w:rsidRDefault="006848CE" w:rsidP="003A192F">
      <w:pPr>
        <w:ind w:left="567" w:hanging="705"/>
        <w:jc w:val="both"/>
        <w:rPr>
          <w:szCs w:val="22"/>
        </w:rPr>
      </w:pPr>
      <w:r w:rsidRPr="00B0776C">
        <w:t>•</w:t>
      </w:r>
      <w:r w:rsidRPr="00B0776C">
        <w:tab/>
        <w:t xml:space="preserve">infekce </w:t>
      </w:r>
      <w:bookmarkStart w:id="0" w:name="_Hlk204854507"/>
      <w:r w:rsidR="00C97846" w:rsidRPr="00B0776C">
        <w:t>močových cest</w:t>
      </w:r>
      <w:r w:rsidRPr="00B0776C">
        <w:t xml:space="preserve"> doprovázené </w:t>
      </w:r>
      <w:r w:rsidR="00040E07" w:rsidRPr="00B0776C">
        <w:t>prostatitidou nebo epididymitidou</w:t>
      </w:r>
      <w:r w:rsidRPr="00B0776C">
        <w:t xml:space="preserve"> </w:t>
      </w:r>
      <w:bookmarkEnd w:id="0"/>
      <w:r w:rsidRPr="00B0776C">
        <w:rPr>
          <w:szCs w:val="22"/>
        </w:rPr>
        <w:t>nebo bez uvedených</w:t>
      </w:r>
      <w:r w:rsidR="004F006E">
        <w:rPr>
          <w:szCs w:val="22"/>
        </w:rPr>
        <w:t xml:space="preserve"> </w:t>
      </w:r>
      <w:r w:rsidRPr="00B0776C">
        <w:rPr>
          <w:szCs w:val="22"/>
        </w:rPr>
        <w:t>zánětlivých procesů;</w:t>
      </w:r>
    </w:p>
    <w:p w14:paraId="3F1AB31B" w14:textId="77777777" w:rsidR="006848CE" w:rsidRPr="00B0776C" w:rsidRDefault="006848CE" w:rsidP="006848CE">
      <w:pPr>
        <w:tabs>
          <w:tab w:val="clear" w:pos="567"/>
        </w:tabs>
        <w:spacing w:line="240" w:lineRule="auto"/>
        <w:rPr>
          <w:szCs w:val="22"/>
        </w:rPr>
      </w:pPr>
      <w:r w:rsidRPr="00B0776C">
        <w:t>•</w:t>
      </w:r>
      <w:r w:rsidRPr="00B0776C">
        <w:tab/>
        <w:t>infekce dýchacího ústrojí.</w:t>
      </w:r>
    </w:p>
    <w:p w14:paraId="45A9E78C" w14:textId="77777777" w:rsidR="00E86CEE" w:rsidRPr="00B0776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0776C" w:rsidRDefault="007E232F" w:rsidP="00B13B6D">
      <w:pPr>
        <w:pStyle w:val="Style1"/>
      </w:pPr>
      <w:r w:rsidRPr="00B0776C">
        <w:t>3.3</w:t>
      </w:r>
      <w:r w:rsidRPr="00B0776C">
        <w:tab/>
        <w:t>Kontraindikace</w:t>
      </w:r>
    </w:p>
    <w:p w14:paraId="758D96B3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04738A" w14:textId="01952DEC" w:rsidR="00110062" w:rsidRPr="00B0776C" w:rsidRDefault="00110062" w:rsidP="006848CE">
      <w:pPr>
        <w:jc w:val="both"/>
        <w:rPr>
          <w:szCs w:val="22"/>
        </w:rPr>
      </w:pPr>
      <w:bookmarkStart w:id="1" w:name="_Hlk204853248"/>
      <w:bookmarkStart w:id="2" w:name="_Hlk204850881"/>
      <w:r w:rsidRPr="00B0776C">
        <w:t>Nepoužívat u psů mladších než 12 měsíců, nebo u obřích plemen, jako jsou dogy, briardi, bernští salašničtí psi, bouvieři a mastifové, mladších než 18 měsíců, vzhledem k jejich delšímu růstovému období.</w:t>
      </w:r>
      <w:bookmarkEnd w:id="1"/>
    </w:p>
    <w:bookmarkEnd w:id="2"/>
    <w:p w14:paraId="7EC10B79" w14:textId="6656AF5D" w:rsidR="006848CE" w:rsidRPr="00B0776C" w:rsidRDefault="006848CE" w:rsidP="006848CE">
      <w:pPr>
        <w:rPr>
          <w:szCs w:val="22"/>
        </w:rPr>
      </w:pPr>
      <w:r w:rsidRPr="00B0776C">
        <w:t>Nepoužívat v případech přecitlivělosti na léčivé látky nebo na některou z pomocných látek.</w:t>
      </w:r>
    </w:p>
    <w:p w14:paraId="4EE22894" w14:textId="77777777" w:rsidR="006848CE" w:rsidRPr="00B0776C" w:rsidRDefault="006848CE" w:rsidP="006848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0776C">
        <w:rPr>
          <w:szCs w:val="22"/>
        </w:rPr>
        <w:t>Nepoužívat v případech rezistence k</w:t>
      </w:r>
      <w:r w:rsidRPr="00B0776C">
        <w:t xml:space="preserve"> </w:t>
      </w:r>
      <w:r w:rsidRPr="00B0776C">
        <w:rPr>
          <w:szCs w:val="22"/>
        </w:rPr>
        <w:t>chinolonům z důvodu existence (téměř) úplné zkřížené rezistence k ostatním fluorochinolonům.</w:t>
      </w:r>
    </w:p>
    <w:p w14:paraId="553B86E9" w14:textId="2692767A" w:rsidR="006848CE" w:rsidRPr="00B0776C" w:rsidRDefault="006848CE" w:rsidP="006848CE">
      <w:pPr>
        <w:rPr>
          <w:szCs w:val="22"/>
        </w:rPr>
      </w:pPr>
      <w:r w:rsidRPr="00B0776C">
        <w:t xml:space="preserve">Není vhodné používat u infekcí </w:t>
      </w:r>
      <w:r w:rsidR="00387483" w:rsidRPr="00B0776C">
        <w:t xml:space="preserve">vyvolaných </w:t>
      </w:r>
      <w:r w:rsidRPr="00B0776C">
        <w:t>striktními anaeroby, kvasinkami nebo plísněmi.</w:t>
      </w:r>
    </w:p>
    <w:p w14:paraId="67B38DFB" w14:textId="77777777" w:rsidR="006848CE" w:rsidRPr="00B0776C" w:rsidRDefault="006848CE" w:rsidP="006848CE">
      <w:pPr>
        <w:rPr>
          <w:szCs w:val="22"/>
        </w:rPr>
      </w:pPr>
    </w:p>
    <w:p w14:paraId="6E5AC141" w14:textId="5BD7EB2E" w:rsidR="006848CE" w:rsidRPr="00B0776C" w:rsidRDefault="006848CE" w:rsidP="006848CE">
      <w:pPr>
        <w:tabs>
          <w:tab w:val="clear" w:pos="567"/>
        </w:tabs>
        <w:spacing w:line="240" w:lineRule="auto"/>
        <w:rPr>
          <w:szCs w:val="22"/>
        </w:rPr>
      </w:pPr>
      <w:r w:rsidRPr="00B0776C">
        <w:rPr>
          <w:szCs w:val="22"/>
        </w:rPr>
        <w:t>Nepoužívat k léčbě koček.</w:t>
      </w:r>
      <w:r w:rsidRPr="00B0776C">
        <w:t xml:space="preserve"> Pro léčbu </w:t>
      </w:r>
      <w:r w:rsidR="00285BC8">
        <w:t xml:space="preserve">koček </w:t>
      </w:r>
      <w:r w:rsidRPr="00B0776C">
        <w:t>je k dispozici dělitelná 20 mg tableta.</w:t>
      </w:r>
    </w:p>
    <w:p w14:paraId="54C2FA76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0776C" w:rsidRDefault="007E232F" w:rsidP="00B13B6D">
      <w:pPr>
        <w:pStyle w:val="Style1"/>
      </w:pPr>
      <w:r w:rsidRPr="00B0776C">
        <w:t>3.4</w:t>
      </w:r>
      <w:r w:rsidRPr="00B0776C">
        <w:tab/>
        <w:t>Zvláštní upozornění</w:t>
      </w:r>
    </w:p>
    <w:p w14:paraId="0622A062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A1E9B6" w14:textId="53D88BA0" w:rsidR="001F6626" w:rsidRPr="00B0776C" w:rsidRDefault="006848CE" w:rsidP="001F6626">
      <w:pPr>
        <w:jc w:val="both"/>
        <w:rPr>
          <w:szCs w:val="22"/>
        </w:rPr>
      </w:pPr>
      <w:r w:rsidRPr="00B0776C">
        <w:rPr>
          <w:szCs w:val="22"/>
        </w:rPr>
        <w:t>Nízk</w:t>
      </w:r>
      <w:r w:rsidR="00FB1F63" w:rsidRPr="00B0776C">
        <w:rPr>
          <w:szCs w:val="22"/>
        </w:rPr>
        <w:t xml:space="preserve">é </w:t>
      </w:r>
      <w:r w:rsidRPr="00B0776C">
        <w:rPr>
          <w:szCs w:val="22"/>
        </w:rPr>
        <w:t>pH moči může snižovat účinek marbofloxacinu. Pyodermie se vyskytuje převážně sekundárně k primárnímu onemocnění, proto je vhodné určit primární příčinu a adekvátně zvíře léčit.</w:t>
      </w:r>
    </w:p>
    <w:p w14:paraId="7D798E15" w14:textId="77777777" w:rsidR="00E86CEE" w:rsidRPr="00B0776C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0776C" w:rsidRDefault="007E232F" w:rsidP="00B13B6D">
      <w:pPr>
        <w:pStyle w:val="Style1"/>
      </w:pPr>
      <w:r w:rsidRPr="00B0776C">
        <w:t>3.5</w:t>
      </w:r>
      <w:r w:rsidRPr="00B0776C">
        <w:tab/>
        <w:t>Zvláštní opatření pro použití</w:t>
      </w:r>
    </w:p>
    <w:p w14:paraId="0B94D7B2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0776C" w:rsidRDefault="007E232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0776C">
        <w:rPr>
          <w:szCs w:val="22"/>
          <w:u w:val="single"/>
        </w:rPr>
        <w:t>Zvláštní opatření pro bezpečné použití u cílových druhů zvířat:</w:t>
      </w:r>
    </w:p>
    <w:p w14:paraId="3A0300F0" w14:textId="59770928" w:rsidR="001F6626" w:rsidRPr="00B0776C" w:rsidRDefault="001F6626" w:rsidP="001F6626">
      <w:pPr>
        <w:keepNext/>
        <w:keepLines/>
        <w:jc w:val="both"/>
        <w:rPr>
          <w:szCs w:val="22"/>
        </w:rPr>
      </w:pPr>
      <w:bookmarkStart w:id="3" w:name="_Hlk204850957"/>
      <w:r w:rsidRPr="00B0776C">
        <w:rPr>
          <w:szCs w:val="22"/>
        </w:rPr>
        <w:t xml:space="preserve">Bylo prokázáno, že fluorochinolony </w:t>
      </w:r>
      <w:r w:rsidR="00F90227" w:rsidRPr="00B0776C">
        <w:rPr>
          <w:szCs w:val="22"/>
        </w:rPr>
        <w:t xml:space="preserve">mohou způsobovat </w:t>
      </w:r>
      <w:r w:rsidRPr="00B0776C">
        <w:rPr>
          <w:szCs w:val="22"/>
        </w:rPr>
        <w:t>eroze kloubní chrupavky</w:t>
      </w:r>
      <w:r w:rsidR="00F90227" w:rsidRPr="00B0776C">
        <w:rPr>
          <w:szCs w:val="22"/>
        </w:rPr>
        <w:t xml:space="preserve"> u mladých věkových kategorií psů</w:t>
      </w:r>
      <w:r w:rsidRPr="00B0776C">
        <w:rPr>
          <w:szCs w:val="22"/>
        </w:rPr>
        <w:t xml:space="preserve"> a je proto nutné dodržovat správné dávkování, zejména u mladých zvířat.</w:t>
      </w:r>
    </w:p>
    <w:bookmarkEnd w:id="3"/>
    <w:p w14:paraId="2047BCB9" w14:textId="77777777" w:rsidR="001F6626" w:rsidRPr="00B0776C" w:rsidRDefault="001F6626" w:rsidP="001F6626">
      <w:pPr>
        <w:tabs>
          <w:tab w:val="clear" w:pos="567"/>
        </w:tabs>
        <w:spacing w:line="240" w:lineRule="auto"/>
        <w:rPr>
          <w:szCs w:val="22"/>
        </w:rPr>
      </w:pPr>
    </w:p>
    <w:p w14:paraId="7B1FCE42" w14:textId="4FCA1B94" w:rsidR="001F6626" w:rsidRPr="00B0776C" w:rsidRDefault="001F6626" w:rsidP="001F6626">
      <w:pPr>
        <w:tabs>
          <w:tab w:val="clear" w:pos="567"/>
        </w:tabs>
        <w:spacing w:line="240" w:lineRule="auto"/>
        <w:rPr>
          <w:szCs w:val="22"/>
        </w:rPr>
      </w:pPr>
      <w:r w:rsidRPr="00B0776C">
        <w:t xml:space="preserve">U fluorochinolonů jsou také známé nežádoucí neurologické účinky. </w:t>
      </w:r>
      <w:r w:rsidRPr="00B0776C">
        <w:rPr>
          <w:szCs w:val="22"/>
        </w:rPr>
        <w:t>U psů, u nichž byla diagnostikována epilepsie, se proto doporučuje zvýšená opatrnost při použití.</w:t>
      </w:r>
      <w:r w:rsidRPr="00B0776C" w:rsidDel="00F30994">
        <w:t xml:space="preserve"> </w:t>
      </w:r>
    </w:p>
    <w:p w14:paraId="12DA67C9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3A0340" w14:textId="77777777" w:rsidR="001F6626" w:rsidRPr="00B0776C" w:rsidRDefault="001F6626" w:rsidP="001F6626">
      <w:pPr>
        <w:tabs>
          <w:tab w:val="clear" w:pos="567"/>
        </w:tabs>
        <w:spacing w:line="240" w:lineRule="auto"/>
        <w:jc w:val="both"/>
        <w:rPr>
          <w:szCs w:val="24"/>
        </w:rPr>
      </w:pPr>
      <w:r w:rsidRPr="00B0776C">
        <w:rPr>
          <w:szCs w:val="24"/>
        </w:rPr>
        <w:t>Fluorochinolony by měly být vyhrazeny pro léčbu klinických případů, které mají slabou odezvu nebo kdy se očekává, že budou mít slabou odezvu na jiné farmakologické skupiny antimikrobních léčiv.</w:t>
      </w:r>
    </w:p>
    <w:p w14:paraId="239B9308" w14:textId="1790ECF0" w:rsidR="001F6626" w:rsidRPr="00B0776C" w:rsidRDefault="001F6626" w:rsidP="001F6626">
      <w:pPr>
        <w:tabs>
          <w:tab w:val="clear" w:pos="567"/>
        </w:tabs>
        <w:spacing w:line="240" w:lineRule="auto"/>
        <w:jc w:val="both"/>
        <w:rPr>
          <w:color w:val="000000"/>
          <w:lang w:eastAsia="de-DE"/>
        </w:rPr>
      </w:pPr>
      <w:r w:rsidRPr="00B0776C">
        <w:rPr>
          <w:color w:val="000000"/>
          <w:lang w:eastAsia="de-DE"/>
        </w:rPr>
        <w:t xml:space="preserve">Použití veterinárního léčivého přípravku by mělo být založeno na </w:t>
      </w:r>
      <w:r w:rsidR="009E0FD3" w:rsidRPr="00B0776C">
        <w:rPr>
          <w:color w:val="000000"/>
          <w:lang w:eastAsia="de-DE"/>
        </w:rPr>
        <w:t>stanovení</w:t>
      </w:r>
      <w:r w:rsidRPr="00B0776C">
        <w:rPr>
          <w:color w:val="000000"/>
          <w:lang w:eastAsia="de-DE"/>
        </w:rPr>
        <w:t xml:space="preserve"> citlivost</w:t>
      </w:r>
      <w:r w:rsidR="009E0FD3" w:rsidRPr="00B0776C">
        <w:rPr>
          <w:color w:val="000000"/>
          <w:lang w:eastAsia="de-DE"/>
        </w:rPr>
        <w:t>i</w:t>
      </w:r>
      <w:r w:rsidRPr="00B0776C">
        <w:rPr>
          <w:color w:val="000000"/>
          <w:lang w:eastAsia="de-DE"/>
        </w:rPr>
        <w:t xml:space="preserve"> bakterií izolovaných ze zvířat.</w:t>
      </w:r>
    </w:p>
    <w:p w14:paraId="22645926" w14:textId="23ABE346" w:rsidR="001F6626" w:rsidRPr="00B0776C" w:rsidRDefault="009E0FD3" w:rsidP="001F66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0776C">
        <w:rPr>
          <w:color w:val="000000"/>
          <w:lang w:eastAsia="de-DE"/>
        </w:rPr>
        <w:t>Není-li to</w:t>
      </w:r>
      <w:r w:rsidR="001F6626" w:rsidRPr="00B0776C">
        <w:rPr>
          <w:color w:val="000000"/>
          <w:lang w:eastAsia="de-DE"/>
        </w:rPr>
        <w:t xml:space="preserve"> možné, je nutné založit terapii na místních (</w:t>
      </w:r>
      <w:bookmarkStart w:id="4" w:name="_Hlk204850993"/>
      <w:r w:rsidR="00F322D3" w:rsidRPr="00B0776C">
        <w:rPr>
          <w:color w:val="000000"/>
          <w:lang w:eastAsia="de-DE"/>
        </w:rPr>
        <w:t>regionálních</w:t>
      </w:r>
      <w:r w:rsidR="001F6626" w:rsidRPr="00B0776C">
        <w:rPr>
          <w:color w:val="000000"/>
          <w:lang w:eastAsia="de-DE"/>
        </w:rPr>
        <w:t xml:space="preserve">, </w:t>
      </w:r>
      <w:r w:rsidR="00F322D3" w:rsidRPr="00B0776C">
        <w:rPr>
          <w:color w:val="000000"/>
          <w:lang w:eastAsia="de-DE"/>
        </w:rPr>
        <w:t>na úrovni</w:t>
      </w:r>
      <w:r w:rsidR="00285BC8">
        <w:rPr>
          <w:color w:val="000000"/>
          <w:lang w:eastAsia="de-DE"/>
        </w:rPr>
        <w:t xml:space="preserve"> </w:t>
      </w:r>
      <w:bookmarkEnd w:id="4"/>
      <w:r w:rsidR="00285BC8">
        <w:rPr>
          <w:color w:val="000000"/>
          <w:lang w:eastAsia="de-DE"/>
        </w:rPr>
        <w:t>chovu</w:t>
      </w:r>
      <w:r w:rsidR="001F6626" w:rsidRPr="00B0776C">
        <w:rPr>
          <w:color w:val="000000"/>
          <w:lang w:eastAsia="de-DE"/>
        </w:rPr>
        <w:t>) epizootologických informacích o citlivosti cílové bakterie.</w:t>
      </w:r>
      <w:r w:rsidR="00F322D3" w:rsidRPr="00B0776C">
        <w:rPr>
          <w:color w:val="000000"/>
          <w:lang w:eastAsia="de-DE"/>
        </w:rPr>
        <w:t xml:space="preserve"> </w:t>
      </w:r>
      <w:r w:rsidR="001F6626" w:rsidRPr="00B0776C">
        <w:rPr>
          <w:szCs w:val="24"/>
        </w:rPr>
        <w:t>Použití veterinárního léčivého přípravku v rozporu s pokyny uvedenými v tomto souhrnu údajů o přípravku (SPC) může zvýšit prevalenci kmenů bakterií rezistentních k fluorochinolonům a může snížit účinnost léčby ostatními chinolony z důvodů možné zkřížené rezistence.</w:t>
      </w:r>
    </w:p>
    <w:p w14:paraId="7EBCC5F7" w14:textId="77777777" w:rsidR="001F6626" w:rsidRPr="00B0776C" w:rsidRDefault="001F6626" w:rsidP="001F6626">
      <w:pPr>
        <w:tabs>
          <w:tab w:val="clear" w:pos="567"/>
        </w:tabs>
        <w:spacing w:line="240" w:lineRule="auto"/>
        <w:rPr>
          <w:szCs w:val="22"/>
        </w:rPr>
      </w:pPr>
    </w:p>
    <w:p w14:paraId="2B0399A8" w14:textId="5CA69FDC" w:rsidR="001F6626" w:rsidRPr="00B0776C" w:rsidRDefault="001F6626" w:rsidP="001F6626">
      <w:pPr>
        <w:autoSpaceDE w:val="0"/>
        <w:autoSpaceDN w:val="0"/>
        <w:adjustRightInd w:val="0"/>
        <w:spacing w:line="240" w:lineRule="atLeast"/>
      </w:pPr>
      <w:r w:rsidRPr="00B0776C">
        <w:t>Při použití</w:t>
      </w:r>
      <w:r w:rsidR="000B5ED2" w:rsidRPr="00B0776C">
        <w:t xml:space="preserve"> veterinárního léčivého</w:t>
      </w:r>
      <w:r w:rsidRPr="00B0776C">
        <w:t xml:space="preserve"> přípravku je nutno vzít v úvahu celostátní</w:t>
      </w:r>
      <w:r w:rsidR="00F322D3" w:rsidRPr="00B0776C">
        <w:t xml:space="preserve"> </w:t>
      </w:r>
      <w:r w:rsidRPr="00B0776C">
        <w:t xml:space="preserve">a místní pravidla antibiotické politiky. </w:t>
      </w:r>
    </w:p>
    <w:p w14:paraId="117F609A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0776C" w:rsidRDefault="007E232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0776C">
        <w:rPr>
          <w:szCs w:val="22"/>
          <w:u w:val="single"/>
        </w:rPr>
        <w:t>Zvláštní opatření pro osobu, která podává veterinární léčivý přípravek zvířatům:</w:t>
      </w:r>
    </w:p>
    <w:p w14:paraId="684988C9" w14:textId="77777777" w:rsidR="000C30B9" w:rsidRPr="00B0776C" w:rsidRDefault="000C30B9" w:rsidP="000C30B9">
      <w:pPr>
        <w:tabs>
          <w:tab w:val="left" w:pos="720"/>
        </w:tabs>
        <w:rPr>
          <w:szCs w:val="22"/>
        </w:rPr>
      </w:pPr>
      <w:r w:rsidRPr="00B0776C">
        <w:t>Lidé se známou přecitlivělostí na (fluoro)chinolony by se měli vyhnout kontaktu s veterinárním léčivým přípravkem.</w:t>
      </w:r>
    </w:p>
    <w:p w14:paraId="68117CCE" w14:textId="143ABA0B" w:rsidR="000C30B9" w:rsidRPr="00B0776C" w:rsidRDefault="000C30B9" w:rsidP="000C30B9">
      <w:pPr>
        <w:tabs>
          <w:tab w:val="clear" w:pos="567"/>
        </w:tabs>
        <w:spacing w:line="240" w:lineRule="auto"/>
        <w:rPr>
          <w:szCs w:val="22"/>
        </w:rPr>
      </w:pPr>
      <w:r w:rsidRPr="00B0776C">
        <w:t>V případě náhodného po</w:t>
      </w:r>
      <w:r w:rsidR="008808EB" w:rsidRPr="00B0776C">
        <w:t>žití</w:t>
      </w:r>
      <w:r w:rsidRPr="00B0776C">
        <w:t xml:space="preserve"> vyhledejte ihned lékařskou pomoc a ukažte příbalovou informaci nebo etiketu praktickému lékaři. Po použití si umyjte ruce.</w:t>
      </w:r>
    </w:p>
    <w:p w14:paraId="7D364D19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0776C" w:rsidRDefault="007E232F" w:rsidP="00C7693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0776C">
        <w:rPr>
          <w:szCs w:val="22"/>
          <w:u w:val="single"/>
        </w:rPr>
        <w:t>Zvláštní opatření pro ochranu životního prostředí:</w:t>
      </w:r>
    </w:p>
    <w:p w14:paraId="47390C4D" w14:textId="733C83F2" w:rsidR="00295140" w:rsidRPr="00B0776C" w:rsidRDefault="00B0756C" w:rsidP="00A9226B">
      <w:pPr>
        <w:tabs>
          <w:tab w:val="clear" w:pos="567"/>
        </w:tabs>
        <w:spacing w:line="240" w:lineRule="auto"/>
        <w:rPr>
          <w:szCs w:val="22"/>
        </w:rPr>
      </w:pPr>
      <w:r w:rsidRPr="00B0776C">
        <w:t>Neuplatňuje se.</w:t>
      </w:r>
    </w:p>
    <w:p w14:paraId="309A1DB9" w14:textId="77777777" w:rsidR="00295140" w:rsidRPr="00B0776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0776C" w:rsidRDefault="007E232F" w:rsidP="00B13B6D">
      <w:pPr>
        <w:pStyle w:val="Style1"/>
      </w:pPr>
      <w:r w:rsidRPr="00B0776C">
        <w:t>3.6</w:t>
      </w:r>
      <w:r w:rsidRPr="00B0776C">
        <w:tab/>
        <w:t>Nežádoucí účinky</w:t>
      </w:r>
    </w:p>
    <w:p w14:paraId="10F3D673" w14:textId="77777777" w:rsidR="00295140" w:rsidRPr="00B0776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1F702F58" w:rsidR="00AD0710" w:rsidRPr="00B0776C" w:rsidRDefault="006A13BB" w:rsidP="00AD0710">
      <w:pPr>
        <w:tabs>
          <w:tab w:val="clear" w:pos="567"/>
        </w:tabs>
        <w:spacing w:line="240" w:lineRule="auto"/>
        <w:rPr>
          <w:szCs w:val="22"/>
        </w:rPr>
      </w:pPr>
      <w:r w:rsidRPr="00B0776C">
        <w:rPr>
          <w:szCs w:val="22"/>
        </w:rPr>
        <w:t>Pes:</w:t>
      </w:r>
    </w:p>
    <w:p w14:paraId="669C145E" w14:textId="77777777" w:rsidR="00295140" w:rsidRPr="00B0776C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E232F" w:rsidRPr="00B0776C" w14:paraId="5624FEEA" w14:textId="77777777" w:rsidTr="00165038">
        <w:tc>
          <w:tcPr>
            <w:tcW w:w="1957" w:type="pct"/>
          </w:tcPr>
          <w:p w14:paraId="0581F1E5" w14:textId="77777777" w:rsidR="007E232F" w:rsidRPr="00B0776C" w:rsidRDefault="007E232F" w:rsidP="00165038">
            <w:pPr>
              <w:spacing w:before="60" w:after="60"/>
              <w:rPr>
                <w:szCs w:val="22"/>
              </w:rPr>
            </w:pPr>
            <w:r w:rsidRPr="00B0776C">
              <w:t>Vzácné</w:t>
            </w:r>
          </w:p>
          <w:p w14:paraId="652991D1" w14:textId="77777777" w:rsidR="007E232F" w:rsidRPr="00B0776C" w:rsidRDefault="007E232F" w:rsidP="00165038">
            <w:pPr>
              <w:spacing w:before="60" w:after="60"/>
              <w:rPr>
                <w:szCs w:val="22"/>
              </w:rPr>
            </w:pPr>
            <w:r w:rsidRPr="00B0776C">
              <w:t>(1 až 10 zvířat / 10 000 ošetřených zvířat):</w:t>
            </w:r>
          </w:p>
        </w:tc>
        <w:tc>
          <w:tcPr>
            <w:tcW w:w="3043" w:type="pct"/>
          </w:tcPr>
          <w:p w14:paraId="776D456F" w14:textId="77777777" w:rsidR="007E232F" w:rsidRPr="00B0776C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B0776C">
              <w:rPr>
                <w:iCs/>
                <w:szCs w:val="22"/>
              </w:rPr>
              <w:t>Bolest kloubů</w:t>
            </w:r>
          </w:p>
          <w:p w14:paraId="06CBDE8A" w14:textId="360DA704" w:rsidR="007E232F" w:rsidRPr="00B0776C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B0776C">
              <w:rPr>
                <w:iCs/>
                <w:szCs w:val="22"/>
              </w:rPr>
              <w:t>Neurologické příznaky (ataxie, agresivita, křeče, deprese)</w:t>
            </w:r>
          </w:p>
        </w:tc>
      </w:tr>
      <w:tr w:rsidR="007E232F" w:rsidRPr="00B0776C" w14:paraId="09D7EA21" w14:textId="77777777" w:rsidTr="00165038">
        <w:tc>
          <w:tcPr>
            <w:tcW w:w="1957" w:type="pct"/>
          </w:tcPr>
          <w:p w14:paraId="74506BB6" w14:textId="77777777" w:rsidR="007E232F" w:rsidRPr="00B0776C" w:rsidRDefault="007E232F" w:rsidP="00165038">
            <w:pPr>
              <w:spacing w:before="60" w:after="60"/>
            </w:pPr>
            <w:r w:rsidRPr="00B0776C">
              <w:t>Neznámá četnost</w:t>
            </w:r>
          </w:p>
          <w:p w14:paraId="64544C58" w14:textId="567C297C" w:rsidR="007E232F" w:rsidRPr="00B0776C" w:rsidRDefault="007E232F" w:rsidP="00165038">
            <w:pPr>
              <w:spacing w:before="60" w:after="60"/>
              <w:rPr>
                <w:szCs w:val="22"/>
              </w:rPr>
            </w:pPr>
            <w:r w:rsidRPr="00B0776C">
              <w:t>(z dostupných údajů nelze určit):</w:t>
            </w:r>
          </w:p>
        </w:tc>
        <w:tc>
          <w:tcPr>
            <w:tcW w:w="3043" w:type="pct"/>
            <w:hideMark/>
          </w:tcPr>
          <w:p w14:paraId="3EBCC7FD" w14:textId="77777777" w:rsidR="007E232F" w:rsidRPr="00B0776C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B0776C">
              <w:rPr>
                <w:iCs/>
                <w:szCs w:val="22"/>
              </w:rPr>
              <w:t>Alergická reakce</w:t>
            </w:r>
            <w:r w:rsidRPr="00B0776C">
              <w:rPr>
                <w:iCs/>
                <w:szCs w:val="22"/>
                <w:vertAlign w:val="superscript"/>
              </w:rPr>
              <w:t>1</w:t>
            </w:r>
            <w:r w:rsidRPr="00B0776C">
              <w:rPr>
                <w:iCs/>
                <w:szCs w:val="22"/>
              </w:rPr>
              <w:t xml:space="preserve"> (alergická kožní reakce</w:t>
            </w:r>
            <w:r w:rsidRPr="00B0776C">
              <w:rPr>
                <w:iCs/>
                <w:szCs w:val="22"/>
                <w:vertAlign w:val="superscript"/>
              </w:rPr>
              <w:t>2</w:t>
            </w:r>
            <w:r w:rsidRPr="00B0776C">
              <w:rPr>
                <w:iCs/>
                <w:szCs w:val="22"/>
              </w:rPr>
              <w:t>)</w:t>
            </w:r>
          </w:p>
          <w:p w14:paraId="6B511411" w14:textId="1280C393" w:rsidR="007E232F" w:rsidRPr="00B0776C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B0776C">
              <w:rPr>
                <w:iCs/>
                <w:szCs w:val="22"/>
              </w:rPr>
              <w:t>Zvracení</w:t>
            </w:r>
            <w:r w:rsidRPr="00B0776C">
              <w:rPr>
                <w:iCs/>
                <w:szCs w:val="22"/>
                <w:vertAlign w:val="superscript"/>
              </w:rPr>
              <w:t>3</w:t>
            </w:r>
            <w:r w:rsidRPr="00B0776C">
              <w:rPr>
                <w:iCs/>
                <w:szCs w:val="22"/>
              </w:rPr>
              <w:t>, měkk</w:t>
            </w:r>
            <w:r w:rsidR="009E7151" w:rsidRPr="00B0776C">
              <w:rPr>
                <w:iCs/>
                <w:szCs w:val="22"/>
              </w:rPr>
              <w:t>ý</w:t>
            </w:r>
            <w:r w:rsidRPr="00B0776C">
              <w:rPr>
                <w:iCs/>
                <w:szCs w:val="22"/>
              </w:rPr>
              <w:t xml:space="preserve"> </w:t>
            </w:r>
            <w:r w:rsidR="009E7151" w:rsidRPr="00B0776C">
              <w:rPr>
                <w:iCs/>
                <w:szCs w:val="22"/>
              </w:rPr>
              <w:t>trus</w:t>
            </w:r>
            <w:r w:rsidRPr="00B0776C">
              <w:rPr>
                <w:iCs/>
                <w:szCs w:val="22"/>
                <w:vertAlign w:val="superscript"/>
              </w:rPr>
              <w:t>3</w:t>
            </w:r>
            <w:r w:rsidRPr="00B0776C">
              <w:rPr>
                <w:iCs/>
                <w:szCs w:val="22"/>
              </w:rPr>
              <w:t>, změna žízně</w:t>
            </w:r>
            <w:r w:rsidRPr="00B0776C">
              <w:rPr>
                <w:iCs/>
                <w:szCs w:val="22"/>
                <w:vertAlign w:val="superscript"/>
              </w:rPr>
              <w:t>3</w:t>
            </w:r>
          </w:p>
          <w:p w14:paraId="1101B70B" w14:textId="207BC43E" w:rsidR="007E232F" w:rsidRPr="00B0776C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B0776C">
              <w:rPr>
                <w:iCs/>
                <w:szCs w:val="22"/>
              </w:rPr>
              <w:t>Hyperaktivita</w:t>
            </w:r>
            <w:r w:rsidRPr="00B0776C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285749D6" w14:textId="77777777" w:rsidR="007E232F" w:rsidRPr="00B0776C" w:rsidRDefault="007E232F" w:rsidP="007E232F">
      <w:pPr>
        <w:tabs>
          <w:tab w:val="clear" w:pos="567"/>
        </w:tabs>
        <w:spacing w:line="240" w:lineRule="auto"/>
        <w:rPr>
          <w:szCs w:val="22"/>
        </w:rPr>
      </w:pPr>
      <w:r w:rsidRPr="00B0776C">
        <w:rPr>
          <w:szCs w:val="22"/>
          <w:vertAlign w:val="superscript"/>
        </w:rPr>
        <w:t>1</w:t>
      </w:r>
      <w:r w:rsidRPr="00B0776C">
        <w:rPr>
          <w:szCs w:val="22"/>
        </w:rPr>
        <w:t xml:space="preserve"> V důsledku uvolňování histaminu</w:t>
      </w:r>
    </w:p>
    <w:p w14:paraId="37B85755" w14:textId="77777777" w:rsidR="007E232F" w:rsidRPr="00B0776C" w:rsidRDefault="007E232F" w:rsidP="007E232F">
      <w:pPr>
        <w:tabs>
          <w:tab w:val="clear" w:pos="567"/>
        </w:tabs>
        <w:spacing w:line="240" w:lineRule="auto"/>
        <w:rPr>
          <w:szCs w:val="22"/>
        </w:rPr>
      </w:pPr>
      <w:r w:rsidRPr="00B0776C">
        <w:rPr>
          <w:szCs w:val="22"/>
          <w:vertAlign w:val="superscript"/>
        </w:rPr>
        <w:t>2</w:t>
      </w:r>
      <w:r w:rsidRPr="00B0776C">
        <w:rPr>
          <w:szCs w:val="22"/>
        </w:rPr>
        <w:t xml:space="preserve"> Dočasné</w:t>
      </w:r>
    </w:p>
    <w:p w14:paraId="1D616E5A" w14:textId="35FB2162" w:rsidR="00295140" w:rsidRPr="00B0776C" w:rsidRDefault="007E232F" w:rsidP="007E232F">
      <w:pPr>
        <w:tabs>
          <w:tab w:val="clear" w:pos="567"/>
        </w:tabs>
        <w:spacing w:line="240" w:lineRule="auto"/>
        <w:rPr>
          <w:szCs w:val="22"/>
        </w:rPr>
      </w:pPr>
      <w:r w:rsidRPr="00B0776C">
        <w:rPr>
          <w:szCs w:val="22"/>
          <w:vertAlign w:val="superscript"/>
        </w:rPr>
        <w:t>3</w:t>
      </w:r>
      <w:r w:rsidRPr="00B0776C">
        <w:rPr>
          <w:szCs w:val="22"/>
        </w:rPr>
        <w:t xml:space="preserve"> Mírné; spontánně ustupují po léčbě a nevyžadují ukončení léčby</w:t>
      </w:r>
    </w:p>
    <w:p w14:paraId="17D96822" w14:textId="77777777" w:rsidR="007E232F" w:rsidRPr="00B0776C" w:rsidRDefault="007E232F" w:rsidP="007E232F">
      <w:pPr>
        <w:tabs>
          <w:tab w:val="clear" w:pos="567"/>
        </w:tabs>
        <w:spacing w:line="240" w:lineRule="auto"/>
        <w:rPr>
          <w:szCs w:val="22"/>
        </w:rPr>
      </w:pPr>
    </w:p>
    <w:p w14:paraId="556D2737" w14:textId="375EA3DC" w:rsidR="007E232F" w:rsidRPr="00B0776C" w:rsidRDefault="007E232F" w:rsidP="007E232F">
      <w:pPr>
        <w:tabs>
          <w:tab w:val="clear" w:pos="567"/>
        </w:tabs>
        <w:spacing w:line="240" w:lineRule="auto"/>
        <w:rPr>
          <w:szCs w:val="22"/>
        </w:rPr>
      </w:pPr>
      <w:r w:rsidRPr="00B0776C">
        <w:t>Při doporučeném dávkování</w:t>
      </w:r>
      <w:r w:rsidR="006466F9" w:rsidRPr="00B0776C">
        <w:t xml:space="preserve"> </w:t>
      </w:r>
      <w:r w:rsidRPr="00B0776C">
        <w:t xml:space="preserve">se u psů neočekávají žádné závažné nežádoucí účinky. </w:t>
      </w:r>
    </w:p>
    <w:p w14:paraId="68F3A172" w14:textId="77777777" w:rsidR="007E232F" w:rsidRPr="00B0776C" w:rsidRDefault="007E232F" w:rsidP="007E232F">
      <w:pPr>
        <w:tabs>
          <w:tab w:val="clear" w:pos="567"/>
        </w:tabs>
        <w:spacing w:line="240" w:lineRule="auto"/>
        <w:rPr>
          <w:szCs w:val="22"/>
        </w:rPr>
      </w:pPr>
    </w:p>
    <w:p w14:paraId="0179A86B" w14:textId="7EB9A674" w:rsidR="007E232F" w:rsidRPr="00B0776C" w:rsidRDefault="007E232F" w:rsidP="00AD0710">
      <w:pPr>
        <w:tabs>
          <w:tab w:val="clear" w:pos="567"/>
        </w:tabs>
        <w:spacing w:line="240" w:lineRule="auto"/>
      </w:pPr>
      <w:bookmarkStart w:id="5" w:name="_Hlk66891708"/>
      <w:r w:rsidRPr="00B0776C">
        <w:t>Hlášení nežádoucích účinků je důležité. Umožňuje nepřetržité sledování bezpečnosti veterinárního léčivého přípravku. Hlášení je třeba zaslat</w:t>
      </w:r>
      <w:r w:rsidR="005272F4" w:rsidRPr="00B0776C">
        <w:t>,</w:t>
      </w:r>
      <w:r w:rsidRPr="00B0776C">
        <w:t xml:space="preserve"> pokud možno</w:t>
      </w:r>
      <w:r w:rsidR="005272F4" w:rsidRPr="00B0776C">
        <w:t>,</w:t>
      </w:r>
      <w:r w:rsidRPr="00B0776C">
        <w:t xml:space="preserve"> prostřednictvím veterinárního lékaře</w:t>
      </w:r>
      <w:r w:rsidR="00562715" w:rsidRPr="00B0776C">
        <w:t>,</w:t>
      </w:r>
      <w:r w:rsidRPr="00B0776C">
        <w:t xml:space="preserve"> buď držiteli rozhodnutí o registraci</w:t>
      </w:r>
      <w:r w:rsidR="00CA28D8" w:rsidRPr="00B0776C">
        <w:t>,</w:t>
      </w:r>
      <w:r w:rsidR="00863A6D" w:rsidRPr="00B0776C">
        <w:t xml:space="preserve"> </w:t>
      </w:r>
      <w:r w:rsidRPr="00B0776C">
        <w:t xml:space="preserve">nebo jeho místnímu zástupci, nebo příslušnému vnitrostátnímu orgánu prostřednictvím národního systému hlášení. </w:t>
      </w:r>
      <w:bookmarkStart w:id="6" w:name="_Hlk184130880"/>
      <w:r w:rsidRPr="00B0776C">
        <w:t>Podrobné kontaktní údaje naleznete</w:t>
      </w:r>
      <w:bookmarkEnd w:id="6"/>
      <w:r w:rsidRPr="00B0776C">
        <w:t xml:space="preserve"> </w:t>
      </w:r>
      <w:r w:rsidR="00067023" w:rsidRPr="00B0776C">
        <w:t xml:space="preserve">v </w:t>
      </w:r>
      <w:r w:rsidRPr="00B0776C">
        <w:t>příbalové informac</w:t>
      </w:r>
      <w:r w:rsidR="00863A6D" w:rsidRPr="00B0776C">
        <w:t>i</w:t>
      </w:r>
      <w:bookmarkEnd w:id="5"/>
      <w:r w:rsidRPr="00B0776C">
        <w:t>.</w:t>
      </w:r>
    </w:p>
    <w:p w14:paraId="0B4CCD02" w14:textId="77777777" w:rsidR="007E232F" w:rsidRPr="00B0776C" w:rsidRDefault="007E232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0776C" w:rsidRDefault="007E232F" w:rsidP="00B13B6D">
      <w:pPr>
        <w:pStyle w:val="Style1"/>
      </w:pPr>
      <w:r w:rsidRPr="00B0776C">
        <w:t>3.7</w:t>
      </w:r>
      <w:r w:rsidRPr="00B0776C">
        <w:tab/>
        <w:t>Použití v průběhu březosti, laktace nebo snášky</w:t>
      </w:r>
    </w:p>
    <w:p w14:paraId="0DFBFADE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6B1B61" w14:textId="47EFE261" w:rsidR="009D13FC" w:rsidRPr="00B0776C" w:rsidRDefault="009D13FC" w:rsidP="009D13FC">
      <w:pPr>
        <w:tabs>
          <w:tab w:val="clear" w:pos="567"/>
        </w:tabs>
        <w:spacing w:line="240" w:lineRule="auto"/>
        <w:rPr>
          <w:szCs w:val="22"/>
        </w:rPr>
      </w:pPr>
      <w:r w:rsidRPr="00B0776C">
        <w:rPr>
          <w:u w:val="single"/>
        </w:rPr>
        <w:t>Březost</w:t>
      </w:r>
      <w:r w:rsidR="0096724E" w:rsidRPr="00B0776C">
        <w:rPr>
          <w:u w:val="single"/>
        </w:rPr>
        <w:t xml:space="preserve"> </w:t>
      </w:r>
      <w:r w:rsidRPr="00B0776C">
        <w:rPr>
          <w:szCs w:val="22"/>
          <w:u w:val="single"/>
        </w:rPr>
        <w:t>a laktace</w:t>
      </w:r>
      <w:r w:rsidRPr="00B0776C">
        <w:t>:</w:t>
      </w:r>
    </w:p>
    <w:p w14:paraId="654B1B81" w14:textId="3991FC77" w:rsidR="009D13FC" w:rsidRPr="00B0776C" w:rsidRDefault="009D13FC" w:rsidP="00145C3F">
      <w:pPr>
        <w:tabs>
          <w:tab w:val="clear" w:pos="567"/>
        </w:tabs>
        <w:spacing w:line="240" w:lineRule="auto"/>
        <w:rPr>
          <w:szCs w:val="22"/>
        </w:rPr>
      </w:pPr>
      <w:r w:rsidRPr="00B0776C">
        <w:t>U březích samic potkanů a králíků neprokázaly studie žádné vedlejší účinky na březost</w:t>
      </w:r>
      <w:r w:rsidR="00214644" w:rsidRPr="00B0776C">
        <w:t>.</w:t>
      </w:r>
      <w:r w:rsidR="0096724E" w:rsidRPr="00B0776C">
        <w:t xml:space="preserve"> </w:t>
      </w:r>
      <w:r w:rsidR="00214644" w:rsidRPr="00B0776C">
        <w:t>Nebyla stanovena bezpečnost veterinárního léčivého přípravku u psů pro použití během březosti a laktace.</w:t>
      </w:r>
      <w:r w:rsidR="0096724E" w:rsidRPr="00B0776C">
        <w:t xml:space="preserve"> </w:t>
      </w:r>
      <w:r w:rsidRPr="00B0776C">
        <w:t>Použít pouze po zvážení terapeutického prospěchu a rizika příslušným veterinárním lékařem</w:t>
      </w:r>
      <w:r w:rsidR="00214644" w:rsidRPr="00B0776C">
        <w:t>.</w:t>
      </w:r>
    </w:p>
    <w:p w14:paraId="45A16993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0776C" w:rsidRDefault="007E232F" w:rsidP="00B13B6D">
      <w:pPr>
        <w:pStyle w:val="Style1"/>
      </w:pPr>
      <w:r w:rsidRPr="00B0776C">
        <w:t>3.8</w:t>
      </w:r>
      <w:r w:rsidRPr="00B0776C">
        <w:tab/>
        <w:t>Interakce s jinými léčivými přípravky a další formy interakce</w:t>
      </w:r>
    </w:p>
    <w:p w14:paraId="54454937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754A77" w14:textId="308F3E35" w:rsidR="00C857B1" w:rsidRPr="00B0776C" w:rsidRDefault="00C857B1" w:rsidP="00C857B1">
      <w:pPr>
        <w:jc w:val="both"/>
        <w:rPr>
          <w:szCs w:val="22"/>
        </w:rPr>
      </w:pPr>
      <w:r w:rsidRPr="00B0776C">
        <w:rPr>
          <w:szCs w:val="22"/>
        </w:rPr>
        <w:t>Jsou známé interakce mezi fluorochinolony a perorálně podávanými</w:t>
      </w:r>
      <w:r w:rsidR="00985ABC" w:rsidRPr="00B0776C">
        <w:rPr>
          <w:szCs w:val="22"/>
        </w:rPr>
        <w:t xml:space="preserve"> </w:t>
      </w:r>
      <w:r w:rsidRPr="00B0776C">
        <w:rPr>
          <w:szCs w:val="22"/>
        </w:rPr>
        <w:t>kationty (hliník, vápník, hořčík, železo). V takových případech může dojít ke snížení biologické dostupnosti.</w:t>
      </w:r>
    </w:p>
    <w:p w14:paraId="4BB69929" w14:textId="77777777" w:rsidR="00C857B1" w:rsidRPr="00B0776C" w:rsidRDefault="00C857B1" w:rsidP="00C857B1">
      <w:pPr>
        <w:tabs>
          <w:tab w:val="clear" w:pos="567"/>
        </w:tabs>
        <w:spacing w:line="240" w:lineRule="auto"/>
        <w:rPr>
          <w:szCs w:val="22"/>
        </w:rPr>
      </w:pPr>
    </w:p>
    <w:p w14:paraId="371EA33F" w14:textId="025251C5" w:rsidR="00C857B1" w:rsidRPr="00B0776C" w:rsidRDefault="00C857B1" w:rsidP="00C857B1">
      <w:pPr>
        <w:tabs>
          <w:tab w:val="clear" w:pos="567"/>
        </w:tabs>
        <w:spacing w:line="240" w:lineRule="auto"/>
        <w:rPr>
          <w:szCs w:val="22"/>
        </w:rPr>
      </w:pPr>
      <w:r w:rsidRPr="00B0776C">
        <w:t xml:space="preserve">Nepoužívat v kombinaci s tetracykliny </w:t>
      </w:r>
      <w:r w:rsidR="00985ABC" w:rsidRPr="00B0776C">
        <w:t xml:space="preserve">nebo </w:t>
      </w:r>
      <w:r w:rsidRPr="00B0776C">
        <w:t xml:space="preserve">makrolidy z důvodu možného antagonistického účinku. </w:t>
      </w:r>
    </w:p>
    <w:p w14:paraId="2D696A33" w14:textId="77777777" w:rsidR="00C857B1" w:rsidRPr="00B0776C" w:rsidRDefault="00C857B1" w:rsidP="00C857B1">
      <w:pPr>
        <w:tabs>
          <w:tab w:val="clear" w:pos="567"/>
        </w:tabs>
        <w:spacing w:line="240" w:lineRule="auto"/>
        <w:rPr>
          <w:szCs w:val="22"/>
        </w:rPr>
      </w:pPr>
    </w:p>
    <w:p w14:paraId="401BF6DA" w14:textId="675B1C55" w:rsidR="00C857B1" w:rsidRPr="00B0776C" w:rsidRDefault="00C857B1" w:rsidP="00C857B1">
      <w:pPr>
        <w:tabs>
          <w:tab w:val="clear" w:pos="567"/>
        </w:tabs>
        <w:spacing w:line="240" w:lineRule="auto"/>
        <w:rPr>
          <w:szCs w:val="22"/>
        </w:rPr>
      </w:pPr>
      <w:r w:rsidRPr="00B0776C">
        <w:t xml:space="preserve">Při </w:t>
      </w:r>
      <w:r w:rsidRPr="00B0776C">
        <w:rPr>
          <w:szCs w:val="22"/>
        </w:rPr>
        <w:t xml:space="preserve">souběžném </w:t>
      </w:r>
      <w:r w:rsidRPr="00B0776C">
        <w:t xml:space="preserve">podávání </w:t>
      </w:r>
      <w:r w:rsidRPr="00B0776C">
        <w:rPr>
          <w:szCs w:val="22"/>
        </w:rPr>
        <w:t xml:space="preserve">teofylinu </w:t>
      </w:r>
      <w:r w:rsidRPr="00B0776C">
        <w:t xml:space="preserve">se </w:t>
      </w:r>
      <w:r w:rsidR="00985ABC" w:rsidRPr="00B0776C">
        <w:t xml:space="preserve">biologický </w:t>
      </w:r>
      <w:r w:rsidRPr="00B0776C">
        <w:t>poločas eliminace</w:t>
      </w:r>
      <w:r w:rsidR="008727A6">
        <w:t>,</w:t>
      </w:r>
      <w:r w:rsidRPr="00B0776C">
        <w:t xml:space="preserve"> a tedy plazmatické koncentrace teofylinu</w:t>
      </w:r>
      <w:r w:rsidR="008727A6">
        <w:t>,</w:t>
      </w:r>
      <w:r w:rsidRPr="00B0776C">
        <w:t xml:space="preserve"> zvýší. Proto je vhodné dávky teofylinu snížit.</w:t>
      </w:r>
    </w:p>
    <w:p w14:paraId="0B86F3A7" w14:textId="77777777" w:rsidR="00C90EDA" w:rsidRPr="00B0776C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0776C" w:rsidRDefault="007E232F" w:rsidP="00B13B6D">
      <w:pPr>
        <w:pStyle w:val="Style1"/>
      </w:pPr>
      <w:r w:rsidRPr="00B0776C">
        <w:t>3.9</w:t>
      </w:r>
      <w:r w:rsidRPr="00B0776C">
        <w:tab/>
        <w:t>Cesty podání a dávkování</w:t>
      </w:r>
    </w:p>
    <w:p w14:paraId="0C31E074" w14:textId="77777777" w:rsidR="00145D34" w:rsidRPr="00B0776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E764F5" w14:textId="77777777" w:rsidR="00681759" w:rsidRPr="00B0776C" w:rsidRDefault="00681759" w:rsidP="00681759">
      <w:pPr>
        <w:jc w:val="both"/>
        <w:rPr>
          <w:szCs w:val="22"/>
        </w:rPr>
      </w:pPr>
      <w:r w:rsidRPr="00B0776C">
        <w:rPr>
          <w:szCs w:val="22"/>
        </w:rPr>
        <w:t>Perorální podání.</w:t>
      </w:r>
    </w:p>
    <w:p w14:paraId="1C18F46E" w14:textId="77777777" w:rsidR="00681759" w:rsidRPr="00B0776C" w:rsidRDefault="00681759" w:rsidP="00681759">
      <w:pPr>
        <w:tabs>
          <w:tab w:val="clear" w:pos="567"/>
        </w:tabs>
        <w:spacing w:line="240" w:lineRule="auto"/>
        <w:rPr>
          <w:szCs w:val="22"/>
        </w:rPr>
      </w:pPr>
    </w:p>
    <w:p w14:paraId="150368C9" w14:textId="459A79E6" w:rsidR="00936B74" w:rsidRPr="00B0776C" w:rsidRDefault="00936B74" w:rsidP="00936B74">
      <w:pPr>
        <w:tabs>
          <w:tab w:val="clear" w:pos="567"/>
        </w:tabs>
        <w:spacing w:line="240" w:lineRule="auto"/>
        <w:rPr>
          <w:szCs w:val="22"/>
        </w:rPr>
      </w:pPr>
      <w:r w:rsidRPr="00B0776C">
        <w:t xml:space="preserve">Doporučené dávkování je 2 mg/kg ž. hm./den (1 tableta na 40 kg ž. hm./den) jednou denně. Pro zajištění správné dávky je třeba stanovit co nejpřesněji živou hmotnost. Tablety lze k usnadnění přesného dávkování dělit podle půlicí rýhy. </w:t>
      </w:r>
    </w:p>
    <w:p w14:paraId="3ED7AA3B" w14:textId="77777777" w:rsidR="00936B74" w:rsidRPr="00B0776C" w:rsidRDefault="00936B74" w:rsidP="00936B74">
      <w:pPr>
        <w:tabs>
          <w:tab w:val="clear" w:pos="567"/>
        </w:tabs>
        <w:spacing w:line="240" w:lineRule="auto"/>
      </w:pPr>
    </w:p>
    <w:p w14:paraId="72AA70A6" w14:textId="77777777" w:rsidR="00936B74" w:rsidRPr="00B0776C" w:rsidRDefault="00936B74" w:rsidP="00936B74">
      <w:pPr>
        <w:tabs>
          <w:tab w:val="clear" w:pos="567"/>
        </w:tabs>
        <w:spacing w:line="240" w:lineRule="auto"/>
      </w:pPr>
      <w:r w:rsidRPr="00B0776C">
        <w:t xml:space="preserve">Délka léčby: </w:t>
      </w:r>
    </w:p>
    <w:p w14:paraId="0FB07AA2" w14:textId="77777777" w:rsidR="00936B74" w:rsidRPr="00B0776C" w:rsidRDefault="00936B74" w:rsidP="00936B74">
      <w:pPr>
        <w:tabs>
          <w:tab w:val="clear" w:pos="567"/>
        </w:tabs>
        <w:spacing w:line="240" w:lineRule="auto"/>
        <w:rPr>
          <w:szCs w:val="22"/>
        </w:rPr>
      </w:pPr>
      <w:r w:rsidRPr="00B0776C">
        <w:t xml:space="preserve">Při infekcích kůže a měkkých tkání </w:t>
      </w:r>
      <w:r w:rsidRPr="00B0776C">
        <w:rPr>
          <w:szCs w:val="22"/>
        </w:rPr>
        <w:t xml:space="preserve">je délka trvání léčby </w:t>
      </w:r>
      <w:r w:rsidRPr="00B0776C">
        <w:t>nejméně 5 dní.  V závislosti na průběhu onemocnění lze tuto dobu prodloužit až na 40 dní.</w:t>
      </w:r>
    </w:p>
    <w:p w14:paraId="005D42BE" w14:textId="77777777" w:rsidR="00936B74" w:rsidRPr="00B0776C" w:rsidRDefault="00936B74" w:rsidP="00936B74">
      <w:pPr>
        <w:tabs>
          <w:tab w:val="clear" w:pos="567"/>
        </w:tabs>
        <w:spacing w:line="240" w:lineRule="auto"/>
        <w:rPr>
          <w:szCs w:val="22"/>
        </w:rPr>
      </w:pPr>
    </w:p>
    <w:p w14:paraId="14D614BE" w14:textId="77777777" w:rsidR="00936B74" w:rsidRPr="00B0776C" w:rsidRDefault="00936B74" w:rsidP="00936B74">
      <w:pPr>
        <w:tabs>
          <w:tab w:val="clear" w:pos="567"/>
        </w:tabs>
        <w:spacing w:line="240" w:lineRule="auto"/>
        <w:rPr>
          <w:szCs w:val="22"/>
        </w:rPr>
      </w:pPr>
      <w:r w:rsidRPr="00B0776C">
        <w:t xml:space="preserve">Při infekcích močových cest </w:t>
      </w:r>
      <w:r w:rsidRPr="00B0776C">
        <w:rPr>
          <w:szCs w:val="22"/>
        </w:rPr>
        <w:t xml:space="preserve">je délka trvání léčby </w:t>
      </w:r>
      <w:r w:rsidRPr="00B0776C">
        <w:t xml:space="preserve">nejméně 10 dní.  V závislosti na průběhu onemocnění lze tuto dobu prodloužit až na 28 dní. </w:t>
      </w:r>
    </w:p>
    <w:p w14:paraId="73E68CD2" w14:textId="77777777" w:rsidR="00936B74" w:rsidRPr="00B0776C" w:rsidRDefault="00936B74" w:rsidP="00936B74">
      <w:pPr>
        <w:tabs>
          <w:tab w:val="clear" w:pos="567"/>
        </w:tabs>
        <w:spacing w:line="240" w:lineRule="auto"/>
        <w:rPr>
          <w:szCs w:val="22"/>
        </w:rPr>
      </w:pPr>
    </w:p>
    <w:p w14:paraId="6EB54DA7" w14:textId="4901EF17" w:rsidR="00936B74" w:rsidRPr="00B0776C" w:rsidRDefault="00936B74" w:rsidP="00936B7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0776C">
        <w:t xml:space="preserve">U infekcí </w:t>
      </w:r>
      <w:r w:rsidRPr="00B0776C">
        <w:rPr>
          <w:szCs w:val="22"/>
        </w:rPr>
        <w:t>dýchacích cest je délka trvání léčby</w:t>
      </w:r>
      <w:r w:rsidRPr="00B0776C" w:rsidDel="000478C5">
        <w:t xml:space="preserve"> </w:t>
      </w:r>
      <w:r w:rsidRPr="00B0776C">
        <w:t xml:space="preserve">nejméně 7 dní. </w:t>
      </w:r>
      <w:r w:rsidRPr="00B0776C">
        <w:rPr>
          <w:szCs w:val="22"/>
        </w:rPr>
        <w:t>V závislosti na průběhu onemocnění může být prodloužena až na 21 dnů.</w:t>
      </w:r>
    </w:p>
    <w:p w14:paraId="13504C24" w14:textId="77777777" w:rsidR="00247A48" w:rsidRPr="00B0776C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0776C" w:rsidRDefault="007E232F" w:rsidP="00B13B6D">
      <w:pPr>
        <w:pStyle w:val="Style1"/>
      </w:pPr>
      <w:r w:rsidRPr="00B0776C">
        <w:t>3.10</w:t>
      </w:r>
      <w:r w:rsidRPr="00B0776C">
        <w:tab/>
        <w:t xml:space="preserve">Příznaky předávkování </w:t>
      </w:r>
      <w:r w:rsidR="00EC5045" w:rsidRPr="00B0776C">
        <w:t>(</w:t>
      </w:r>
      <w:r w:rsidRPr="00B0776C">
        <w:t xml:space="preserve">a </w:t>
      </w:r>
      <w:r w:rsidR="00202A85" w:rsidRPr="00B0776C">
        <w:t>kde</w:t>
      </w:r>
      <w:r w:rsidR="005E66FC" w:rsidRPr="00B0776C">
        <w:t xml:space="preserve"> </w:t>
      </w:r>
      <w:r w:rsidR="00202A85" w:rsidRPr="00B0776C">
        <w:t>je</w:t>
      </w:r>
      <w:r w:rsidR="005E66FC" w:rsidRPr="00B0776C">
        <w:t xml:space="preserve"> </w:t>
      </w:r>
      <w:r w:rsidR="00FB6F2F" w:rsidRPr="00B0776C">
        <w:t>relevantní</w:t>
      </w:r>
      <w:r w:rsidR="00202A85" w:rsidRPr="00B0776C">
        <w:t>, první pomoc</w:t>
      </w:r>
      <w:r w:rsidRPr="00B0776C">
        <w:t xml:space="preserve"> a antidota</w:t>
      </w:r>
      <w:r w:rsidR="00202A85" w:rsidRPr="00B0776C">
        <w:t>)</w:t>
      </w:r>
      <w:r w:rsidRPr="00B0776C">
        <w:t xml:space="preserve"> </w:t>
      </w:r>
    </w:p>
    <w:p w14:paraId="45A34650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2E0AAE" w14:textId="77777777" w:rsidR="00826271" w:rsidRPr="00B0776C" w:rsidRDefault="00826271" w:rsidP="00826271">
      <w:pPr>
        <w:tabs>
          <w:tab w:val="clear" w:pos="567"/>
        </w:tabs>
        <w:spacing w:line="240" w:lineRule="auto"/>
        <w:rPr>
          <w:szCs w:val="22"/>
        </w:rPr>
      </w:pPr>
      <w:r w:rsidRPr="00B0776C">
        <w:t>Předávkování může vést k poškození kloubní chrupavky a akutní příznaky v podobě neurologických poruch (slinění, slzení, třes, myoklonie, záchvaty), které je třeba léčit symptomaticky.</w:t>
      </w:r>
    </w:p>
    <w:p w14:paraId="163109B1" w14:textId="77777777" w:rsidR="00485C37" w:rsidRPr="00B0776C" w:rsidRDefault="00485C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0776C" w:rsidRDefault="007E232F" w:rsidP="00B13B6D">
      <w:pPr>
        <w:pStyle w:val="Style1"/>
      </w:pPr>
      <w:r w:rsidRPr="00B0776C">
        <w:t>3.11</w:t>
      </w:r>
      <w:r w:rsidRPr="00B0776C">
        <w:tab/>
        <w:t>Zvláštní omezení pro použití a zvláštní podmínky pro použití, včetně omezení používání antimikrob</w:t>
      </w:r>
      <w:r w:rsidR="00202A85" w:rsidRPr="00B0776C">
        <w:t>ních</w:t>
      </w:r>
      <w:r w:rsidRPr="00B0776C">
        <w:t xml:space="preserve"> a antiparazitárních veterinárních léčivých přípravků, za účelem snížení rizika rozvoje rezistence</w:t>
      </w:r>
    </w:p>
    <w:p w14:paraId="1204C42F" w14:textId="77777777" w:rsidR="009A6509" w:rsidRPr="00B0776C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30EA9" w14:textId="77777777" w:rsidR="00485C37" w:rsidRPr="00B0776C" w:rsidRDefault="00485C37" w:rsidP="00485C37">
      <w:pPr>
        <w:tabs>
          <w:tab w:val="clear" w:pos="567"/>
        </w:tabs>
        <w:spacing w:line="240" w:lineRule="auto"/>
        <w:rPr>
          <w:szCs w:val="22"/>
        </w:rPr>
      </w:pPr>
      <w:r w:rsidRPr="00B0776C">
        <w:t>Neuplatňuje se.</w:t>
      </w:r>
    </w:p>
    <w:p w14:paraId="23184928" w14:textId="77777777" w:rsidR="009A6509" w:rsidRPr="00B0776C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0776C" w:rsidRDefault="007E232F" w:rsidP="00B13B6D">
      <w:pPr>
        <w:pStyle w:val="Style1"/>
      </w:pPr>
      <w:r w:rsidRPr="00B0776C">
        <w:t>3.12</w:t>
      </w:r>
      <w:r w:rsidRPr="00B0776C">
        <w:tab/>
        <w:t>Ochranné lhůty</w:t>
      </w:r>
    </w:p>
    <w:p w14:paraId="2DC95067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A430B3" w14:textId="2B12FF0B" w:rsidR="00D47D0D" w:rsidRPr="00B0776C" w:rsidRDefault="00D47D0D" w:rsidP="00145C3F">
      <w:pPr>
        <w:tabs>
          <w:tab w:val="clear" w:pos="567"/>
        </w:tabs>
        <w:spacing w:line="240" w:lineRule="auto"/>
        <w:rPr>
          <w:szCs w:val="22"/>
        </w:rPr>
      </w:pPr>
      <w:r w:rsidRPr="00B0776C">
        <w:t>Neuplatňuje se.</w:t>
      </w:r>
    </w:p>
    <w:p w14:paraId="1A1B55BD" w14:textId="77777777" w:rsidR="00FC02F3" w:rsidRPr="00B0776C" w:rsidRDefault="00FC02F3" w:rsidP="00A9226B">
      <w:pPr>
        <w:tabs>
          <w:tab w:val="clear" w:pos="567"/>
        </w:tabs>
        <w:spacing w:line="240" w:lineRule="auto"/>
      </w:pPr>
    </w:p>
    <w:p w14:paraId="74F661CE" w14:textId="77777777" w:rsidR="00D47D0D" w:rsidRPr="00B0776C" w:rsidRDefault="00D47D0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F8909B7" w:rsidR="00C114FF" w:rsidRPr="00B0776C" w:rsidRDefault="007E232F" w:rsidP="00C76931">
      <w:pPr>
        <w:pStyle w:val="Style1"/>
        <w:keepNext/>
      </w:pPr>
      <w:r w:rsidRPr="00B0776C">
        <w:lastRenderedPageBreak/>
        <w:t>4.</w:t>
      </w:r>
      <w:r w:rsidRPr="00B0776C">
        <w:tab/>
        <w:t>FARMAKOLOGICKÉ INFORMACE</w:t>
      </w:r>
    </w:p>
    <w:p w14:paraId="2C2A4C50" w14:textId="77777777" w:rsidR="00C114FF" w:rsidRPr="00B0776C" w:rsidRDefault="00C114FF" w:rsidP="00C769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4CE2B64" w14:textId="29872655" w:rsidR="005A3626" w:rsidRPr="00B0776C" w:rsidRDefault="007E232F" w:rsidP="00C76931">
      <w:pPr>
        <w:pStyle w:val="Style1"/>
        <w:keepNext/>
        <w:rPr>
          <w:b w:val="0"/>
          <w:bCs/>
        </w:rPr>
      </w:pPr>
      <w:r w:rsidRPr="00B0776C">
        <w:t>4.1</w:t>
      </w:r>
      <w:r w:rsidRPr="00B0776C">
        <w:tab/>
        <w:t>ATCvet kód:</w:t>
      </w:r>
      <w:r w:rsidR="00C76931" w:rsidRPr="00B0776C">
        <w:t xml:space="preserve"> </w:t>
      </w:r>
      <w:r w:rsidR="005A3626" w:rsidRPr="00B0776C">
        <w:rPr>
          <w:b w:val="0"/>
          <w:bCs/>
        </w:rPr>
        <w:t>QJ01MA93</w:t>
      </w:r>
    </w:p>
    <w:p w14:paraId="5C965196" w14:textId="77777777" w:rsidR="00C114FF" w:rsidRPr="00B0776C" w:rsidRDefault="00C114FF" w:rsidP="00C769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57C5AD71" w:rsidR="00C114FF" w:rsidRPr="00B0776C" w:rsidRDefault="007E232F" w:rsidP="00C76931">
      <w:pPr>
        <w:pStyle w:val="Style1"/>
        <w:keepNext/>
      </w:pPr>
      <w:r w:rsidRPr="00B0776C">
        <w:t>4.2</w:t>
      </w:r>
      <w:r w:rsidRPr="00B0776C">
        <w:tab/>
        <w:t>Farmakodynamika</w:t>
      </w:r>
    </w:p>
    <w:p w14:paraId="559BBD8A" w14:textId="77777777" w:rsidR="00C76931" w:rsidRPr="00B0776C" w:rsidRDefault="00C76931" w:rsidP="00C76931">
      <w:pPr>
        <w:pStyle w:val="Style1"/>
        <w:keepNext/>
      </w:pPr>
    </w:p>
    <w:p w14:paraId="63D7C007" w14:textId="7A6D0953" w:rsidR="008B629D" w:rsidRPr="00B0776C" w:rsidRDefault="008B629D" w:rsidP="008B629D">
      <w:pPr>
        <w:rPr>
          <w:szCs w:val="22"/>
        </w:rPr>
      </w:pPr>
      <w:r w:rsidRPr="00B0776C">
        <w:rPr>
          <w:szCs w:val="22"/>
        </w:rPr>
        <w:t>Marbofloxacin je syntetické baktericidní antimikrobikum náležící do skupiny fluorochinolonů, které působí prostřednictvím inhibice DNA gyrázy a topoizomerázy IV.</w:t>
      </w:r>
      <w:r w:rsidRPr="00B0776C">
        <w:t xml:space="preserve"> Je účinný </w:t>
      </w:r>
      <w:r w:rsidR="00455621" w:rsidRPr="00B0776C">
        <w:t xml:space="preserve">vůči </w:t>
      </w:r>
      <w:r w:rsidRPr="00B0776C">
        <w:t>širokému spektru grampozitivních a gramnegativních bakterií.</w:t>
      </w:r>
    </w:p>
    <w:p w14:paraId="66EEB00C" w14:textId="77777777" w:rsidR="008B629D" w:rsidRPr="00B0776C" w:rsidRDefault="008B629D" w:rsidP="008B629D">
      <w:pPr>
        <w:rPr>
          <w:szCs w:val="22"/>
        </w:rPr>
      </w:pPr>
      <w:r w:rsidRPr="00B0776C">
        <w:t xml:space="preserve">Účinnost byla stanovena zejména pro: </w:t>
      </w:r>
    </w:p>
    <w:p w14:paraId="6DE49E96" w14:textId="77777777" w:rsidR="008B629D" w:rsidRPr="00B0776C" w:rsidRDefault="008B629D" w:rsidP="008B629D">
      <w:pPr>
        <w:numPr>
          <w:ilvl w:val="0"/>
          <w:numId w:val="41"/>
        </w:numPr>
        <w:tabs>
          <w:tab w:val="clear" w:pos="567"/>
        </w:tabs>
        <w:spacing w:line="240" w:lineRule="auto"/>
        <w:ind w:left="284" w:hanging="284"/>
      </w:pPr>
      <w:r w:rsidRPr="00B0776C">
        <w:t xml:space="preserve">Infekce kůže a měkkých tkání vyvolané </w:t>
      </w:r>
      <w:r w:rsidRPr="00B0776C">
        <w:rPr>
          <w:i/>
        </w:rPr>
        <w:t xml:space="preserve">Staphylococcus </w:t>
      </w:r>
      <w:r w:rsidRPr="00B0776C">
        <w:t>spp</w:t>
      </w:r>
      <w:r w:rsidRPr="00B0776C">
        <w:rPr>
          <w:i/>
        </w:rPr>
        <w:t>.</w:t>
      </w:r>
      <w:r w:rsidRPr="00B0776C">
        <w:t xml:space="preserve"> (</w:t>
      </w:r>
      <w:r w:rsidRPr="00B0776C">
        <w:rPr>
          <w:i/>
        </w:rPr>
        <w:t>S. aureus</w:t>
      </w:r>
      <w:r w:rsidRPr="00B0776C">
        <w:t xml:space="preserve"> a </w:t>
      </w:r>
      <w:r w:rsidRPr="00B0776C">
        <w:rPr>
          <w:i/>
        </w:rPr>
        <w:t>S. intermedius</w:t>
      </w:r>
      <w:r w:rsidRPr="00B0776C">
        <w:t xml:space="preserve">), </w:t>
      </w:r>
      <w:r w:rsidRPr="00B0776C">
        <w:rPr>
          <w:i/>
        </w:rPr>
        <w:t>E. coli</w:t>
      </w:r>
      <w:r w:rsidRPr="00B0776C">
        <w:t xml:space="preserve">, </w:t>
      </w:r>
      <w:r w:rsidRPr="00B0776C">
        <w:rPr>
          <w:i/>
        </w:rPr>
        <w:t>Pasteurella multocida</w:t>
      </w:r>
      <w:r w:rsidRPr="00B0776C">
        <w:t xml:space="preserve"> a </w:t>
      </w:r>
      <w:r w:rsidRPr="00B0776C">
        <w:rPr>
          <w:i/>
        </w:rPr>
        <w:t>Pseudomonas aeruginosa</w:t>
      </w:r>
    </w:p>
    <w:p w14:paraId="76A4E5B6" w14:textId="77777777" w:rsidR="008B629D" w:rsidRPr="00B0776C" w:rsidRDefault="008B629D" w:rsidP="008B629D">
      <w:pPr>
        <w:numPr>
          <w:ilvl w:val="0"/>
          <w:numId w:val="41"/>
        </w:numPr>
        <w:tabs>
          <w:tab w:val="clear" w:pos="567"/>
        </w:tabs>
        <w:spacing w:line="240" w:lineRule="auto"/>
        <w:ind w:left="284" w:hanging="284"/>
        <w:rPr>
          <w:i/>
        </w:rPr>
      </w:pPr>
      <w:r w:rsidRPr="00B0776C">
        <w:t xml:space="preserve">Infekce močových cest vyvolané </w:t>
      </w:r>
      <w:r w:rsidRPr="00B0776C">
        <w:rPr>
          <w:i/>
        </w:rPr>
        <w:t xml:space="preserve">Staphylococcus </w:t>
      </w:r>
      <w:r w:rsidRPr="00B0776C">
        <w:t>spp</w:t>
      </w:r>
      <w:r w:rsidRPr="00B0776C">
        <w:rPr>
          <w:i/>
        </w:rPr>
        <w:t>.</w:t>
      </w:r>
      <w:r w:rsidRPr="00B0776C">
        <w:t xml:space="preserve"> (</w:t>
      </w:r>
      <w:r w:rsidRPr="00B0776C">
        <w:rPr>
          <w:i/>
        </w:rPr>
        <w:t>S. aureus</w:t>
      </w:r>
      <w:r w:rsidRPr="00B0776C">
        <w:t xml:space="preserve"> a </w:t>
      </w:r>
      <w:r w:rsidRPr="00B0776C">
        <w:rPr>
          <w:i/>
        </w:rPr>
        <w:t>S. intermedius</w:t>
      </w:r>
      <w:r w:rsidRPr="00B0776C">
        <w:t xml:space="preserve">), </w:t>
      </w:r>
      <w:r w:rsidRPr="00B0776C">
        <w:rPr>
          <w:i/>
        </w:rPr>
        <w:t xml:space="preserve">Streptococcus </w:t>
      </w:r>
      <w:r w:rsidRPr="00B0776C">
        <w:t>spp</w:t>
      </w:r>
      <w:r w:rsidRPr="00B0776C">
        <w:rPr>
          <w:i/>
        </w:rPr>
        <w:t>., Enterobacteriaceae</w:t>
      </w:r>
      <w:r w:rsidRPr="00B0776C">
        <w:t xml:space="preserve"> (</w:t>
      </w:r>
      <w:r w:rsidRPr="00B0776C">
        <w:rPr>
          <w:i/>
        </w:rPr>
        <w:t>E. coli</w:t>
      </w:r>
      <w:r w:rsidRPr="00B0776C">
        <w:t xml:space="preserve">, </w:t>
      </w:r>
      <w:r w:rsidRPr="00B0776C">
        <w:rPr>
          <w:i/>
        </w:rPr>
        <w:t xml:space="preserve">Proteus </w:t>
      </w:r>
      <w:r w:rsidRPr="00B0776C">
        <w:t>spp</w:t>
      </w:r>
      <w:r w:rsidRPr="00B0776C">
        <w:rPr>
          <w:i/>
        </w:rPr>
        <w:t>.</w:t>
      </w:r>
      <w:r w:rsidRPr="00B0776C">
        <w:t xml:space="preserve">, </w:t>
      </w:r>
      <w:r w:rsidRPr="00B0776C">
        <w:rPr>
          <w:i/>
        </w:rPr>
        <w:t xml:space="preserve">Klebsiella </w:t>
      </w:r>
      <w:r w:rsidRPr="00B0776C">
        <w:t>spp</w:t>
      </w:r>
      <w:r w:rsidRPr="00B0776C">
        <w:rPr>
          <w:i/>
        </w:rPr>
        <w:t>.</w:t>
      </w:r>
      <w:r w:rsidRPr="00B0776C">
        <w:t xml:space="preserve">, </w:t>
      </w:r>
      <w:r w:rsidRPr="00B0776C">
        <w:rPr>
          <w:i/>
        </w:rPr>
        <w:t>Citrobacter freundii</w:t>
      </w:r>
      <w:r w:rsidRPr="00B0776C">
        <w:t xml:space="preserve">, </w:t>
      </w:r>
      <w:r w:rsidRPr="00B0776C">
        <w:rPr>
          <w:i/>
        </w:rPr>
        <w:t>Enterobacter cloacae</w:t>
      </w:r>
      <w:r w:rsidRPr="00B0776C">
        <w:t xml:space="preserve">) a </w:t>
      </w:r>
      <w:r w:rsidRPr="00B0776C">
        <w:rPr>
          <w:i/>
        </w:rPr>
        <w:t>Pseudomonas aeruginosa</w:t>
      </w:r>
    </w:p>
    <w:p w14:paraId="2F0D75D3" w14:textId="77777777" w:rsidR="008B629D" w:rsidRPr="00B0776C" w:rsidRDefault="008B629D" w:rsidP="008B629D">
      <w:pPr>
        <w:numPr>
          <w:ilvl w:val="0"/>
          <w:numId w:val="41"/>
        </w:numPr>
        <w:tabs>
          <w:tab w:val="clear" w:pos="567"/>
        </w:tabs>
        <w:spacing w:line="240" w:lineRule="auto"/>
        <w:ind w:left="284" w:hanging="284"/>
      </w:pPr>
      <w:r w:rsidRPr="00B0776C">
        <w:t xml:space="preserve">Infekce dýchacích cest vyvolané </w:t>
      </w:r>
      <w:r w:rsidRPr="00B0776C">
        <w:rPr>
          <w:i/>
        </w:rPr>
        <w:t>Pasteurella multocida</w:t>
      </w:r>
      <w:r w:rsidRPr="00B0776C">
        <w:t xml:space="preserve">, </w:t>
      </w:r>
      <w:r w:rsidRPr="00B0776C">
        <w:rPr>
          <w:i/>
        </w:rPr>
        <w:t>Enterobacteriaceae</w:t>
      </w:r>
      <w:r w:rsidRPr="00B0776C">
        <w:t xml:space="preserve"> (</w:t>
      </w:r>
      <w:r w:rsidRPr="00B0776C">
        <w:rPr>
          <w:i/>
        </w:rPr>
        <w:t>E. coli, Klebsiella pneumoniae</w:t>
      </w:r>
      <w:r w:rsidRPr="00B0776C">
        <w:t xml:space="preserve">), </w:t>
      </w:r>
      <w:r w:rsidRPr="00B0776C">
        <w:rPr>
          <w:i/>
        </w:rPr>
        <w:t xml:space="preserve">Staphylococcus </w:t>
      </w:r>
      <w:r w:rsidRPr="00B0776C">
        <w:t>spp</w:t>
      </w:r>
      <w:r w:rsidRPr="00B0776C">
        <w:rPr>
          <w:i/>
        </w:rPr>
        <w:t>.</w:t>
      </w:r>
      <w:r w:rsidRPr="00B0776C">
        <w:t xml:space="preserve"> (</w:t>
      </w:r>
      <w:r w:rsidRPr="00B0776C">
        <w:rPr>
          <w:i/>
        </w:rPr>
        <w:t>S. aureus, S. intermedius</w:t>
      </w:r>
      <w:r w:rsidRPr="00B0776C">
        <w:t xml:space="preserve">), </w:t>
      </w:r>
      <w:r w:rsidRPr="00B0776C">
        <w:rPr>
          <w:i/>
        </w:rPr>
        <w:t>Pseudomonas aeruginosa</w:t>
      </w:r>
      <w:r w:rsidRPr="00B0776C">
        <w:t xml:space="preserve">, </w:t>
      </w:r>
      <w:r w:rsidRPr="00B0776C">
        <w:rPr>
          <w:i/>
        </w:rPr>
        <w:t>Bordetella bronchiseptica</w:t>
      </w:r>
      <w:r w:rsidRPr="00B0776C">
        <w:t xml:space="preserve"> a </w:t>
      </w:r>
      <w:r w:rsidRPr="00B0776C">
        <w:rPr>
          <w:i/>
        </w:rPr>
        <w:t xml:space="preserve">Streptococcus </w:t>
      </w:r>
      <w:r w:rsidRPr="00B0776C">
        <w:t>spp</w:t>
      </w:r>
      <w:r w:rsidRPr="00B0776C">
        <w:rPr>
          <w:i/>
        </w:rPr>
        <w:t>.</w:t>
      </w:r>
    </w:p>
    <w:p w14:paraId="326DD920" w14:textId="77777777" w:rsidR="008B629D" w:rsidRPr="00B0776C" w:rsidRDefault="008B629D" w:rsidP="008B629D">
      <w:pPr>
        <w:rPr>
          <w:szCs w:val="22"/>
        </w:rPr>
      </w:pPr>
    </w:p>
    <w:p w14:paraId="3B2F6051" w14:textId="77777777" w:rsidR="008B629D" w:rsidRPr="00B0776C" w:rsidRDefault="008B629D" w:rsidP="008B629D">
      <w:pPr>
        <w:rPr>
          <w:szCs w:val="22"/>
        </w:rPr>
      </w:pPr>
      <w:r w:rsidRPr="00B0776C">
        <w:t xml:space="preserve">Případy rezistence byly pozorovány u rodu </w:t>
      </w:r>
      <w:r w:rsidRPr="00B0776C">
        <w:rPr>
          <w:i/>
        </w:rPr>
        <w:t>Streptococcus</w:t>
      </w:r>
      <w:r w:rsidRPr="00B0776C">
        <w:t>.</w:t>
      </w:r>
    </w:p>
    <w:p w14:paraId="238EC60A" w14:textId="273812D2" w:rsidR="008B629D" w:rsidRPr="00B0776C" w:rsidRDefault="008B629D" w:rsidP="008B629D">
      <w:pPr>
        <w:rPr>
          <w:szCs w:val="22"/>
        </w:rPr>
      </w:pPr>
      <w:r w:rsidRPr="00B0776C">
        <w:t xml:space="preserve">Kmeny izolované </w:t>
      </w:r>
      <w:bookmarkStart w:id="7" w:name="_Hlk204852284"/>
      <w:r w:rsidRPr="00B0776C">
        <w:t>z</w:t>
      </w:r>
      <w:r w:rsidR="00455621" w:rsidRPr="00B0776C">
        <w:t> kožních infekcí u koček</w:t>
      </w:r>
      <w:r w:rsidRPr="00B0776C">
        <w:t xml:space="preserve"> a </w:t>
      </w:r>
      <w:r w:rsidR="00455621" w:rsidRPr="00B0776C">
        <w:t>z kožních a urogenitálních infekcí</w:t>
      </w:r>
      <w:r w:rsidRPr="00B0776C">
        <w:t xml:space="preserve"> </w:t>
      </w:r>
      <w:bookmarkEnd w:id="7"/>
      <w:r w:rsidRPr="00B0776C">
        <w:t>u psů s MIC &lt; 1 µg/ml jsou citlivé na marbofloxacin (CLSI, 2008), zatímco kmeny s MIC ≥ 4 µg/ml jsou k němu rezistentní.</w:t>
      </w:r>
    </w:p>
    <w:p w14:paraId="12CDE92A" w14:textId="0B30FD24" w:rsidR="006F05EA" w:rsidRDefault="008B629D" w:rsidP="008B629D">
      <w:r w:rsidRPr="00B0776C">
        <w:t xml:space="preserve">Rezistence k fluorochinolonům je </w:t>
      </w:r>
      <w:bookmarkStart w:id="8" w:name="_Hlk204852326"/>
      <w:r w:rsidR="001315C2" w:rsidRPr="00B0776C">
        <w:t xml:space="preserve">podmíněna </w:t>
      </w:r>
      <w:r w:rsidRPr="00B0776C">
        <w:t>chromozomální</w:t>
      </w:r>
      <w:r w:rsidR="001315C2" w:rsidRPr="00B0776C">
        <w:t>mi</w:t>
      </w:r>
      <w:r w:rsidRPr="00B0776C">
        <w:t xml:space="preserve"> </w:t>
      </w:r>
      <w:r w:rsidR="001315C2" w:rsidRPr="00B0776C">
        <w:t xml:space="preserve">mutacemi a zahrnuje </w:t>
      </w:r>
      <w:r w:rsidRPr="00B0776C">
        <w:t xml:space="preserve">následující </w:t>
      </w:r>
      <w:bookmarkEnd w:id="8"/>
      <w:r w:rsidRPr="00B0776C">
        <w:t xml:space="preserve">mechanismy: Snížení permeability stěn bakteriálních buněk, exprese genů kódujících efluxní pumpy nebo mutace genů kódujících enzymy zodpovědné za vazby molekul. Rezistence k fluorochinolonům zprostředkovaná plazmidy způsobuje pouze sníženou citlivost bakterií, nicméně může podpořit vývoj mutací genů cílových enzymů a může dojít k horizontálnímu přenosu. </w:t>
      </w:r>
    </w:p>
    <w:p w14:paraId="37503378" w14:textId="5BA63862" w:rsidR="008B629D" w:rsidRPr="00B0776C" w:rsidRDefault="008B629D" w:rsidP="008B629D">
      <w:r w:rsidRPr="00B0776C">
        <w:t>V závislosti na principu mechanismu rezistence může dojít ke zkřížené rezistenci k ostatním (fluoro)chinolonům a korezistenci k ostatním skupinám antimikrobik.</w:t>
      </w:r>
    </w:p>
    <w:p w14:paraId="1AD34129" w14:textId="77777777" w:rsidR="008B629D" w:rsidRPr="00B0776C" w:rsidRDefault="008B629D" w:rsidP="008B629D">
      <w:pPr>
        <w:ind w:left="709"/>
        <w:rPr>
          <w:szCs w:val="22"/>
        </w:rPr>
      </w:pPr>
    </w:p>
    <w:p w14:paraId="35778F12" w14:textId="77777777" w:rsidR="008B629D" w:rsidRPr="00B0776C" w:rsidRDefault="008B629D" w:rsidP="008B629D">
      <w:pPr>
        <w:tabs>
          <w:tab w:val="clear" w:pos="567"/>
        </w:tabs>
        <w:spacing w:line="240" w:lineRule="auto"/>
        <w:rPr>
          <w:szCs w:val="22"/>
        </w:rPr>
      </w:pPr>
      <w:r w:rsidRPr="00B0776C">
        <w:t>Marbofloxacin není účinný proti anaerobům, kvasinkám a plísním.</w:t>
      </w:r>
    </w:p>
    <w:p w14:paraId="50FA42E3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52C329C7" w:rsidR="00C114FF" w:rsidRPr="00B0776C" w:rsidRDefault="007E232F" w:rsidP="00B13B6D">
      <w:pPr>
        <w:pStyle w:val="Style1"/>
      </w:pPr>
      <w:r w:rsidRPr="00B0776C">
        <w:t>4.3</w:t>
      </w:r>
      <w:r w:rsidRPr="00B0776C">
        <w:tab/>
        <w:t>Farmakokinetika</w:t>
      </w:r>
    </w:p>
    <w:p w14:paraId="24269E8C" w14:textId="77777777" w:rsidR="00C76931" w:rsidRPr="00B0776C" w:rsidRDefault="00C76931" w:rsidP="00B13B6D">
      <w:pPr>
        <w:pStyle w:val="Style1"/>
      </w:pPr>
    </w:p>
    <w:p w14:paraId="5A3AC622" w14:textId="77777777" w:rsidR="008B629D" w:rsidRPr="00B0776C" w:rsidRDefault="008B629D" w:rsidP="008B629D">
      <w:pPr>
        <w:rPr>
          <w:szCs w:val="22"/>
        </w:rPr>
      </w:pPr>
      <w:r w:rsidRPr="00B0776C">
        <w:t>Po perorálním podání u psů v doporučené dávce 2 mg/kg ž. hm. je marbofloxacin rychle absorbován a maximální hladiny v plazmě 1,5 µg/ml dosahuje do 2 hodin.</w:t>
      </w:r>
    </w:p>
    <w:p w14:paraId="1BCFE3B7" w14:textId="77777777" w:rsidR="008B629D" w:rsidRPr="00B0776C" w:rsidRDefault="008B629D" w:rsidP="008B629D">
      <w:pPr>
        <w:ind w:left="709"/>
        <w:rPr>
          <w:szCs w:val="22"/>
        </w:rPr>
      </w:pPr>
    </w:p>
    <w:p w14:paraId="115FA366" w14:textId="77777777" w:rsidR="008B629D" w:rsidRPr="00B0776C" w:rsidRDefault="008B629D" w:rsidP="008B629D">
      <w:pPr>
        <w:rPr>
          <w:szCs w:val="22"/>
        </w:rPr>
      </w:pPr>
      <w:r w:rsidRPr="00B0776C">
        <w:t>Biologická dostupnost je téměř 100 %.</w:t>
      </w:r>
    </w:p>
    <w:p w14:paraId="1D0C3136" w14:textId="77777777" w:rsidR="008B629D" w:rsidRPr="00B0776C" w:rsidRDefault="008B629D" w:rsidP="008B629D">
      <w:pPr>
        <w:ind w:left="709"/>
        <w:rPr>
          <w:szCs w:val="22"/>
        </w:rPr>
      </w:pPr>
    </w:p>
    <w:p w14:paraId="77C89E16" w14:textId="716C096B" w:rsidR="008B629D" w:rsidRPr="00B0776C" w:rsidRDefault="008B629D" w:rsidP="008B629D">
      <w:pPr>
        <w:tabs>
          <w:tab w:val="clear" w:pos="567"/>
        </w:tabs>
        <w:spacing w:line="240" w:lineRule="auto"/>
        <w:rPr>
          <w:szCs w:val="22"/>
        </w:rPr>
      </w:pPr>
      <w:r w:rsidRPr="00B0776C">
        <w:t>Je slabě vázán na plazmatické bílkoviny (méně než 10 %), je široce distribuován a ve většině tkání (játra, ledviny, kůže, plíce, močový měchýř a trávicí trakt) dosahuje vyšší koncentrace než v plazmě.  Marbofloxacin je vylučován pomalu (poločas eliminace u psů je 14 hodin), a to převážně v aktivní formě močí (2/3) a trusem (1/3).</w:t>
      </w:r>
    </w:p>
    <w:p w14:paraId="0A06DF6E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0776C" w:rsidRDefault="007E232F" w:rsidP="00B13B6D">
      <w:pPr>
        <w:pStyle w:val="Style1"/>
      </w:pPr>
      <w:r w:rsidRPr="00B0776C">
        <w:t>5.</w:t>
      </w:r>
      <w:r w:rsidRPr="00B0776C">
        <w:tab/>
        <w:t>FARMACEUTICKÉ ÚDAJE</w:t>
      </w:r>
    </w:p>
    <w:p w14:paraId="7BC53755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0776C" w:rsidRDefault="007E232F" w:rsidP="00B13B6D">
      <w:pPr>
        <w:pStyle w:val="Style1"/>
      </w:pPr>
      <w:r w:rsidRPr="00B0776C">
        <w:t>5.1</w:t>
      </w:r>
      <w:r w:rsidRPr="00B0776C">
        <w:tab/>
        <w:t>Hlavní inkompatibility</w:t>
      </w:r>
    </w:p>
    <w:p w14:paraId="15C29130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4CFB20" w14:textId="60681D12" w:rsidR="00C114FF" w:rsidRPr="00B0776C" w:rsidRDefault="005A3626" w:rsidP="00A9226B">
      <w:pPr>
        <w:tabs>
          <w:tab w:val="clear" w:pos="567"/>
        </w:tabs>
        <w:spacing w:line="240" w:lineRule="auto"/>
        <w:rPr>
          <w:szCs w:val="22"/>
        </w:rPr>
      </w:pPr>
      <w:r w:rsidRPr="00B0776C">
        <w:t>Neuplatňuje se.</w:t>
      </w:r>
    </w:p>
    <w:p w14:paraId="288F0D5C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0776C" w:rsidRDefault="007E232F" w:rsidP="00B13B6D">
      <w:pPr>
        <w:pStyle w:val="Style1"/>
      </w:pPr>
      <w:r w:rsidRPr="00B0776C">
        <w:t>5.2</w:t>
      </w:r>
      <w:r w:rsidRPr="00B0776C">
        <w:tab/>
        <w:t>Doba použitelnosti</w:t>
      </w:r>
    </w:p>
    <w:p w14:paraId="100B6613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6E91CB" w14:textId="77777777" w:rsidR="00006E6A" w:rsidRPr="00B0776C" w:rsidRDefault="00006E6A" w:rsidP="00006E6A">
      <w:pPr>
        <w:tabs>
          <w:tab w:val="clear" w:pos="567"/>
        </w:tabs>
        <w:spacing w:line="240" w:lineRule="auto"/>
        <w:rPr>
          <w:szCs w:val="22"/>
        </w:rPr>
      </w:pPr>
      <w:r w:rsidRPr="00B0776C">
        <w:t>Doba použitelnosti veterinárního léčivého přípravku v neporušeném obalu: 5 let</w:t>
      </w:r>
    </w:p>
    <w:p w14:paraId="67DC1859" w14:textId="77777777" w:rsidR="00006E6A" w:rsidRPr="00B0776C" w:rsidRDefault="00006E6A" w:rsidP="00006E6A">
      <w:pPr>
        <w:tabs>
          <w:tab w:val="clear" w:pos="567"/>
        </w:tabs>
        <w:spacing w:line="240" w:lineRule="auto"/>
        <w:rPr>
          <w:szCs w:val="22"/>
        </w:rPr>
      </w:pPr>
      <w:r w:rsidRPr="00B0776C">
        <w:t>Doba použitelnosti zbylé poloviny tablety: 4 dny</w:t>
      </w:r>
    </w:p>
    <w:p w14:paraId="4CD9C987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0776C" w:rsidRDefault="007E232F" w:rsidP="00B13B6D">
      <w:pPr>
        <w:pStyle w:val="Style1"/>
      </w:pPr>
      <w:r w:rsidRPr="00B0776C">
        <w:t>5.3</w:t>
      </w:r>
      <w:r w:rsidRPr="00B0776C">
        <w:tab/>
        <w:t>Zvláštní opatření pro uchovávání</w:t>
      </w:r>
    </w:p>
    <w:p w14:paraId="7826F268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276E8" w14:textId="77777777" w:rsidR="00006E6A" w:rsidRPr="00B0776C" w:rsidRDefault="00006E6A" w:rsidP="00006E6A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B0776C">
        <w:t>Tento veterinární léčivý přípravek nevyžaduje žádné zvláštní teplotní podmínky uchovávání.</w:t>
      </w:r>
    </w:p>
    <w:p w14:paraId="06688318" w14:textId="77777777" w:rsidR="00006E6A" w:rsidRPr="00B0776C" w:rsidRDefault="00006E6A" w:rsidP="00006E6A">
      <w:pPr>
        <w:tabs>
          <w:tab w:val="left" w:pos="720"/>
        </w:tabs>
        <w:rPr>
          <w:szCs w:val="22"/>
        </w:rPr>
      </w:pPr>
      <w:r w:rsidRPr="00B0776C">
        <w:t>Blistry uchovávejte v původním obalu.</w:t>
      </w:r>
    </w:p>
    <w:p w14:paraId="7279D6E7" w14:textId="77777777" w:rsidR="00006E6A" w:rsidRPr="00B0776C" w:rsidRDefault="00006E6A" w:rsidP="00006E6A">
      <w:pPr>
        <w:tabs>
          <w:tab w:val="left" w:pos="720"/>
        </w:tabs>
      </w:pPr>
      <w:r w:rsidRPr="00B0776C">
        <w:t>Zbylé nepoužité poloviny tablet vraťte zpět do blistru.</w:t>
      </w:r>
    </w:p>
    <w:p w14:paraId="205A4A8C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0776C" w:rsidRDefault="007E232F" w:rsidP="00B13B6D">
      <w:pPr>
        <w:pStyle w:val="Style1"/>
      </w:pPr>
      <w:r w:rsidRPr="00B0776C">
        <w:t>5.4</w:t>
      </w:r>
      <w:r w:rsidRPr="00B0776C">
        <w:tab/>
        <w:t>Druh a složení vnitřního obalu</w:t>
      </w:r>
    </w:p>
    <w:p w14:paraId="3EB26241" w14:textId="77777777" w:rsidR="00C114FF" w:rsidRPr="00B0776C" w:rsidRDefault="00C114FF" w:rsidP="005E66FC">
      <w:pPr>
        <w:pStyle w:val="Style1"/>
      </w:pPr>
    </w:p>
    <w:p w14:paraId="6C1AD6CA" w14:textId="494CC505" w:rsidR="00A64D74" w:rsidRPr="00B0776C" w:rsidRDefault="00205A82" w:rsidP="00A64D74">
      <w:pPr>
        <w:tabs>
          <w:tab w:val="clear" w:pos="567"/>
        </w:tabs>
        <w:spacing w:line="240" w:lineRule="auto"/>
      </w:pPr>
      <w:r w:rsidRPr="00B0776C">
        <w:t>Blistry hliník/PA-hliník-PVC po 6 tabletách zabalené v papírové krabičce.</w:t>
      </w:r>
    </w:p>
    <w:p w14:paraId="3F299D3E" w14:textId="77777777" w:rsidR="00205A82" w:rsidRPr="00B0776C" w:rsidRDefault="00205A82" w:rsidP="00A64D74">
      <w:pPr>
        <w:tabs>
          <w:tab w:val="clear" w:pos="567"/>
        </w:tabs>
        <w:spacing w:line="240" w:lineRule="auto"/>
      </w:pPr>
    </w:p>
    <w:p w14:paraId="5CAEFD4B" w14:textId="77777777" w:rsidR="00A64D74" w:rsidRPr="00B0776C" w:rsidRDefault="00A64D74" w:rsidP="00A64D74">
      <w:pPr>
        <w:tabs>
          <w:tab w:val="clear" w:pos="567"/>
        </w:tabs>
        <w:spacing w:line="240" w:lineRule="auto"/>
      </w:pPr>
      <w:r w:rsidRPr="00B0776C">
        <w:t>Velikosti balení:</w:t>
      </w:r>
    </w:p>
    <w:p w14:paraId="40380508" w14:textId="4A9B09F6" w:rsidR="00A64D74" w:rsidRPr="00B0776C" w:rsidRDefault="00A64D74" w:rsidP="00A64D74">
      <w:pPr>
        <w:tabs>
          <w:tab w:val="clear" w:pos="567"/>
        </w:tabs>
        <w:spacing w:line="240" w:lineRule="auto"/>
      </w:pPr>
      <w:bookmarkStart w:id="9" w:name="_Hlk86048804"/>
      <w:r w:rsidRPr="00B0776C">
        <w:t xml:space="preserve">Kartonová krabička s </w:t>
      </w:r>
      <w:r w:rsidR="00205A82" w:rsidRPr="00B0776C">
        <w:t>6</w:t>
      </w:r>
      <w:r w:rsidRPr="00B0776C">
        <w:t xml:space="preserve"> tabletami</w:t>
      </w:r>
    </w:p>
    <w:p w14:paraId="4025D521" w14:textId="38D9F889" w:rsidR="00A64D74" w:rsidRPr="00B0776C" w:rsidRDefault="00A64D74" w:rsidP="00A64D74">
      <w:pPr>
        <w:tabs>
          <w:tab w:val="clear" w:pos="567"/>
        </w:tabs>
        <w:spacing w:line="240" w:lineRule="auto"/>
      </w:pPr>
      <w:r w:rsidRPr="00B0776C">
        <w:t xml:space="preserve">Kartonová krabička s </w:t>
      </w:r>
      <w:r w:rsidR="00205A82" w:rsidRPr="00B0776C">
        <w:t>12</w:t>
      </w:r>
      <w:r w:rsidRPr="00B0776C">
        <w:t xml:space="preserve"> tabletami</w:t>
      </w:r>
    </w:p>
    <w:p w14:paraId="066E28EF" w14:textId="1D207544" w:rsidR="00A64D74" w:rsidRPr="00B0776C" w:rsidRDefault="00A64D74" w:rsidP="00A64D74">
      <w:pPr>
        <w:tabs>
          <w:tab w:val="clear" w:pos="567"/>
        </w:tabs>
        <w:spacing w:line="240" w:lineRule="auto"/>
      </w:pPr>
      <w:r w:rsidRPr="00B0776C">
        <w:t xml:space="preserve">Kartonová krabička s </w:t>
      </w:r>
      <w:r w:rsidR="00205A82" w:rsidRPr="00B0776C">
        <w:t>36</w:t>
      </w:r>
      <w:r w:rsidRPr="00B0776C">
        <w:t xml:space="preserve"> tabletami</w:t>
      </w:r>
    </w:p>
    <w:p w14:paraId="4B251969" w14:textId="013F6ED9" w:rsidR="00A64D74" w:rsidRPr="00B0776C" w:rsidRDefault="00A64D74" w:rsidP="00A64D74">
      <w:pPr>
        <w:tabs>
          <w:tab w:val="clear" w:pos="567"/>
        </w:tabs>
        <w:spacing w:line="240" w:lineRule="auto"/>
      </w:pPr>
      <w:r w:rsidRPr="00B0776C">
        <w:t xml:space="preserve">Kartonová krabička se </w:t>
      </w:r>
      <w:r w:rsidR="00205A82" w:rsidRPr="00B0776C">
        <w:t>72</w:t>
      </w:r>
      <w:r w:rsidRPr="00B0776C">
        <w:t xml:space="preserve"> tabletami</w:t>
      </w:r>
    </w:p>
    <w:p w14:paraId="694CC103" w14:textId="798C36B2" w:rsidR="00A64D74" w:rsidRPr="00B0776C" w:rsidRDefault="00A64D74" w:rsidP="00A64D74">
      <w:pPr>
        <w:tabs>
          <w:tab w:val="clear" w:pos="567"/>
        </w:tabs>
        <w:spacing w:line="240" w:lineRule="auto"/>
      </w:pPr>
      <w:r w:rsidRPr="00B0776C">
        <w:t xml:space="preserve">Kartonová krabička se </w:t>
      </w:r>
      <w:r w:rsidR="00205A82" w:rsidRPr="00B0776C">
        <w:t>120</w:t>
      </w:r>
      <w:r w:rsidRPr="00B0776C">
        <w:t xml:space="preserve"> tabletami</w:t>
      </w:r>
    </w:p>
    <w:p w14:paraId="40247497" w14:textId="19D49B32" w:rsidR="00A64D74" w:rsidRPr="00B0776C" w:rsidRDefault="00A64D74" w:rsidP="00A64D74">
      <w:pPr>
        <w:tabs>
          <w:tab w:val="clear" w:pos="567"/>
        </w:tabs>
        <w:spacing w:line="240" w:lineRule="auto"/>
      </w:pPr>
      <w:r w:rsidRPr="00B0776C">
        <w:t xml:space="preserve">Kartonová krabička s </w:t>
      </w:r>
      <w:r w:rsidR="00205A82" w:rsidRPr="00B0776C">
        <w:t>240</w:t>
      </w:r>
      <w:r w:rsidRPr="00B0776C">
        <w:t xml:space="preserve"> tabletami</w:t>
      </w:r>
      <w:bookmarkEnd w:id="9"/>
    </w:p>
    <w:p w14:paraId="51998E22" w14:textId="77777777" w:rsidR="00A64D74" w:rsidRPr="00B0776C" w:rsidRDefault="00A64D74" w:rsidP="00A64D74">
      <w:pPr>
        <w:tabs>
          <w:tab w:val="clear" w:pos="567"/>
        </w:tabs>
        <w:spacing w:line="240" w:lineRule="auto"/>
        <w:rPr>
          <w:szCs w:val="22"/>
        </w:rPr>
      </w:pPr>
    </w:p>
    <w:p w14:paraId="5C703918" w14:textId="5EE5F632" w:rsidR="00C114FF" w:rsidRPr="00B0776C" w:rsidRDefault="00A64D74" w:rsidP="00A9226B">
      <w:pPr>
        <w:tabs>
          <w:tab w:val="clear" w:pos="567"/>
        </w:tabs>
        <w:spacing w:line="240" w:lineRule="auto"/>
        <w:rPr>
          <w:szCs w:val="22"/>
        </w:rPr>
      </w:pPr>
      <w:r w:rsidRPr="00B0776C">
        <w:t>Na trhu nemusí být všechny velikosti balení.</w:t>
      </w:r>
    </w:p>
    <w:p w14:paraId="584B339F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0776C" w:rsidRDefault="007E232F" w:rsidP="00C76931">
      <w:pPr>
        <w:pStyle w:val="Style1"/>
        <w:keepNext/>
      </w:pPr>
      <w:r w:rsidRPr="00B0776C">
        <w:t>5.5</w:t>
      </w:r>
      <w:r w:rsidRPr="00B0776C">
        <w:tab/>
        <w:t xml:space="preserve">Zvláštní opatření pro </w:t>
      </w:r>
      <w:r w:rsidR="00CF069C" w:rsidRPr="00B0776C">
        <w:t xml:space="preserve">likvidaci </w:t>
      </w:r>
      <w:r w:rsidRPr="00B0776C">
        <w:t>nepoužit</w:t>
      </w:r>
      <w:r w:rsidR="002F64C6" w:rsidRPr="00B0776C">
        <w:t>ých</w:t>
      </w:r>
      <w:r w:rsidR="00905CAB" w:rsidRPr="00B0776C">
        <w:t xml:space="preserve"> </w:t>
      </w:r>
      <w:r w:rsidRPr="00B0776C">
        <w:t>veterinární</w:t>
      </w:r>
      <w:r w:rsidR="002F64C6" w:rsidRPr="00B0776C">
        <w:t>ch</w:t>
      </w:r>
      <w:r w:rsidRPr="00B0776C">
        <w:t xml:space="preserve"> léčiv</w:t>
      </w:r>
      <w:r w:rsidR="002F64C6" w:rsidRPr="00B0776C">
        <w:t>ých</w:t>
      </w:r>
      <w:r w:rsidRPr="00B0776C">
        <w:t xml:space="preserve"> přípravk</w:t>
      </w:r>
      <w:r w:rsidR="002F64C6" w:rsidRPr="00B0776C">
        <w:t>ů</w:t>
      </w:r>
      <w:r w:rsidRPr="00B0776C">
        <w:t xml:space="preserve"> nebo odpad</w:t>
      </w:r>
      <w:r w:rsidR="00F84AED" w:rsidRPr="00B0776C">
        <w:t>ů</w:t>
      </w:r>
      <w:r w:rsidR="00B36E65" w:rsidRPr="00B0776C">
        <w:t>, kter</w:t>
      </w:r>
      <w:r w:rsidR="00F84AED" w:rsidRPr="00B0776C">
        <w:t>é</w:t>
      </w:r>
      <w:r w:rsidRPr="00B0776C">
        <w:t xml:space="preserve"> pocház</w:t>
      </w:r>
      <w:r w:rsidR="00B36E65" w:rsidRPr="00B0776C">
        <w:t>í</w:t>
      </w:r>
      <w:r w:rsidRPr="00B0776C">
        <w:t xml:space="preserve"> z</w:t>
      </w:r>
      <w:r w:rsidR="002F64C6" w:rsidRPr="00B0776C">
        <w:t> </w:t>
      </w:r>
      <w:r w:rsidRPr="00B0776C">
        <w:t>t</w:t>
      </w:r>
      <w:r w:rsidR="002F64C6" w:rsidRPr="00B0776C">
        <w:t xml:space="preserve">ěchto </w:t>
      </w:r>
      <w:r w:rsidRPr="00B0776C">
        <w:t>přípravk</w:t>
      </w:r>
      <w:r w:rsidR="002F64C6" w:rsidRPr="00B0776C">
        <w:t>ů</w:t>
      </w:r>
    </w:p>
    <w:p w14:paraId="4E04C78C" w14:textId="77777777" w:rsidR="00C114FF" w:rsidRPr="00B0776C" w:rsidRDefault="00C114FF" w:rsidP="00C7693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3CC8AEB4" w:rsidR="00FD1E45" w:rsidRPr="00B0776C" w:rsidRDefault="007E232F" w:rsidP="00FD1E45">
      <w:pPr>
        <w:rPr>
          <w:szCs w:val="22"/>
        </w:rPr>
      </w:pPr>
      <w:r w:rsidRPr="00B0776C">
        <w:t>Léčivé přípravky se nesmí likvidovat prostřednictvím odpadní vody či domovního odpadu.</w:t>
      </w:r>
    </w:p>
    <w:p w14:paraId="3F2195DA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0776C" w:rsidRDefault="007E232F" w:rsidP="00FD1E45">
      <w:pPr>
        <w:tabs>
          <w:tab w:val="clear" w:pos="567"/>
        </w:tabs>
        <w:spacing w:line="240" w:lineRule="auto"/>
        <w:rPr>
          <w:szCs w:val="22"/>
        </w:rPr>
      </w:pPr>
      <w:r w:rsidRPr="00B0776C">
        <w:t>Všechen n</w:t>
      </w:r>
      <w:r w:rsidR="00DA2A06" w:rsidRPr="00B0776C">
        <w:t xml:space="preserve">epoužitý veterinární léčivý přípravek nebo </w:t>
      </w:r>
      <w:r w:rsidR="00905CAB" w:rsidRPr="00B0776C">
        <w:t>odpad, který pochází z tohoto přípravku,</w:t>
      </w:r>
      <w:r w:rsidR="00DA2A06" w:rsidRPr="00B0776C">
        <w:t xml:space="preserve"> </w:t>
      </w:r>
      <w:r w:rsidR="004C0568" w:rsidRPr="00B0776C">
        <w:t xml:space="preserve">likvidujte </w:t>
      </w:r>
      <w:r w:rsidR="007464DA" w:rsidRPr="00B0776C">
        <w:t>odevzdáním</w:t>
      </w:r>
      <w:r w:rsidR="00730908" w:rsidRPr="00B0776C">
        <w:t xml:space="preserve"> </w:t>
      </w:r>
      <w:r w:rsidR="00DA2A06" w:rsidRPr="00B0776C">
        <w:t>v souladu s místními požadavky a národními systémy sběru, které jsou platné pro příslušný veterinární léčivý přípravek.</w:t>
      </w:r>
    </w:p>
    <w:p w14:paraId="42D2D2CF" w14:textId="77777777" w:rsidR="0078538F" w:rsidRPr="00B0776C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0776C" w:rsidRDefault="007E232F" w:rsidP="00B13B6D">
      <w:pPr>
        <w:pStyle w:val="Style1"/>
      </w:pPr>
      <w:r w:rsidRPr="00B0776C">
        <w:t>6.</w:t>
      </w:r>
      <w:r w:rsidRPr="00B0776C">
        <w:tab/>
        <w:t>JMÉNO DRŽITELE ROZHODNUTÍ O REGISTRACI</w:t>
      </w:r>
    </w:p>
    <w:p w14:paraId="2E652F1A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EAE980" w14:textId="6A4C54A7" w:rsidR="008001D9" w:rsidRPr="00B0776C" w:rsidRDefault="008001D9" w:rsidP="008001D9">
      <w:pPr>
        <w:tabs>
          <w:tab w:val="clear" w:pos="567"/>
        </w:tabs>
        <w:spacing w:line="240" w:lineRule="auto"/>
        <w:rPr>
          <w:szCs w:val="22"/>
        </w:rPr>
      </w:pPr>
      <w:r w:rsidRPr="00B0776C">
        <w:rPr>
          <w:szCs w:val="22"/>
        </w:rPr>
        <w:t>Industrial Veterinaria, S.A.</w:t>
      </w:r>
    </w:p>
    <w:p w14:paraId="1F61240C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0776C" w:rsidRDefault="007E232F" w:rsidP="00B13B6D">
      <w:pPr>
        <w:pStyle w:val="Style1"/>
      </w:pPr>
      <w:r w:rsidRPr="00B0776C">
        <w:t>7.</w:t>
      </w:r>
      <w:r w:rsidRPr="00B0776C">
        <w:tab/>
        <w:t>REGISTRAČNÍ ČÍSLO(A)</w:t>
      </w:r>
    </w:p>
    <w:p w14:paraId="1FA2C56F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250D4B" w14:textId="5F64292A" w:rsidR="008001D9" w:rsidRPr="00B0776C" w:rsidRDefault="007F73B0" w:rsidP="008001D9">
      <w:pPr>
        <w:tabs>
          <w:tab w:val="clear" w:pos="567"/>
        </w:tabs>
        <w:spacing w:line="240" w:lineRule="auto"/>
        <w:rPr>
          <w:szCs w:val="22"/>
        </w:rPr>
      </w:pPr>
      <w:r w:rsidRPr="00B0776C">
        <w:rPr>
          <w:szCs w:val="22"/>
        </w:rPr>
        <w:t>96/019/17-C</w:t>
      </w:r>
    </w:p>
    <w:p w14:paraId="427D05E5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23EC72" w14:textId="77777777" w:rsidR="008001D9" w:rsidRPr="00B0776C" w:rsidRDefault="008001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0776C" w:rsidRDefault="007E232F" w:rsidP="00B13B6D">
      <w:pPr>
        <w:pStyle w:val="Style1"/>
      </w:pPr>
      <w:r w:rsidRPr="00B0776C">
        <w:t>8.</w:t>
      </w:r>
      <w:r w:rsidRPr="00B0776C">
        <w:tab/>
        <w:t>DATUM PRVNÍ REGISTRACE</w:t>
      </w:r>
    </w:p>
    <w:p w14:paraId="3863C575" w14:textId="77777777" w:rsidR="00C114FF" w:rsidRPr="00B077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FB5BCB" w14:textId="3762AB81" w:rsidR="008001D9" w:rsidRPr="00B0776C" w:rsidRDefault="008001D9" w:rsidP="008001D9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 w:rsidRPr="00B0776C">
        <w:t xml:space="preserve">Datum první registrace: </w:t>
      </w:r>
      <w:r w:rsidRPr="00B0776C">
        <w:rPr>
          <w:szCs w:val="22"/>
        </w:rPr>
        <w:t>19. 4. 2017</w:t>
      </w:r>
    </w:p>
    <w:p w14:paraId="6E98A2F6" w14:textId="77777777" w:rsidR="00D65777" w:rsidRPr="00B0776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0776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0776C" w:rsidRDefault="007E232F" w:rsidP="00B13B6D">
      <w:pPr>
        <w:pStyle w:val="Style1"/>
      </w:pPr>
      <w:r w:rsidRPr="00B0776C">
        <w:t>9.</w:t>
      </w:r>
      <w:r w:rsidRPr="00B0776C">
        <w:tab/>
        <w:t>DATUM POSLEDNÍ AKTUALIZACE SOUHRNU ÚDAJŮ O PŘÍPRAVKU</w:t>
      </w:r>
    </w:p>
    <w:p w14:paraId="30326986" w14:textId="77777777" w:rsidR="00C114FF" w:rsidRPr="00B0776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1EB738BF" w:rsidR="0078538F" w:rsidRPr="00B0776C" w:rsidRDefault="00F424C0" w:rsidP="00A9226B">
      <w:pPr>
        <w:tabs>
          <w:tab w:val="clear" w:pos="567"/>
        </w:tabs>
        <w:spacing w:line="240" w:lineRule="auto"/>
        <w:rPr>
          <w:szCs w:val="22"/>
        </w:rPr>
      </w:pPr>
      <w:r w:rsidRPr="00B0776C">
        <w:t>0</w:t>
      </w:r>
      <w:r w:rsidR="003A192F">
        <w:t>9</w:t>
      </w:r>
      <w:r w:rsidR="000B5ED2" w:rsidRPr="00B0776C">
        <w:t>/2025</w:t>
      </w:r>
    </w:p>
    <w:p w14:paraId="2DB0E157" w14:textId="300A0A1C" w:rsidR="00B113B9" w:rsidRPr="00B0776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32AE04" w14:textId="77777777" w:rsidR="001A6D7A" w:rsidRPr="00B0776C" w:rsidRDefault="001A6D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0776C" w:rsidRDefault="007E232F" w:rsidP="00B13B6D">
      <w:pPr>
        <w:pStyle w:val="Style1"/>
      </w:pPr>
      <w:r w:rsidRPr="00B0776C">
        <w:t>10.</w:t>
      </w:r>
      <w:r w:rsidRPr="00B0776C">
        <w:tab/>
        <w:t>KLASIFIKACE VETERINÁRNÍCH LÉČIVÝCH PŘÍPRAVKŮ</w:t>
      </w:r>
    </w:p>
    <w:p w14:paraId="1F12B426" w14:textId="77777777" w:rsidR="0078538F" w:rsidRPr="00B0776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6EAAAA" w14:textId="045FDE0A" w:rsidR="000B5ED2" w:rsidRPr="00B0776C" w:rsidRDefault="000B5ED2" w:rsidP="0078538F">
      <w:pPr>
        <w:numPr>
          <w:ilvl w:val="12"/>
          <w:numId w:val="0"/>
        </w:numPr>
      </w:pPr>
      <w:bookmarkStart w:id="10" w:name="_Hlk204852387"/>
      <w:r w:rsidRPr="00B0776C">
        <w:t>Přípravek s indikačním omezením.</w:t>
      </w:r>
    </w:p>
    <w:bookmarkEnd w:id="10"/>
    <w:p w14:paraId="2682E5E4" w14:textId="77777777" w:rsidR="000B5ED2" w:rsidRPr="00B0776C" w:rsidRDefault="000B5ED2" w:rsidP="0078538F">
      <w:pPr>
        <w:numPr>
          <w:ilvl w:val="12"/>
          <w:numId w:val="0"/>
        </w:numPr>
      </w:pPr>
    </w:p>
    <w:p w14:paraId="2B95E980" w14:textId="4595FFCB" w:rsidR="0078538F" w:rsidRPr="00B0776C" w:rsidRDefault="007E232F" w:rsidP="0078538F">
      <w:pPr>
        <w:numPr>
          <w:ilvl w:val="12"/>
          <w:numId w:val="0"/>
        </w:numPr>
        <w:rPr>
          <w:szCs w:val="22"/>
        </w:rPr>
      </w:pPr>
      <w:r w:rsidRPr="00B0776C">
        <w:t>Veterinární léčivý přípravek je vydáván pouze na předpis.</w:t>
      </w:r>
    </w:p>
    <w:p w14:paraId="05E12133" w14:textId="77777777" w:rsidR="0078538F" w:rsidRPr="00B0776C" w:rsidRDefault="0078538F" w:rsidP="0078538F">
      <w:pPr>
        <w:ind w:right="-318"/>
        <w:rPr>
          <w:szCs w:val="22"/>
        </w:rPr>
      </w:pPr>
    </w:p>
    <w:p w14:paraId="3C90392F" w14:textId="2252C6B8" w:rsidR="000B5ED2" w:rsidRPr="00B0776C" w:rsidRDefault="007E232F" w:rsidP="005C4E23">
      <w:pPr>
        <w:ind w:right="-1"/>
        <w:rPr>
          <w:i/>
          <w:szCs w:val="22"/>
        </w:rPr>
      </w:pPr>
      <w:bookmarkStart w:id="11" w:name="_Hlk73467306"/>
      <w:r w:rsidRPr="00B0776C">
        <w:lastRenderedPageBreak/>
        <w:t xml:space="preserve">Podrobné informace o tomto veterinárním léčivém přípravku jsou k dispozici v databázi přípravků Unie </w:t>
      </w:r>
      <w:r w:rsidRPr="00B0776C">
        <w:rPr>
          <w:szCs w:val="22"/>
        </w:rPr>
        <w:t>(</w:t>
      </w:r>
      <w:hyperlink r:id="rId8" w:history="1">
        <w:r w:rsidR="0078538F" w:rsidRPr="00B0776C">
          <w:rPr>
            <w:rStyle w:val="Hypertextovodkaz"/>
            <w:szCs w:val="22"/>
          </w:rPr>
          <w:t>https://medicines.health.europa.eu/veterinary</w:t>
        </w:r>
      </w:hyperlink>
      <w:r w:rsidRPr="00B0776C">
        <w:rPr>
          <w:szCs w:val="22"/>
        </w:rPr>
        <w:t>)</w:t>
      </w:r>
      <w:r w:rsidRPr="00B0776C">
        <w:rPr>
          <w:i/>
          <w:szCs w:val="22"/>
        </w:rPr>
        <w:t>.</w:t>
      </w:r>
      <w:bookmarkEnd w:id="11"/>
    </w:p>
    <w:p w14:paraId="5C9E55F6" w14:textId="67E3C052" w:rsidR="000B5ED2" w:rsidRPr="00B0776C" w:rsidRDefault="000B5ED2" w:rsidP="005C4E23">
      <w:pPr>
        <w:ind w:right="-1"/>
        <w:rPr>
          <w:i/>
          <w:szCs w:val="22"/>
        </w:rPr>
      </w:pPr>
    </w:p>
    <w:p w14:paraId="452276DF" w14:textId="6BDC8245" w:rsidR="003A192F" w:rsidRDefault="000B5ED2" w:rsidP="005C4E23">
      <w:pPr>
        <w:ind w:right="-1"/>
        <w:rPr>
          <w:szCs w:val="22"/>
        </w:rPr>
      </w:pPr>
      <w:bookmarkStart w:id="12" w:name="_Hlk204852409"/>
      <w:r w:rsidRPr="00B0776C">
        <w:rPr>
          <w:szCs w:val="22"/>
        </w:rPr>
        <w:t>Podrobné informace o tomto veterinárním léčivém přípravku naleznete také v národní databázi (</w:t>
      </w:r>
      <w:hyperlink r:id="rId9" w:history="1">
        <w:r w:rsidR="003A192F" w:rsidRPr="00361CA8">
          <w:rPr>
            <w:rStyle w:val="Hypertextovodkaz"/>
            <w:szCs w:val="22"/>
          </w:rPr>
          <w:t>https://www.uskvbl.cz</w:t>
        </w:r>
      </w:hyperlink>
      <w:r w:rsidR="003A192F">
        <w:rPr>
          <w:szCs w:val="22"/>
        </w:rPr>
        <w:t>).</w:t>
      </w:r>
      <w:bookmarkStart w:id="13" w:name="_GoBack"/>
      <w:bookmarkEnd w:id="13"/>
    </w:p>
    <w:bookmarkEnd w:id="12"/>
    <w:p w14:paraId="2755F5EA" w14:textId="3F03DD80" w:rsidR="000B5ED2" w:rsidRPr="00B0776C" w:rsidRDefault="000B5ED2" w:rsidP="005C4E23">
      <w:pPr>
        <w:ind w:right="-1"/>
        <w:rPr>
          <w:szCs w:val="22"/>
        </w:rPr>
      </w:pPr>
    </w:p>
    <w:sectPr w:rsidR="000B5ED2" w:rsidRPr="00B0776C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B8488" w14:textId="77777777" w:rsidR="00A2017C" w:rsidRDefault="00A2017C">
      <w:pPr>
        <w:spacing w:line="240" w:lineRule="auto"/>
      </w:pPr>
      <w:r>
        <w:separator/>
      </w:r>
    </w:p>
  </w:endnote>
  <w:endnote w:type="continuationSeparator" w:id="0">
    <w:p w14:paraId="70D4AB6E" w14:textId="77777777" w:rsidR="00A2017C" w:rsidRDefault="00A20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7E23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7E23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E5A4A" w14:textId="77777777" w:rsidR="00A2017C" w:rsidRDefault="00A2017C">
      <w:pPr>
        <w:spacing w:line="240" w:lineRule="auto"/>
      </w:pPr>
      <w:r>
        <w:separator/>
      </w:r>
    </w:p>
  </w:footnote>
  <w:footnote w:type="continuationSeparator" w:id="0">
    <w:p w14:paraId="6949AA51" w14:textId="77777777" w:rsidR="00A2017C" w:rsidRDefault="00A201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926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22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B0D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6C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CE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44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EF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88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AD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17011D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0249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8B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A3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40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EB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26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8E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3D4577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4090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16E4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600A7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346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D0E82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C1ED9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B1006F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3451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B3EB68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54E90B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558EA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F6E9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22068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636161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9867A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60F8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17C47D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1DE9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8F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87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AB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28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6F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6A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81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CE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4405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ACE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A5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D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6D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0C2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4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C9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4E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D86BE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3EAD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A4E3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4803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A08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EC6E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205C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1008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EE39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57243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BA02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A8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A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63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C5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0C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7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8C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775B9"/>
    <w:multiLevelType w:val="hybridMultilevel"/>
    <w:tmpl w:val="2B2477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68A863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5723C0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8904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A5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80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AA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6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290F97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9FAD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88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08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5E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43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AE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143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CA1C460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E0A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2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80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EB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43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A4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2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2A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8DF8FEE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F05DF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CE97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96889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5C0D3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F1AD6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F80B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6E68A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32438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4A2A3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9C3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3A4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8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4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560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4F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D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FAD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229E5D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7FAE250" w:tentative="1">
      <w:start w:val="1"/>
      <w:numFmt w:val="lowerLetter"/>
      <w:lvlText w:val="%2."/>
      <w:lvlJc w:val="left"/>
      <w:pPr>
        <w:ind w:left="1440" w:hanging="360"/>
      </w:pPr>
    </w:lvl>
    <w:lvl w:ilvl="2" w:tplc="A66ABA2C" w:tentative="1">
      <w:start w:val="1"/>
      <w:numFmt w:val="lowerRoman"/>
      <w:lvlText w:val="%3."/>
      <w:lvlJc w:val="right"/>
      <w:pPr>
        <w:ind w:left="2160" w:hanging="180"/>
      </w:pPr>
    </w:lvl>
    <w:lvl w:ilvl="3" w:tplc="A056800A" w:tentative="1">
      <w:start w:val="1"/>
      <w:numFmt w:val="decimal"/>
      <w:lvlText w:val="%4."/>
      <w:lvlJc w:val="left"/>
      <w:pPr>
        <w:ind w:left="2880" w:hanging="360"/>
      </w:pPr>
    </w:lvl>
    <w:lvl w:ilvl="4" w:tplc="87345898" w:tentative="1">
      <w:start w:val="1"/>
      <w:numFmt w:val="lowerLetter"/>
      <w:lvlText w:val="%5."/>
      <w:lvlJc w:val="left"/>
      <w:pPr>
        <w:ind w:left="3600" w:hanging="360"/>
      </w:pPr>
    </w:lvl>
    <w:lvl w:ilvl="5" w:tplc="223CC500" w:tentative="1">
      <w:start w:val="1"/>
      <w:numFmt w:val="lowerRoman"/>
      <w:lvlText w:val="%6."/>
      <w:lvlJc w:val="right"/>
      <w:pPr>
        <w:ind w:left="4320" w:hanging="180"/>
      </w:pPr>
    </w:lvl>
    <w:lvl w:ilvl="6" w:tplc="4D7262E0" w:tentative="1">
      <w:start w:val="1"/>
      <w:numFmt w:val="decimal"/>
      <w:lvlText w:val="%7."/>
      <w:lvlJc w:val="left"/>
      <w:pPr>
        <w:ind w:left="5040" w:hanging="360"/>
      </w:pPr>
    </w:lvl>
    <w:lvl w:ilvl="7" w:tplc="8EB095BE" w:tentative="1">
      <w:start w:val="1"/>
      <w:numFmt w:val="lowerLetter"/>
      <w:lvlText w:val="%8."/>
      <w:lvlJc w:val="left"/>
      <w:pPr>
        <w:ind w:left="5760" w:hanging="360"/>
      </w:pPr>
    </w:lvl>
    <w:lvl w:ilvl="8" w:tplc="451E1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34ACE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1A09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02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85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A8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6A5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45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2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72E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F2CE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0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0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C7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85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E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65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C5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AF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EAAE1F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7AF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E3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23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4D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2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AD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D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EE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10FE3C0E">
      <w:start w:val="1"/>
      <w:numFmt w:val="decimal"/>
      <w:lvlText w:val="%1."/>
      <w:lvlJc w:val="left"/>
      <w:pPr>
        <w:ind w:left="720" w:hanging="360"/>
      </w:pPr>
    </w:lvl>
    <w:lvl w:ilvl="1" w:tplc="55D2CE2C" w:tentative="1">
      <w:start w:val="1"/>
      <w:numFmt w:val="lowerLetter"/>
      <w:lvlText w:val="%2."/>
      <w:lvlJc w:val="left"/>
      <w:pPr>
        <w:ind w:left="1440" w:hanging="360"/>
      </w:pPr>
    </w:lvl>
    <w:lvl w:ilvl="2" w:tplc="02802962" w:tentative="1">
      <w:start w:val="1"/>
      <w:numFmt w:val="lowerRoman"/>
      <w:lvlText w:val="%3."/>
      <w:lvlJc w:val="right"/>
      <w:pPr>
        <w:ind w:left="2160" w:hanging="180"/>
      </w:pPr>
    </w:lvl>
    <w:lvl w:ilvl="3" w:tplc="1E7832EC" w:tentative="1">
      <w:start w:val="1"/>
      <w:numFmt w:val="decimal"/>
      <w:lvlText w:val="%4."/>
      <w:lvlJc w:val="left"/>
      <w:pPr>
        <w:ind w:left="2880" w:hanging="360"/>
      </w:pPr>
    </w:lvl>
    <w:lvl w:ilvl="4" w:tplc="0E46DE68" w:tentative="1">
      <w:start w:val="1"/>
      <w:numFmt w:val="lowerLetter"/>
      <w:lvlText w:val="%5."/>
      <w:lvlJc w:val="left"/>
      <w:pPr>
        <w:ind w:left="3600" w:hanging="360"/>
      </w:pPr>
    </w:lvl>
    <w:lvl w:ilvl="5" w:tplc="D076E34C" w:tentative="1">
      <w:start w:val="1"/>
      <w:numFmt w:val="lowerRoman"/>
      <w:lvlText w:val="%6."/>
      <w:lvlJc w:val="right"/>
      <w:pPr>
        <w:ind w:left="4320" w:hanging="180"/>
      </w:pPr>
    </w:lvl>
    <w:lvl w:ilvl="6" w:tplc="7D967268" w:tentative="1">
      <w:start w:val="1"/>
      <w:numFmt w:val="decimal"/>
      <w:lvlText w:val="%7."/>
      <w:lvlJc w:val="left"/>
      <w:pPr>
        <w:ind w:left="5040" w:hanging="360"/>
      </w:pPr>
    </w:lvl>
    <w:lvl w:ilvl="7" w:tplc="974A8C3C" w:tentative="1">
      <w:start w:val="1"/>
      <w:numFmt w:val="lowerLetter"/>
      <w:lvlText w:val="%8."/>
      <w:lvlJc w:val="left"/>
      <w:pPr>
        <w:ind w:left="5760" w:hanging="360"/>
      </w:pPr>
    </w:lvl>
    <w:lvl w:ilvl="8" w:tplc="718EE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3BB035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9928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F42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2C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AD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082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8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3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72B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6A"/>
    <w:rsid w:val="00010ED4"/>
    <w:rsid w:val="00021B82"/>
    <w:rsid w:val="00024777"/>
    <w:rsid w:val="00024E21"/>
    <w:rsid w:val="00027100"/>
    <w:rsid w:val="00030AD8"/>
    <w:rsid w:val="000349AA"/>
    <w:rsid w:val="00036C50"/>
    <w:rsid w:val="00040E07"/>
    <w:rsid w:val="00051042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0D11"/>
    <w:rsid w:val="00092A37"/>
    <w:rsid w:val="000938A6"/>
    <w:rsid w:val="00096E78"/>
    <w:rsid w:val="00097C1E"/>
    <w:rsid w:val="000A1DF5"/>
    <w:rsid w:val="000B5ED2"/>
    <w:rsid w:val="000B7873"/>
    <w:rsid w:val="000C02A1"/>
    <w:rsid w:val="000C1D4F"/>
    <w:rsid w:val="000C30B9"/>
    <w:rsid w:val="000C3ED7"/>
    <w:rsid w:val="000C55E6"/>
    <w:rsid w:val="000C687A"/>
    <w:rsid w:val="000C74B8"/>
    <w:rsid w:val="000D67D0"/>
    <w:rsid w:val="000E115E"/>
    <w:rsid w:val="000E195C"/>
    <w:rsid w:val="000E3602"/>
    <w:rsid w:val="000E705A"/>
    <w:rsid w:val="000F38DA"/>
    <w:rsid w:val="000F5822"/>
    <w:rsid w:val="000F5999"/>
    <w:rsid w:val="000F796B"/>
    <w:rsid w:val="0010031E"/>
    <w:rsid w:val="001012EB"/>
    <w:rsid w:val="001078D1"/>
    <w:rsid w:val="00110062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C9B"/>
    <w:rsid w:val="001315C2"/>
    <w:rsid w:val="00131C93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3F4D"/>
    <w:rsid w:val="00160DB2"/>
    <w:rsid w:val="00164543"/>
    <w:rsid w:val="00164C48"/>
    <w:rsid w:val="00164D2A"/>
    <w:rsid w:val="0016500A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AE3"/>
    <w:rsid w:val="00193B14"/>
    <w:rsid w:val="00193E72"/>
    <w:rsid w:val="00195267"/>
    <w:rsid w:val="0019600B"/>
    <w:rsid w:val="00196424"/>
    <w:rsid w:val="0019686E"/>
    <w:rsid w:val="001A0E2C"/>
    <w:rsid w:val="001A1238"/>
    <w:rsid w:val="001A28C9"/>
    <w:rsid w:val="001A34BC"/>
    <w:rsid w:val="001A621E"/>
    <w:rsid w:val="001A6D7A"/>
    <w:rsid w:val="001B0151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626"/>
    <w:rsid w:val="001F6F38"/>
    <w:rsid w:val="00200EFE"/>
    <w:rsid w:val="0020126C"/>
    <w:rsid w:val="00202A85"/>
    <w:rsid w:val="00202EA3"/>
    <w:rsid w:val="00205A82"/>
    <w:rsid w:val="002100FC"/>
    <w:rsid w:val="00213890"/>
    <w:rsid w:val="00214644"/>
    <w:rsid w:val="00214E52"/>
    <w:rsid w:val="002207C0"/>
    <w:rsid w:val="0022380D"/>
    <w:rsid w:val="00223C5B"/>
    <w:rsid w:val="00224B93"/>
    <w:rsid w:val="00226630"/>
    <w:rsid w:val="0023676E"/>
    <w:rsid w:val="00236BBD"/>
    <w:rsid w:val="002414B6"/>
    <w:rsid w:val="00241BD6"/>
    <w:rsid w:val="00241C1C"/>
    <w:rsid w:val="002422EB"/>
    <w:rsid w:val="00242397"/>
    <w:rsid w:val="002446DC"/>
    <w:rsid w:val="00247A48"/>
    <w:rsid w:val="00250DD1"/>
    <w:rsid w:val="00251183"/>
    <w:rsid w:val="00251689"/>
    <w:rsid w:val="002520EA"/>
    <w:rsid w:val="0025267C"/>
    <w:rsid w:val="00253B6B"/>
    <w:rsid w:val="00256A03"/>
    <w:rsid w:val="0025748D"/>
    <w:rsid w:val="00265656"/>
    <w:rsid w:val="00265E77"/>
    <w:rsid w:val="00266155"/>
    <w:rsid w:val="002716F4"/>
    <w:rsid w:val="0027270B"/>
    <w:rsid w:val="00272952"/>
    <w:rsid w:val="00272B36"/>
    <w:rsid w:val="00274D17"/>
    <w:rsid w:val="002778D0"/>
    <w:rsid w:val="00282E7B"/>
    <w:rsid w:val="002838C8"/>
    <w:rsid w:val="00285B0E"/>
    <w:rsid w:val="00285BC8"/>
    <w:rsid w:val="00290805"/>
    <w:rsid w:val="0029098E"/>
    <w:rsid w:val="00290C2A"/>
    <w:rsid w:val="00291A80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4A2A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D3B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87483"/>
    <w:rsid w:val="003909E0"/>
    <w:rsid w:val="00391622"/>
    <w:rsid w:val="00391B09"/>
    <w:rsid w:val="00393E09"/>
    <w:rsid w:val="00395B15"/>
    <w:rsid w:val="00396026"/>
    <w:rsid w:val="003A192F"/>
    <w:rsid w:val="003A31B9"/>
    <w:rsid w:val="003A3E2F"/>
    <w:rsid w:val="003A6CCB"/>
    <w:rsid w:val="003B0F22"/>
    <w:rsid w:val="003B10C4"/>
    <w:rsid w:val="003B48EB"/>
    <w:rsid w:val="003B516B"/>
    <w:rsid w:val="003B5CD1"/>
    <w:rsid w:val="003B6228"/>
    <w:rsid w:val="003C33FF"/>
    <w:rsid w:val="003C3E0E"/>
    <w:rsid w:val="003C5920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12C"/>
    <w:rsid w:val="00406F33"/>
    <w:rsid w:val="00407C22"/>
    <w:rsid w:val="00412BBE"/>
    <w:rsid w:val="00414B20"/>
    <w:rsid w:val="0041628A"/>
    <w:rsid w:val="00417DE3"/>
    <w:rsid w:val="00420850"/>
    <w:rsid w:val="00423968"/>
    <w:rsid w:val="004248B9"/>
    <w:rsid w:val="00427054"/>
    <w:rsid w:val="004304B1"/>
    <w:rsid w:val="0043184A"/>
    <w:rsid w:val="00431E40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5621"/>
    <w:rsid w:val="00456ED0"/>
    <w:rsid w:val="00457550"/>
    <w:rsid w:val="00457B74"/>
    <w:rsid w:val="00460ADC"/>
    <w:rsid w:val="00461B2A"/>
    <w:rsid w:val="004620A4"/>
    <w:rsid w:val="00473BF9"/>
    <w:rsid w:val="00474C50"/>
    <w:rsid w:val="004768DB"/>
    <w:rsid w:val="004771F9"/>
    <w:rsid w:val="00485C37"/>
    <w:rsid w:val="00486006"/>
    <w:rsid w:val="0048603D"/>
    <w:rsid w:val="00486BAD"/>
    <w:rsid w:val="00486BBE"/>
    <w:rsid w:val="00487123"/>
    <w:rsid w:val="00495A75"/>
    <w:rsid w:val="00495CAE"/>
    <w:rsid w:val="0049641F"/>
    <w:rsid w:val="004978BB"/>
    <w:rsid w:val="004A005B"/>
    <w:rsid w:val="004A1BD5"/>
    <w:rsid w:val="004A61E1"/>
    <w:rsid w:val="004A62ED"/>
    <w:rsid w:val="004B1A75"/>
    <w:rsid w:val="004B21E2"/>
    <w:rsid w:val="004B2344"/>
    <w:rsid w:val="004B5797"/>
    <w:rsid w:val="004B5DDC"/>
    <w:rsid w:val="004B798E"/>
    <w:rsid w:val="004C0568"/>
    <w:rsid w:val="004C074F"/>
    <w:rsid w:val="004C2ABD"/>
    <w:rsid w:val="004C5F62"/>
    <w:rsid w:val="004C73F5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06E"/>
    <w:rsid w:val="004F4DB1"/>
    <w:rsid w:val="004F6F64"/>
    <w:rsid w:val="005004EC"/>
    <w:rsid w:val="00506AAE"/>
    <w:rsid w:val="00513E8D"/>
    <w:rsid w:val="00517756"/>
    <w:rsid w:val="00517F17"/>
    <w:rsid w:val="005202C6"/>
    <w:rsid w:val="00523C53"/>
    <w:rsid w:val="005272F4"/>
    <w:rsid w:val="00527B8F"/>
    <w:rsid w:val="00534635"/>
    <w:rsid w:val="00536031"/>
    <w:rsid w:val="0054134B"/>
    <w:rsid w:val="00542012"/>
    <w:rsid w:val="00543DF5"/>
    <w:rsid w:val="00544854"/>
    <w:rsid w:val="00545A61"/>
    <w:rsid w:val="0055260D"/>
    <w:rsid w:val="00554C27"/>
    <w:rsid w:val="00555422"/>
    <w:rsid w:val="00555810"/>
    <w:rsid w:val="00562715"/>
    <w:rsid w:val="00562DCA"/>
    <w:rsid w:val="005646FD"/>
    <w:rsid w:val="0056568F"/>
    <w:rsid w:val="0057436C"/>
    <w:rsid w:val="00575DE3"/>
    <w:rsid w:val="00580B08"/>
    <w:rsid w:val="00582578"/>
    <w:rsid w:val="00582B86"/>
    <w:rsid w:val="0058621D"/>
    <w:rsid w:val="00586904"/>
    <w:rsid w:val="00593AE1"/>
    <w:rsid w:val="005A362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C5DF0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F1E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250C9"/>
    <w:rsid w:val="006326D8"/>
    <w:rsid w:val="0063377D"/>
    <w:rsid w:val="006344BE"/>
    <w:rsid w:val="00634A66"/>
    <w:rsid w:val="00640336"/>
    <w:rsid w:val="00640FC9"/>
    <w:rsid w:val="006414D3"/>
    <w:rsid w:val="006432F2"/>
    <w:rsid w:val="006466F9"/>
    <w:rsid w:val="0065320F"/>
    <w:rsid w:val="00653D64"/>
    <w:rsid w:val="00654E13"/>
    <w:rsid w:val="00657C6A"/>
    <w:rsid w:val="00667489"/>
    <w:rsid w:val="00667A57"/>
    <w:rsid w:val="00670D44"/>
    <w:rsid w:val="00673F4C"/>
    <w:rsid w:val="00676AFC"/>
    <w:rsid w:val="006807CD"/>
    <w:rsid w:val="00681759"/>
    <w:rsid w:val="00682D43"/>
    <w:rsid w:val="006848CE"/>
    <w:rsid w:val="0068507D"/>
    <w:rsid w:val="00685BAF"/>
    <w:rsid w:val="00690463"/>
    <w:rsid w:val="00693DE5"/>
    <w:rsid w:val="006A0D03"/>
    <w:rsid w:val="006A13BB"/>
    <w:rsid w:val="006A41E9"/>
    <w:rsid w:val="006B0638"/>
    <w:rsid w:val="006B12CB"/>
    <w:rsid w:val="006B2030"/>
    <w:rsid w:val="006B5916"/>
    <w:rsid w:val="006C3C79"/>
    <w:rsid w:val="006C4775"/>
    <w:rsid w:val="006C4F4A"/>
    <w:rsid w:val="006C5E80"/>
    <w:rsid w:val="006C7803"/>
    <w:rsid w:val="006C7CEE"/>
    <w:rsid w:val="006D075E"/>
    <w:rsid w:val="006D09DC"/>
    <w:rsid w:val="006D24B8"/>
    <w:rsid w:val="006D3509"/>
    <w:rsid w:val="006D3AF7"/>
    <w:rsid w:val="006D7C6E"/>
    <w:rsid w:val="006E15A2"/>
    <w:rsid w:val="006E2F95"/>
    <w:rsid w:val="006E4F1B"/>
    <w:rsid w:val="006F05EA"/>
    <w:rsid w:val="006F148B"/>
    <w:rsid w:val="006F1BEE"/>
    <w:rsid w:val="00705EAF"/>
    <w:rsid w:val="0070773E"/>
    <w:rsid w:val="007101CC"/>
    <w:rsid w:val="00710C31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2F0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410E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32F"/>
    <w:rsid w:val="007E2F2D"/>
    <w:rsid w:val="007F1433"/>
    <w:rsid w:val="007F1491"/>
    <w:rsid w:val="007F16DD"/>
    <w:rsid w:val="007F2F03"/>
    <w:rsid w:val="007F42CE"/>
    <w:rsid w:val="007F73B0"/>
    <w:rsid w:val="008001D9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6271"/>
    <w:rsid w:val="00830FF3"/>
    <w:rsid w:val="008334BF"/>
    <w:rsid w:val="00836B8C"/>
    <w:rsid w:val="00840062"/>
    <w:rsid w:val="008410C5"/>
    <w:rsid w:val="00846C08"/>
    <w:rsid w:val="00850794"/>
    <w:rsid w:val="00852942"/>
    <w:rsid w:val="00852FF2"/>
    <w:rsid w:val="008530E7"/>
    <w:rsid w:val="00856BDB"/>
    <w:rsid w:val="00857675"/>
    <w:rsid w:val="00860EBA"/>
    <w:rsid w:val="0086112C"/>
    <w:rsid w:val="0086185D"/>
    <w:rsid w:val="00861F86"/>
    <w:rsid w:val="00862554"/>
    <w:rsid w:val="00863A6D"/>
    <w:rsid w:val="00866DBB"/>
    <w:rsid w:val="00867C0D"/>
    <w:rsid w:val="008727A6"/>
    <w:rsid w:val="00872C48"/>
    <w:rsid w:val="00874D4A"/>
    <w:rsid w:val="00875EC3"/>
    <w:rsid w:val="008763E7"/>
    <w:rsid w:val="008808C5"/>
    <w:rsid w:val="008808EB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B629D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3DD"/>
    <w:rsid w:val="008E45C4"/>
    <w:rsid w:val="008E64B1"/>
    <w:rsid w:val="008E64FA"/>
    <w:rsid w:val="008E74ED"/>
    <w:rsid w:val="008E7ED6"/>
    <w:rsid w:val="008F450A"/>
    <w:rsid w:val="008F4DEF"/>
    <w:rsid w:val="00902F3A"/>
    <w:rsid w:val="009035AA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6B74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D70"/>
    <w:rsid w:val="00966F1F"/>
    <w:rsid w:val="0096724E"/>
    <w:rsid w:val="00975676"/>
    <w:rsid w:val="00976467"/>
    <w:rsid w:val="00976D32"/>
    <w:rsid w:val="009844F7"/>
    <w:rsid w:val="00985ABC"/>
    <w:rsid w:val="009933F3"/>
    <w:rsid w:val="009938F7"/>
    <w:rsid w:val="00995A7D"/>
    <w:rsid w:val="009A05AA"/>
    <w:rsid w:val="009A2BF4"/>
    <w:rsid w:val="009A2D5A"/>
    <w:rsid w:val="009A6509"/>
    <w:rsid w:val="009A6D44"/>
    <w:rsid w:val="009A6E2F"/>
    <w:rsid w:val="009B2969"/>
    <w:rsid w:val="009B2C7E"/>
    <w:rsid w:val="009B6DBD"/>
    <w:rsid w:val="009C06CE"/>
    <w:rsid w:val="009C108A"/>
    <w:rsid w:val="009C2E47"/>
    <w:rsid w:val="009C6BFB"/>
    <w:rsid w:val="009D0C05"/>
    <w:rsid w:val="009D13FC"/>
    <w:rsid w:val="009E0FD3"/>
    <w:rsid w:val="009E24B7"/>
    <w:rsid w:val="009E2C00"/>
    <w:rsid w:val="009E49AD"/>
    <w:rsid w:val="009E4CC5"/>
    <w:rsid w:val="009E66FE"/>
    <w:rsid w:val="009E70F4"/>
    <w:rsid w:val="009E7151"/>
    <w:rsid w:val="009E72A3"/>
    <w:rsid w:val="009F1AD2"/>
    <w:rsid w:val="009F2211"/>
    <w:rsid w:val="009F5512"/>
    <w:rsid w:val="009F568A"/>
    <w:rsid w:val="00A00C78"/>
    <w:rsid w:val="00A0216D"/>
    <w:rsid w:val="00A0479E"/>
    <w:rsid w:val="00A07979"/>
    <w:rsid w:val="00A11755"/>
    <w:rsid w:val="00A127D5"/>
    <w:rsid w:val="00A12E35"/>
    <w:rsid w:val="00A16BAC"/>
    <w:rsid w:val="00A2017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4D74"/>
    <w:rsid w:val="00A66254"/>
    <w:rsid w:val="00A678B4"/>
    <w:rsid w:val="00A704A3"/>
    <w:rsid w:val="00A75E23"/>
    <w:rsid w:val="00A82AA0"/>
    <w:rsid w:val="00A82F8A"/>
    <w:rsid w:val="00A83863"/>
    <w:rsid w:val="00A84622"/>
    <w:rsid w:val="00A84BF0"/>
    <w:rsid w:val="00A9226B"/>
    <w:rsid w:val="00A9575C"/>
    <w:rsid w:val="00A95B56"/>
    <w:rsid w:val="00A95E81"/>
    <w:rsid w:val="00A969AF"/>
    <w:rsid w:val="00AA0180"/>
    <w:rsid w:val="00AA13F0"/>
    <w:rsid w:val="00AA308A"/>
    <w:rsid w:val="00AB0CCF"/>
    <w:rsid w:val="00AB1A2E"/>
    <w:rsid w:val="00AB328A"/>
    <w:rsid w:val="00AB4918"/>
    <w:rsid w:val="00AB4BC8"/>
    <w:rsid w:val="00AB5B95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6C"/>
    <w:rsid w:val="00B075D6"/>
    <w:rsid w:val="00B0776C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2A04"/>
    <w:rsid w:val="00B3499B"/>
    <w:rsid w:val="00B36E65"/>
    <w:rsid w:val="00B41D57"/>
    <w:rsid w:val="00B41F47"/>
    <w:rsid w:val="00B42693"/>
    <w:rsid w:val="00B44468"/>
    <w:rsid w:val="00B51422"/>
    <w:rsid w:val="00B60AC9"/>
    <w:rsid w:val="00B660D6"/>
    <w:rsid w:val="00B67323"/>
    <w:rsid w:val="00B707AA"/>
    <w:rsid w:val="00B715F2"/>
    <w:rsid w:val="00B74071"/>
    <w:rsid w:val="00B7428E"/>
    <w:rsid w:val="00B74B67"/>
    <w:rsid w:val="00B75580"/>
    <w:rsid w:val="00B779AA"/>
    <w:rsid w:val="00B8020B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1938"/>
    <w:rsid w:val="00BD2364"/>
    <w:rsid w:val="00BD28E3"/>
    <w:rsid w:val="00BD3AE3"/>
    <w:rsid w:val="00BD5DD3"/>
    <w:rsid w:val="00BE117E"/>
    <w:rsid w:val="00BE3261"/>
    <w:rsid w:val="00BE36E9"/>
    <w:rsid w:val="00BF00EF"/>
    <w:rsid w:val="00BF58FC"/>
    <w:rsid w:val="00C01F77"/>
    <w:rsid w:val="00C01FFC"/>
    <w:rsid w:val="00C04BB6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61B"/>
    <w:rsid w:val="00C32989"/>
    <w:rsid w:val="00C32BD1"/>
    <w:rsid w:val="00C341E6"/>
    <w:rsid w:val="00C34260"/>
    <w:rsid w:val="00C36883"/>
    <w:rsid w:val="00C40928"/>
    <w:rsid w:val="00C40CFF"/>
    <w:rsid w:val="00C421F0"/>
    <w:rsid w:val="00C42697"/>
    <w:rsid w:val="00C43F01"/>
    <w:rsid w:val="00C44BB9"/>
    <w:rsid w:val="00C4587E"/>
    <w:rsid w:val="00C47552"/>
    <w:rsid w:val="00C56F31"/>
    <w:rsid w:val="00C57A81"/>
    <w:rsid w:val="00C60193"/>
    <w:rsid w:val="00C634D4"/>
    <w:rsid w:val="00C63AA5"/>
    <w:rsid w:val="00C63C9B"/>
    <w:rsid w:val="00C65071"/>
    <w:rsid w:val="00C65FCC"/>
    <w:rsid w:val="00C6727C"/>
    <w:rsid w:val="00C6744C"/>
    <w:rsid w:val="00C73134"/>
    <w:rsid w:val="00C73F6D"/>
    <w:rsid w:val="00C74F6E"/>
    <w:rsid w:val="00C76931"/>
    <w:rsid w:val="00C77FA4"/>
    <w:rsid w:val="00C77FFA"/>
    <w:rsid w:val="00C80401"/>
    <w:rsid w:val="00C81C97"/>
    <w:rsid w:val="00C828CF"/>
    <w:rsid w:val="00C840C2"/>
    <w:rsid w:val="00C84101"/>
    <w:rsid w:val="00C8535F"/>
    <w:rsid w:val="00C857B1"/>
    <w:rsid w:val="00C90EDA"/>
    <w:rsid w:val="00C93804"/>
    <w:rsid w:val="00C959E7"/>
    <w:rsid w:val="00C97846"/>
    <w:rsid w:val="00CA28D8"/>
    <w:rsid w:val="00CC1044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1B34"/>
    <w:rsid w:val="00D028A9"/>
    <w:rsid w:val="00D0359D"/>
    <w:rsid w:val="00D04DED"/>
    <w:rsid w:val="00D1089A"/>
    <w:rsid w:val="00D116BD"/>
    <w:rsid w:val="00D16FE0"/>
    <w:rsid w:val="00D2001A"/>
    <w:rsid w:val="00D20684"/>
    <w:rsid w:val="00D22540"/>
    <w:rsid w:val="00D26B62"/>
    <w:rsid w:val="00D32624"/>
    <w:rsid w:val="00D33879"/>
    <w:rsid w:val="00D3585C"/>
    <w:rsid w:val="00D3691A"/>
    <w:rsid w:val="00D36DA1"/>
    <w:rsid w:val="00D377E2"/>
    <w:rsid w:val="00D403E9"/>
    <w:rsid w:val="00D42DCB"/>
    <w:rsid w:val="00D45482"/>
    <w:rsid w:val="00D46DF2"/>
    <w:rsid w:val="00D47674"/>
    <w:rsid w:val="00D47D0D"/>
    <w:rsid w:val="00D5338C"/>
    <w:rsid w:val="00D606B2"/>
    <w:rsid w:val="00D61104"/>
    <w:rsid w:val="00D625A7"/>
    <w:rsid w:val="00D63575"/>
    <w:rsid w:val="00D64074"/>
    <w:rsid w:val="00D65777"/>
    <w:rsid w:val="00D728A0"/>
    <w:rsid w:val="00D74018"/>
    <w:rsid w:val="00D83661"/>
    <w:rsid w:val="00D9216A"/>
    <w:rsid w:val="00D95908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2328"/>
    <w:rsid w:val="00EA60C5"/>
    <w:rsid w:val="00EB0E20"/>
    <w:rsid w:val="00EB1682"/>
    <w:rsid w:val="00EB1A80"/>
    <w:rsid w:val="00EB457B"/>
    <w:rsid w:val="00EC23AD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E7BCD"/>
    <w:rsid w:val="00EF2247"/>
    <w:rsid w:val="00EF3A8A"/>
    <w:rsid w:val="00F0054D"/>
    <w:rsid w:val="00F02467"/>
    <w:rsid w:val="00F03346"/>
    <w:rsid w:val="00F04D0E"/>
    <w:rsid w:val="00F10FF6"/>
    <w:rsid w:val="00F12214"/>
    <w:rsid w:val="00F12565"/>
    <w:rsid w:val="00F129C7"/>
    <w:rsid w:val="00F144BE"/>
    <w:rsid w:val="00F14ACA"/>
    <w:rsid w:val="00F170D9"/>
    <w:rsid w:val="00F17A0C"/>
    <w:rsid w:val="00F23927"/>
    <w:rsid w:val="00F25A9F"/>
    <w:rsid w:val="00F26644"/>
    <w:rsid w:val="00F26A05"/>
    <w:rsid w:val="00F307CE"/>
    <w:rsid w:val="00F322D3"/>
    <w:rsid w:val="00F343C8"/>
    <w:rsid w:val="00F345A8"/>
    <w:rsid w:val="00F354C5"/>
    <w:rsid w:val="00F37108"/>
    <w:rsid w:val="00F40449"/>
    <w:rsid w:val="00F415E3"/>
    <w:rsid w:val="00F424C0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208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227"/>
    <w:rsid w:val="00F94330"/>
    <w:rsid w:val="00F95A8C"/>
    <w:rsid w:val="00F9649E"/>
    <w:rsid w:val="00FA06FD"/>
    <w:rsid w:val="00FA515B"/>
    <w:rsid w:val="00FA6B90"/>
    <w:rsid w:val="00FA70F9"/>
    <w:rsid w:val="00FA74CB"/>
    <w:rsid w:val="00FB1F63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ABC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Char">
    <w:name w:val="Základní text Char"/>
    <w:link w:val="Zkladntext"/>
    <w:rsid w:val="005A3626"/>
    <w:rPr>
      <w:sz w:val="22"/>
      <w:lang w:eastAsia="en-US"/>
    </w:rPr>
  </w:style>
  <w:style w:type="character" w:styleId="Nevyeenzmnka">
    <w:name w:val="Unresolved Mention"/>
    <w:basedOn w:val="Standardnpsmoodstavce"/>
    <w:rsid w:val="000B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D550-1F48-4FFA-85BD-1D900A1D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1596</Words>
  <Characters>9423</Characters>
  <Application>Microsoft Office Word</Application>
  <DocSecurity>0</DocSecurity>
  <Lines>78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115</cp:revision>
  <cp:lastPrinted>2025-09-29T10:39:00Z</cp:lastPrinted>
  <dcterms:created xsi:type="dcterms:W3CDTF">2024-12-17T12:35:00Z</dcterms:created>
  <dcterms:modified xsi:type="dcterms:W3CDTF">2025-09-29T10:39:00Z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