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C67" w:rsidRPr="008C51BE" w:rsidRDefault="00DB7C67" w:rsidP="00DB7C67">
      <w:pPr>
        <w:rPr>
          <w:szCs w:val="22"/>
        </w:rPr>
      </w:pPr>
      <w:bookmarkStart w:id="0" w:name="_GoBack"/>
      <w:bookmarkEnd w:id="0"/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jc w:val="center"/>
        <w:rPr>
          <w:b/>
          <w:szCs w:val="22"/>
        </w:rPr>
      </w:pPr>
      <w:r w:rsidRPr="008C51BE">
        <w:rPr>
          <w:b/>
          <w:bCs/>
          <w:szCs w:val="22"/>
        </w:rPr>
        <w:t>PŘÍLOHA I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jc w:val="center"/>
        <w:rPr>
          <w:b/>
          <w:szCs w:val="22"/>
        </w:rPr>
      </w:pPr>
      <w:r w:rsidRPr="008C51BE">
        <w:rPr>
          <w:b/>
          <w:bCs/>
          <w:szCs w:val="22"/>
        </w:rPr>
        <w:t>SOUHRN ÚDAJŮ O PŘÍPRAVKU</w:t>
      </w:r>
    </w:p>
    <w:p w:rsidR="00DB7C67" w:rsidRPr="008C51BE" w:rsidRDefault="00DB7C67" w:rsidP="00DB7C67">
      <w:pPr>
        <w:rPr>
          <w:szCs w:val="22"/>
        </w:rPr>
      </w:pPr>
      <w:r w:rsidRPr="008C51BE">
        <w:rPr>
          <w:szCs w:val="22"/>
        </w:rPr>
        <w:br w:type="page"/>
      </w:r>
      <w:r w:rsidRPr="008C51BE">
        <w:rPr>
          <w:b/>
          <w:bCs/>
          <w:szCs w:val="22"/>
        </w:rPr>
        <w:lastRenderedPageBreak/>
        <w:t>1.</w:t>
      </w:r>
      <w:r w:rsidRPr="008C51BE">
        <w:rPr>
          <w:b/>
          <w:bCs/>
          <w:szCs w:val="22"/>
        </w:rPr>
        <w:tab/>
        <w:t>NÁZEV VETERINÁRNÍHO LÉČIVÉHO PŘÍPRAVKU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  <w:proofErr w:type="spellStart"/>
      <w:r w:rsidRPr="008C51BE">
        <w:rPr>
          <w:szCs w:val="22"/>
        </w:rPr>
        <w:t>Sensiblex</w:t>
      </w:r>
      <w:proofErr w:type="spellEnd"/>
      <w:r w:rsidRPr="008C51BE">
        <w:rPr>
          <w:szCs w:val="22"/>
        </w:rPr>
        <w:t xml:space="preserve"> 40 mg/ml injekční roztok pro skot 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r w:rsidRPr="008C51BE">
        <w:rPr>
          <w:b/>
          <w:bCs/>
        </w:rPr>
        <w:t>2.</w:t>
      </w:r>
      <w:r w:rsidRPr="008C51BE">
        <w:rPr>
          <w:b/>
          <w:bCs/>
        </w:rPr>
        <w:tab/>
        <w:t>KVALITATIVNÍ A KVANTITATIVNÍ SLOŽENÍ</w:t>
      </w:r>
    </w:p>
    <w:p w:rsidR="00DB7C67" w:rsidRPr="008C51BE" w:rsidRDefault="00DB7C67" w:rsidP="00DB7C67"/>
    <w:p w:rsidR="00DB7C67" w:rsidRDefault="00DB7C67" w:rsidP="00DB7C67">
      <w:r>
        <w:t>Každý</w:t>
      </w:r>
      <w:r w:rsidRPr="008C51BE">
        <w:t xml:space="preserve"> ml obsahuje:</w:t>
      </w:r>
    </w:p>
    <w:p w:rsidR="00DB7C67" w:rsidRPr="008C51BE" w:rsidRDefault="00DB7C67" w:rsidP="00DB7C67"/>
    <w:p w:rsidR="00DB7C67" w:rsidRPr="008C51BE" w:rsidRDefault="00DB7C67" w:rsidP="00DB7C67">
      <w:pPr>
        <w:rPr>
          <w:sz w:val="10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Léčivá látka:</w:t>
      </w:r>
    </w:p>
    <w:p w:rsidR="00DB7C67" w:rsidRPr="008C51BE" w:rsidRDefault="00DB7C67" w:rsidP="00DB7C67">
      <w:pPr>
        <w:rPr>
          <w:szCs w:val="22"/>
        </w:rPr>
      </w:pPr>
      <w:proofErr w:type="spellStart"/>
      <w:r w:rsidRPr="008C51BE">
        <w:rPr>
          <w:szCs w:val="22"/>
        </w:rPr>
        <w:t>Denaverini</w:t>
      </w:r>
      <w:proofErr w:type="spellEnd"/>
      <w:r w:rsidRPr="008C51BE">
        <w:rPr>
          <w:szCs w:val="22"/>
        </w:rPr>
        <w:t xml:space="preserve"> </w:t>
      </w:r>
      <w:proofErr w:type="spellStart"/>
      <w:r w:rsidRPr="008C51BE">
        <w:rPr>
          <w:szCs w:val="22"/>
        </w:rPr>
        <w:t>hydrochloridum</w:t>
      </w:r>
      <w:proofErr w:type="spellEnd"/>
      <w:r w:rsidRPr="008C51BE">
        <w:rPr>
          <w:szCs w:val="22"/>
        </w:rPr>
        <w:t xml:space="preserve"> </w:t>
      </w:r>
      <w:r w:rsidRPr="008C51BE">
        <w:rPr>
          <w:szCs w:val="22"/>
        </w:rPr>
        <w:tab/>
        <w:t xml:space="preserve">40,0 mg (odpovídá </w:t>
      </w:r>
      <w:proofErr w:type="spellStart"/>
      <w:r w:rsidRPr="008C51BE">
        <w:rPr>
          <w:szCs w:val="22"/>
        </w:rPr>
        <w:t>denaverinum</w:t>
      </w:r>
      <w:proofErr w:type="spellEnd"/>
      <w:r w:rsidRPr="008C51BE">
        <w:rPr>
          <w:szCs w:val="22"/>
        </w:rPr>
        <w:t xml:space="preserve"> 36,5 mg)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Pomocné látky:</w:t>
      </w:r>
    </w:p>
    <w:p w:rsidR="00DB7C67" w:rsidRPr="008C51BE" w:rsidRDefault="00DB7C67" w:rsidP="00DB7C67">
      <w:pPr>
        <w:rPr>
          <w:szCs w:val="22"/>
        </w:rPr>
      </w:pPr>
      <w:proofErr w:type="spellStart"/>
      <w:r w:rsidRPr="008C51BE">
        <w:rPr>
          <w:szCs w:val="22"/>
        </w:rPr>
        <w:t>Benzylalkohol</w:t>
      </w:r>
      <w:proofErr w:type="spellEnd"/>
      <w:r w:rsidRPr="008C51BE">
        <w:rPr>
          <w:szCs w:val="22"/>
        </w:rPr>
        <w:t xml:space="preserve"> (E1519)</w:t>
      </w:r>
      <w:r w:rsidRPr="008C51BE">
        <w:rPr>
          <w:szCs w:val="22"/>
        </w:rPr>
        <w:tab/>
      </w:r>
      <w:r w:rsidRPr="008C51BE">
        <w:rPr>
          <w:szCs w:val="22"/>
        </w:rPr>
        <w:tab/>
        <w:t>20,0 mg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  <w:r w:rsidRPr="008C51BE">
        <w:rPr>
          <w:szCs w:val="22"/>
        </w:rPr>
        <w:t>Úplný seznam pomocných látek viz bod 6.1.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  <w:r w:rsidRPr="008C51BE">
        <w:rPr>
          <w:b/>
          <w:bCs/>
          <w:szCs w:val="22"/>
        </w:rPr>
        <w:t>3.</w:t>
      </w:r>
      <w:r w:rsidRPr="008C51BE">
        <w:rPr>
          <w:b/>
          <w:bCs/>
          <w:szCs w:val="22"/>
        </w:rPr>
        <w:tab/>
        <w:t>LÉKOVÁ FORMA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  <w:r w:rsidRPr="008C51BE">
        <w:rPr>
          <w:szCs w:val="22"/>
        </w:rPr>
        <w:t>Injekční roztok</w:t>
      </w:r>
    </w:p>
    <w:p w:rsidR="00DB7C67" w:rsidRPr="008C51BE" w:rsidRDefault="00DB7C67" w:rsidP="00DB7C67">
      <w:pPr>
        <w:rPr>
          <w:szCs w:val="22"/>
        </w:rPr>
      </w:pPr>
      <w:r w:rsidRPr="008C51BE">
        <w:rPr>
          <w:szCs w:val="22"/>
        </w:rPr>
        <w:t>Čirý bezbarvý roztok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4.</w:t>
      </w:r>
      <w:r w:rsidRPr="008C51BE">
        <w:rPr>
          <w:b/>
          <w:bCs/>
          <w:szCs w:val="22"/>
        </w:rPr>
        <w:tab/>
        <w:t>KLINICKÉ ÚDAJE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4.1</w:t>
      </w:r>
      <w:r w:rsidRPr="008C51BE">
        <w:rPr>
          <w:b/>
          <w:bCs/>
          <w:szCs w:val="22"/>
        </w:rPr>
        <w:tab/>
        <w:t>Cílové druhy zvířat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  <w:r w:rsidRPr="008C51BE">
        <w:rPr>
          <w:szCs w:val="22"/>
        </w:rPr>
        <w:t>Skot (krávy, jalovice):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  <w:r w:rsidRPr="008C51BE">
        <w:rPr>
          <w:b/>
          <w:bCs/>
          <w:szCs w:val="22"/>
        </w:rPr>
        <w:t>4.2</w:t>
      </w:r>
      <w:r w:rsidRPr="008C51BE">
        <w:rPr>
          <w:b/>
          <w:bCs/>
          <w:szCs w:val="22"/>
        </w:rPr>
        <w:tab/>
        <w:t>Indikace s upřesněním pro cílový druh zvířat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pStyle w:val="Response"/>
        <w:rPr>
          <w:rFonts w:ascii="Times New Roman" w:hAnsi="Times New Roman" w:cs="Times New Roman"/>
          <w:bCs w:val="0"/>
          <w:color w:val="auto"/>
          <w:u w:val="single"/>
        </w:rPr>
      </w:pPr>
      <w:proofErr w:type="spellStart"/>
      <w:r w:rsidRPr="008C51BE">
        <w:rPr>
          <w:rFonts w:ascii="Times New Roman" w:hAnsi="Times New Roman" w:cs="Times New Roman"/>
          <w:bCs w:val="0"/>
          <w:color w:val="auto"/>
          <w:u w:val="single"/>
        </w:rPr>
        <w:t>Krávy</w:t>
      </w:r>
      <w:proofErr w:type="spellEnd"/>
      <w:r w:rsidRPr="008C51BE">
        <w:rPr>
          <w:rFonts w:ascii="Times New Roman" w:hAnsi="Times New Roman" w:cs="Times New Roman"/>
          <w:bCs w:val="0"/>
          <w:color w:val="auto"/>
          <w:u w:val="single"/>
        </w:rPr>
        <w:t xml:space="preserve">, </w:t>
      </w:r>
      <w:proofErr w:type="spellStart"/>
      <w:r w:rsidRPr="008C51BE">
        <w:rPr>
          <w:rFonts w:ascii="Times New Roman" w:hAnsi="Times New Roman" w:cs="Times New Roman"/>
          <w:bCs w:val="0"/>
          <w:color w:val="auto"/>
          <w:u w:val="single"/>
        </w:rPr>
        <w:t>jalovice</w:t>
      </w:r>
      <w:proofErr w:type="spellEnd"/>
      <w:r w:rsidRPr="008C51BE">
        <w:rPr>
          <w:rFonts w:ascii="Times New Roman" w:hAnsi="Times New Roman" w:cs="Times New Roman"/>
          <w:bCs w:val="0"/>
          <w:color w:val="auto"/>
          <w:u w:val="single"/>
        </w:rPr>
        <w:t>:</w:t>
      </w:r>
    </w:p>
    <w:p w:rsidR="00DB7C67" w:rsidRPr="008C51BE" w:rsidRDefault="00DB7C67" w:rsidP="00DB7C67">
      <w:pPr>
        <w:pStyle w:val="Odstavecseseznamem"/>
        <w:numPr>
          <w:ilvl w:val="0"/>
          <w:numId w:val="39"/>
        </w:numPr>
        <w:spacing w:after="120"/>
        <w:ind w:left="426" w:hanging="357"/>
        <w:jc w:val="both"/>
        <w:rPr>
          <w:rFonts w:ascii="Times New Roman" w:eastAsia="Times New Roman" w:hAnsi="Times New Roman" w:cs="Times New Roman"/>
          <w:lang w:val="cs-CZ"/>
        </w:rPr>
      </w:pPr>
      <w:r w:rsidRPr="008C51BE">
        <w:rPr>
          <w:rFonts w:ascii="Times New Roman" w:eastAsia="Times New Roman" w:hAnsi="Times New Roman" w:cs="Times New Roman"/>
          <w:lang w:val="cs-CZ"/>
        </w:rPr>
        <w:t>Podpora dilatace měkkých tkání porodní</w:t>
      </w:r>
      <w:r>
        <w:rPr>
          <w:rFonts w:ascii="Times New Roman" w:eastAsia="Times New Roman" w:hAnsi="Times New Roman" w:cs="Times New Roman"/>
          <w:lang w:val="cs-CZ"/>
        </w:rPr>
        <w:t>c</w:t>
      </w:r>
      <w:r w:rsidRPr="008C51BE">
        <w:rPr>
          <w:rFonts w:ascii="Times New Roman" w:eastAsia="Times New Roman" w:hAnsi="Times New Roman" w:cs="Times New Roman"/>
          <w:lang w:val="cs-CZ"/>
        </w:rPr>
        <w:t xml:space="preserve">h </w:t>
      </w:r>
      <w:r>
        <w:rPr>
          <w:rFonts w:ascii="Times New Roman" w:eastAsia="Times New Roman" w:hAnsi="Times New Roman" w:cs="Times New Roman"/>
          <w:lang w:val="cs-CZ"/>
        </w:rPr>
        <w:t xml:space="preserve">cest </w:t>
      </w:r>
      <w:r w:rsidRPr="008C51BE">
        <w:rPr>
          <w:rFonts w:ascii="Times New Roman" w:eastAsia="Times New Roman" w:hAnsi="Times New Roman" w:cs="Times New Roman"/>
          <w:lang w:val="cs-CZ"/>
        </w:rPr>
        <w:t>v případech, kdy j</w:t>
      </w:r>
      <w:r>
        <w:rPr>
          <w:rFonts w:ascii="Times New Roman" w:eastAsia="Times New Roman" w:hAnsi="Times New Roman" w:cs="Times New Roman"/>
          <w:lang w:val="cs-CZ"/>
        </w:rPr>
        <w:t>sou</w:t>
      </w:r>
      <w:r w:rsidRPr="008C51BE">
        <w:rPr>
          <w:rFonts w:ascii="Times New Roman" w:eastAsia="Times New Roman" w:hAnsi="Times New Roman" w:cs="Times New Roman"/>
          <w:lang w:val="cs-CZ"/>
        </w:rPr>
        <w:t xml:space="preserve"> porodní </w:t>
      </w:r>
      <w:r>
        <w:rPr>
          <w:rFonts w:ascii="Times New Roman" w:eastAsia="Times New Roman" w:hAnsi="Times New Roman" w:cs="Times New Roman"/>
          <w:lang w:val="cs-CZ"/>
        </w:rPr>
        <w:t>cesty</w:t>
      </w:r>
      <w:r w:rsidRPr="008C51BE">
        <w:rPr>
          <w:rFonts w:ascii="Times New Roman" w:eastAsia="Times New Roman" w:hAnsi="Times New Roman" w:cs="Times New Roman"/>
          <w:lang w:val="cs-CZ"/>
        </w:rPr>
        <w:t xml:space="preserve"> nedostatečně otevřen</w:t>
      </w:r>
      <w:r>
        <w:rPr>
          <w:rFonts w:ascii="Times New Roman" w:eastAsia="Times New Roman" w:hAnsi="Times New Roman" w:cs="Times New Roman"/>
          <w:lang w:val="cs-CZ"/>
        </w:rPr>
        <w:t>y</w:t>
      </w:r>
      <w:r w:rsidRPr="008C51BE">
        <w:rPr>
          <w:rFonts w:ascii="Times New Roman" w:eastAsia="Times New Roman" w:hAnsi="Times New Roman" w:cs="Times New Roman"/>
          <w:lang w:val="cs-CZ"/>
        </w:rPr>
        <w:t>.</w:t>
      </w:r>
    </w:p>
    <w:p w:rsidR="00DB7C67" w:rsidRPr="008C51BE" w:rsidRDefault="00DB7C67" w:rsidP="00DB7C67">
      <w:pPr>
        <w:pStyle w:val="Odstavecseseznamem"/>
        <w:numPr>
          <w:ilvl w:val="0"/>
          <w:numId w:val="39"/>
        </w:numPr>
        <w:spacing w:after="120"/>
        <w:ind w:left="426" w:hanging="357"/>
        <w:jc w:val="both"/>
        <w:rPr>
          <w:rFonts w:ascii="Times New Roman" w:eastAsia="Times New Roman" w:hAnsi="Times New Roman" w:cs="Times New Roman"/>
          <w:lang w:val="cs-CZ"/>
        </w:rPr>
      </w:pPr>
      <w:r w:rsidRPr="008C51BE">
        <w:rPr>
          <w:rFonts w:ascii="Times New Roman" w:eastAsia="Times New Roman" w:hAnsi="Times New Roman" w:cs="Times New Roman"/>
          <w:lang w:val="cs-CZ"/>
        </w:rPr>
        <w:t>Regulace kontrakce dělohy</w:t>
      </w:r>
      <w:r>
        <w:rPr>
          <w:rFonts w:ascii="Times New Roman" w:eastAsia="Times New Roman" w:hAnsi="Times New Roman" w:cs="Times New Roman"/>
          <w:lang w:val="cs-CZ"/>
        </w:rPr>
        <w:t xml:space="preserve"> během porodu</w:t>
      </w:r>
      <w:r w:rsidRPr="008C51BE">
        <w:rPr>
          <w:rFonts w:ascii="Times New Roman" w:eastAsia="Times New Roman" w:hAnsi="Times New Roman" w:cs="Times New Roman"/>
          <w:lang w:val="cs-CZ"/>
        </w:rPr>
        <w:t xml:space="preserve"> u zvířat s hypertonickými svalovými stahy dělohy.</w:t>
      </w:r>
    </w:p>
    <w:p w:rsidR="00DB7C67" w:rsidRPr="008C51BE" w:rsidRDefault="00DB7C67" w:rsidP="00DB7C67">
      <w:pPr>
        <w:pStyle w:val="Odstavecseseznamem"/>
        <w:ind w:left="68"/>
        <w:jc w:val="both"/>
        <w:rPr>
          <w:rFonts w:ascii="Times New Roman" w:eastAsia="Times New Roman" w:hAnsi="Times New Roman" w:cs="Times New Roman"/>
          <w:u w:val="single"/>
          <w:lang w:val="cs-CZ"/>
        </w:rPr>
      </w:pPr>
      <w:r w:rsidRPr="008C51BE">
        <w:rPr>
          <w:rFonts w:ascii="Times New Roman" w:eastAsia="Times New Roman" w:hAnsi="Times New Roman" w:cs="Times New Roman"/>
          <w:u w:val="single"/>
          <w:lang w:val="cs-CZ"/>
        </w:rPr>
        <w:t>Jalovice:</w:t>
      </w:r>
    </w:p>
    <w:p w:rsidR="00DB7C67" w:rsidRPr="008C51BE" w:rsidRDefault="00DB7C67" w:rsidP="00DB7C67">
      <w:pPr>
        <w:pStyle w:val="Odstavecseseznamem"/>
        <w:numPr>
          <w:ilvl w:val="0"/>
          <w:numId w:val="39"/>
        </w:numPr>
        <w:ind w:left="425" w:hanging="357"/>
        <w:jc w:val="both"/>
        <w:rPr>
          <w:rFonts w:ascii="Times New Roman" w:eastAsia="Times New Roman" w:hAnsi="Times New Roman" w:cs="Times New Roman"/>
          <w:lang w:val="cs-CZ"/>
        </w:rPr>
      </w:pPr>
      <w:r w:rsidRPr="008C51BE">
        <w:rPr>
          <w:rFonts w:ascii="Times New Roman" w:eastAsia="Times New Roman" w:hAnsi="Times New Roman" w:cs="Times New Roman"/>
          <w:lang w:val="cs-CZ"/>
        </w:rPr>
        <w:t>Podpora dilatace měkkých tkání porodní</w:t>
      </w:r>
      <w:r>
        <w:rPr>
          <w:rFonts w:ascii="Times New Roman" w:eastAsia="Times New Roman" w:hAnsi="Times New Roman" w:cs="Times New Roman"/>
          <w:lang w:val="cs-CZ"/>
        </w:rPr>
        <w:t>c</w:t>
      </w:r>
      <w:r w:rsidRPr="008C51BE">
        <w:rPr>
          <w:rFonts w:ascii="Times New Roman" w:eastAsia="Times New Roman" w:hAnsi="Times New Roman" w:cs="Times New Roman"/>
          <w:lang w:val="cs-CZ"/>
        </w:rPr>
        <w:t xml:space="preserve">h </w:t>
      </w:r>
      <w:r>
        <w:rPr>
          <w:rFonts w:ascii="Times New Roman" w:eastAsia="Times New Roman" w:hAnsi="Times New Roman" w:cs="Times New Roman"/>
          <w:lang w:val="cs-CZ"/>
        </w:rPr>
        <w:t>cest</w:t>
      </w:r>
      <w:r w:rsidRPr="008C51BE">
        <w:rPr>
          <w:rFonts w:ascii="Times New Roman" w:eastAsia="Times New Roman" w:hAnsi="Times New Roman" w:cs="Times New Roman"/>
          <w:lang w:val="cs-CZ"/>
        </w:rPr>
        <w:t xml:space="preserve"> pro usnadnění porodu. </w:t>
      </w:r>
    </w:p>
    <w:p w:rsidR="00DB7C67" w:rsidRPr="008C51BE" w:rsidRDefault="00DB7C67" w:rsidP="00DB7C67">
      <w:pPr>
        <w:rPr>
          <w:szCs w:val="22"/>
        </w:rPr>
      </w:pPr>
    </w:p>
    <w:p w:rsidR="00DB7C67" w:rsidRDefault="00DB7C67" w:rsidP="00DB7C67">
      <w:pPr>
        <w:rPr>
          <w:b/>
          <w:bCs/>
          <w:szCs w:val="22"/>
        </w:rPr>
      </w:pPr>
      <w:r w:rsidRPr="008C51BE">
        <w:rPr>
          <w:b/>
          <w:bCs/>
          <w:szCs w:val="22"/>
        </w:rPr>
        <w:t>4.3</w:t>
      </w:r>
      <w:r w:rsidRPr="008C51BE">
        <w:rPr>
          <w:b/>
          <w:bCs/>
          <w:szCs w:val="22"/>
        </w:rPr>
        <w:tab/>
        <w:t>Kontraindikace</w:t>
      </w:r>
    </w:p>
    <w:p w:rsidR="00DB7C67" w:rsidRPr="008C51BE" w:rsidRDefault="00DB7C67" w:rsidP="00DB7C67">
      <w:pPr>
        <w:rPr>
          <w:b/>
          <w:szCs w:val="22"/>
        </w:rPr>
      </w:pPr>
    </w:p>
    <w:p w:rsidR="00DB7C67" w:rsidRPr="008C51BE" w:rsidRDefault="00DB7C67" w:rsidP="00DB7C67">
      <w:pPr>
        <w:rPr>
          <w:szCs w:val="22"/>
        </w:rPr>
      </w:pPr>
      <w:r>
        <w:rPr>
          <w:szCs w:val="22"/>
        </w:rPr>
        <w:t xml:space="preserve">Nepoužívat </w:t>
      </w:r>
      <w:r w:rsidRPr="008C51BE">
        <w:rPr>
          <w:szCs w:val="22"/>
        </w:rPr>
        <w:t xml:space="preserve">v případě mechanických překážek porodu. </w:t>
      </w:r>
    </w:p>
    <w:p w:rsidR="00DB7C67" w:rsidRPr="008C51BE" w:rsidRDefault="00DB7C67" w:rsidP="00DB7C67">
      <w:pPr>
        <w:rPr>
          <w:szCs w:val="22"/>
        </w:rPr>
      </w:pPr>
      <w:r w:rsidRPr="008C51BE">
        <w:rPr>
          <w:szCs w:val="22"/>
        </w:rPr>
        <w:t>Nepoužívat v případě přecitlivělosti na léčivou látku, nebo na některou z pomocných látek.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4.4</w:t>
      </w:r>
      <w:r w:rsidRPr="008C51BE">
        <w:rPr>
          <w:b/>
          <w:bCs/>
          <w:szCs w:val="22"/>
        </w:rPr>
        <w:tab/>
        <w:t>Zvláštní upozornění pro každý cílový druh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jc w:val="both"/>
      </w:pPr>
      <w:r w:rsidRPr="008C51BE">
        <w:t>Přípravek je neúčinný, pokud do děložního hrdla</w:t>
      </w:r>
      <w:r>
        <w:t xml:space="preserve"> ještě </w:t>
      </w:r>
      <w:r w:rsidRPr="008C51BE">
        <w:t xml:space="preserve">nevstoupila žádná část plodu, a pokud nezačaly </w:t>
      </w:r>
      <w:r>
        <w:t>stahy svalů břišní stěny</w:t>
      </w:r>
      <w:r w:rsidRPr="008C51BE">
        <w:t xml:space="preserve">. </w:t>
      </w:r>
    </w:p>
    <w:p w:rsidR="00DB7C67" w:rsidRDefault="00DB7C67" w:rsidP="00DB7C67">
      <w:pPr>
        <w:jc w:val="both"/>
      </w:pPr>
      <w:r w:rsidRPr="008C51BE">
        <w:t>Před podáním přípravku je důležité zajistit, že neexistují žádné mechanické překážky (např. nadměrná velikost plodu</w:t>
      </w:r>
      <w:bookmarkStart w:id="1" w:name="_Hlk102471251"/>
      <w:r w:rsidRPr="006C182E">
        <w:t xml:space="preserve">, </w:t>
      </w:r>
      <w:bookmarkEnd w:id="1"/>
      <w:r>
        <w:t>nepravidelná poloha plodu, torze dělohy</w:t>
      </w:r>
      <w:r w:rsidRPr="008C51BE">
        <w:t>). Překážky musí být odstraněny před podáním přípravku (např. korekce nepravidelné polohy plodu nebo děložní torze).</w:t>
      </w:r>
    </w:p>
    <w:p w:rsidR="00DB7C67" w:rsidRDefault="00DB7C67" w:rsidP="00DB7C67">
      <w:pPr>
        <w:jc w:val="both"/>
      </w:pPr>
      <w:r>
        <w:t xml:space="preserve">Příznaky </w:t>
      </w:r>
      <w:proofErr w:type="spellStart"/>
      <w:r>
        <w:t>peripartální</w:t>
      </w:r>
      <w:proofErr w:type="spellEnd"/>
      <w:r>
        <w:t xml:space="preserve"> nerovnováhy elektrolytů (zvláště iontů vápníku a fosforu), stejně jako známky metabolické poruchy (např. ketózy), které by mohly být příčinou slabých porodních stahů a následného nedostatečného rozšíření měkkých porodních cest, vyžadují zvláštní pozornost a podpůrná opatření.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lastRenderedPageBreak/>
        <w:t>4.5</w:t>
      </w:r>
      <w:r w:rsidRPr="008C51BE">
        <w:rPr>
          <w:b/>
          <w:bCs/>
          <w:szCs w:val="22"/>
        </w:rPr>
        <w:tab/>
        <w:t>Zvláštní opatření pro použití</w:t>
      </w:r>
    </w:p>
    <w:p w:rsidR="00DB7C67" w:rsidRPr="008C51BE" w:rsidRDefault="00DB7C67" w:rsidP="00DB7C67">
      <w:pPr>
        <w:rPr>
          <w:b/>
          <w:szCs w:val="22"/>
        </w:rPr>
      </w:pPr>
    </w:p>
    <w:p w:rsidR="00DB7C67" w:rsidRPr="008C51BE" w:rsidRDefault="00DB7C67" w:rsidP="00DB7C67">
      <w:pPr>
        <w:rPr>
          <w:szCs w:val="22"/>
          <w:u w:val="single"/>
        </w:rPr>
      </w:pPr>
      <w:r w:rsidRPr="008C51BE">
        <w:rPr>
          <w:szCs w:val="22"/>
          <w:u w:val="single"/>
        </w:rPr>
        <w:t>Zvláštní opatření pro použití u zvířat</w:t>
      </w:r>
    </w:p>
    <w:p w:rsidR="00DB7C67" w:rsidRPr="008C51BE" w:rsidRDefault="00DB7C67" w:rsidP="00DB7C67">
      <w:pPr>
        <w:rPr>
          <w:bCs/>
          <w:szCs w:val="22"/>
        </w:rPr>
      </w:pPr>
      <w:r w:rsidRPr="008C51BE">
        <w:rPr>
          <w:szCs w:val="22"/>
        </w:rPr>
        <w:t>Neuplatňuje se.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keepNext/>
        <w:rPr>
          <w:szCs w:val="22"/>
          <w:u w:val="single"/>
        </w:rPr>
      </w:pPr>
      <w:r w:rsidRPr="008C51BE">
        <w:rPr>
          <w:szCs w:val="22"/>
          <w:u w:val="single"/>
        </w:rPr>
        <w:t>Zvláštní opatření určené osobám, které podávají veterinární léčivý přípravek zvířatům</w:t>
      </w:r>
    </w:p>
    <w:p w:rsidR="00DB7C67" w:rsidRPr="008C51BE" w:rsidRDefault="00DB7C67" w:rsidP="00DB7C67">
      <w:pPr>
        <w:jc w:val="both"/>
      </w:pPr>
      <w:r w:rsidRPr="008C51BE">
        <w:t>Přípravek může ovlivnit děložní svalovinu. Proto by těhotné ženy a ženy, které se pokoušejí otěhotnět, neměly s přípravkem manipulovat nebo ho podávat.</w:t>
      </w:r>
    </w:p>
    <w:p w:rsidR="00DB7C67" w:rsidRPr="008C51BE" w:rsidRDefault="00DB7C67" w:rsidP="00DB7C67">
      <w:pPr>
        <w:pStyle w:val="Odstavecseseznamem"/>
        <w:ind w:left="0"/>
        <w:jc w:val="both"/>
        <w:rPr>
          <w:rFonts w:ascii="Times New Roman" w:eastAsia="Times New Roman" w:hAnsi="Times New Roman" w:cs="Times New Roman"/>
          <w:lang w:val="cs-CZ"/>
        </w:rPr>
      </w:pPr>
      <w:r>
        <w:rPr>
          <w:rFonts w:ascii="Times New Roman" w:eastAsia="Times New Roman" w:hAnsi="Times New Roman" w:cs="Times New Roman"/>
          <w:lang w:val="cs-CZ"/>
        </w:rPr>
        <w:t xml:space="preserve">Zabraňte náhodnému </w:t>
      </w:r>
      <w:proofErr w:type="spellStart"/>
      <w:r>
        <w:rPr>
          <w:rFonts w:ascii="Times New Roman" w:eastAsia="Times New Roman" w:hAnsi="Times New Roman" w:cs="Times New Roman"/>
          <w:lang w:val="cs-CZ"/>
        </w:rPr>
        <w:t>samopodání</w:t>
      </w:r>
      <w:proofErr w:type="spellEnd"/>
      <w:r>
        <w:rPr>
          <w:rFonts w:ascii="Times New Roman" w:eastAsia="Times New Roman" w:hAnsi="Times New Roman" w:cs="Times New Roman"/>
          <w:lang w:val="cs-CZ"/>
        </w:rPr>
        <w:t xml:space="preserve"> injekce při p</w:t>
      </w:r>
      <w:r w:rsidRPr="008C51BE">
        <w:rPr>
          <w:rFonts w:ascii="Times New Roman" w:eastAsia="Times New Roman" w:hAnsi="Times New Roman" w:cs="Times New Roman"/>
          <w:lang w:val="cs-CZ"/>
        </w:rPr>
        <w:t xml:space="preserve">odávání </w:t>
      </w:r>
      <w:r>
        <w:rPr>
          <w:rFonts w:ascii="Times New Roman" w:eastAsia="Times New Roman" w:hAnsi="Times New Roman" w:cs="Times New Roman"/>
          <w:lang w:val="cs-CZ"/>
        </w:rPr>
        <w:t xml:space="preserve">přípravku. </w:t>
      </w:r>
    </w:p>
    <w:p w:rsidR="00DB7C67" w:rsidRPr="008C51BE" w:rsidRDefault="00DB7C67" w:rsidP="00DB7C67">
      <w:pPr>
        <w:pStyle w:val="Odstavecseseznamem"/>
        <w:ind w:left="0"/>
        <w:jc w:val="both"/>
        <w:rPr>
          <w:rFonts w:ascii="Times New Roman" w:eastAsia="Times New Roman" w:hAnsi="Times New Roman" w:cs="Times New Roman"/>
          <w:lang w:val="cs-CZ"/>
        </w:rPr>
      </w:pPr>
      <w:r w:rsidRPr="008C51BE">
        <w:rPr>
          <w:rFonts w:ascii="Times New Roman" w:eastAsia="Times New Roman" w:hAnsi="Times New Roman" w:cs="Times New Roman"/>
          <w:lang w:val="cs-CZ"/>
        </w:rPr>
        <w:t>V případě náhodného sebepoškození injekčně aplikovaným přípravkem vyhledejte ihned lékařskou pomoc a ukažte příbalovou informaci nebo etiketu praktickému lékaři</w:t>
      </w:r>
      <w:r w:rsidRPr="008C51BE">
        <w:rPr>
          <w:lang w:val="cs-CZ"/>
        </w:rPr>
        <w:t>.</w:t>
      </w:r>
    </w:p>
    <w:p w:rsidR="00DB7C67" w:rsidRPr="008C51BE" w:rsidRDefault="00DB7C67" w:rsidP="00DB7C67">
      <w:pPr>
        <w:pStyle w:val="Odstavecseseznamem"/>
        <w:ind w:left="0"/>
        <w:jc w:val="both"/>
        <w:rPr>
          <w:rFonts w:ascii="Times New Roman" w:eastAsia="Times New Roman" w:hAnsi="Times New Roman" w:cs="Times New Roman"/>
          <w:lang w:val="cs-CZ"/>
        </w:rPr>
      </w:pPr>
      <w:r w:rsidRPr="008C51BE">
        <w:rPr>
          <w:rFonts w:ascii="Times New Roman" w:eastAsia="Times New Roman" w:hAnsi="Times New Roman" w:cs="Times New Roman"/>
          <w:lang w:val="cs-CZ"/>
        </w:rPr>
        <w:t>V případě náhodného potřísnění kůže nebo vniknutí do očí důkladně opláchn</w:t>
      </w:r>
      <w:r>
        <w:rPr>
          <w:rFonts w:ascii="Times New Roman" w:eastAsia="Times New Roman" w:hAnsi="Times New Roman" w:cs="Times New Roman"/>
          <w:lang w:val="cs-CZ"/>
        </w:rPr>
        <w:t>ěte</w:t>
      </w:r>
      <w:r w:rsidRPr="008C51BE">
        <w:rPr>
          <w:rFonts w:ascii="Times New Roman" w:eastAsia="Times New Roman" w:hAnsi="Times New Roman" w:cs="Times New Roman"/>
          <w:lang w:val="cs-CZ"/>
        </w:rPr>
        <w:t xml:space="preserve"> vodou.</w:t>
      </w:r>
    </w:p>
    <w:p w:rsidR="00DB7C67" w:rsidRPr="008C51BE" w:rsidRDefault="00DB7C67" w:rsidP="00DB7C67">
      <w:pPr>
        <w:pStyle w:val="Odstavecseseznamem"/>
        <w:ind w:left="0"/>
        <w:jc w:val="both"/>
        <w:rPr>
          <w:rFonts w:ascii="Times New Roman" w:eastAsia="Times New Roman" w:hAnsi="Times New Roman" w:cs="Times New Roman"/>
          <w:lang w:val="cs-CZ"/>
        </w:rPr>
      </w:pPr>
      <w:r w:rsidRPr="008C51BE">
        <w:rPr>
          <w:rFonts w:ascii="Times New Roman" w:eastAsia="Times New Roman" w:hAnsi="Times New Roman" w:cs="Times New Roman"/>
          <w:lang w:val="cs-CZ"/>
        </w:rPr>
        <w:t xml:space="preserve">Lidé se známou přecitlivělostí na </w:t>
      </w:r>
      <w:proofErr w:type="spellStart"/>
      <w:r w:rsidRPr="008C51BE">
        <w:rPr>
          <w:rFonts w:ascii="Times New Roman" w:eastAsia="Times New Roman" w:hAnsi="Times New Roman" w:cs="Times New Roman"/>
          <w:lang w:val="cs-CZ"/>
        </w:rPr>
        <w:t>denaverin</w:t>
      </w:r>
      <w:proofErr w:type="spellEnd"/>
      <w:r w:rsidRPr="008C51BE">
        <w:rPr>
          <w:rFonts w:ascii="Times New Roman" w:eastAsia="Times New Roman" w:hAnsi="Times New Roman" w:cs="Times New Roman"/>
          <w:lang w:val="cs-CZ"/>
        </w:rPr>
        <w:t xml:space="preserve"> </w:t>
      </w:r>
      <w:proofErr w:type="spellStart"/>
      <w:r w:rsidRPr="008C51BE">
        <w:rPr>
          <w:rFonts w:ascii="Times New Roman" w:eastAsia="Times New Roman" w:hAnsi="Times New Roman" w:cs="Times New Roman"/>
          <w:lang w:val="cs-CZ"/>
        </w:rPr>
        <w:t>hydrochlorid</w:t>
      </w:r>
      <w:proofErr w:type="spellEnd"/>
      <w:r>
        <w:rPr>
          <w:rFonts w:ascii="Times New Roman" w:eastAsia="Times New Roman" w:hAnsi="Times New Roman" w:cs="Times New Roman"/>
          <w:lang w:val="cs-CZ"/>
        </w:rPr>
        <w:t xml:space="preserve"> </w:t>
      </w:r>
      <w:r w:rsidRPr="008C51BE">
        <w:rPr>
          <w:rFonts w:ascii="Times New Roman" w:eastAsia="Times New Roman" w:hAnsi="Times New Roman" w:cs="Times New Roman"/>
          <w:lang w:val="cs-CZ"/>
        </w:rPr>
        <w:t xml:space="preserve">nebo na </w:t>
      </w:r>
      <w:r>
        <w:rPr>
          <w:rFonts w:ascii="Times New Roman" w:eastAsia="Times New Roman" w:hAnsi="Times New Roman" w:cs="Times New Roman"/>
          <w:lang w:val="cs-CZ"/>
        </w:rPr>
        <w:t xml:space="preserve">kteroukoliv </w:t>
      </w:r>
      <w:r w:rsidRPr="008C51BE">
        <w:rPr>
          <w:rFonts w:ascii="Times New Roman" w:eastAsia="Times New Roman" w:hAnsi="Times New Roman" w:cs="Times New Roman"/>
          <w:lang w:val="cs-CZ"/>
        </w:rPr>
        <w:t>pomocn</w:t>
      </w:r>
      <w:r>
        <w:rPr>
          <w:rFonts w:ascii="Times New Roman" w:eastAsia="Times New Roman" w:hAnsi="Times New Roman" w:cs="Times New Roman"/>
          <w:lang w:val="cs-CZ"/>
        </w:rPr>
        <w:t xml:space="preserve">ou </w:t>
      </w:r>
      <w:r w:rsidRPr="008C51BE">
        <w:rPr>
          <w:rFonts w:ascii="Times New Roman" w:eastAsia="Times New Roman" w:hAnsi="Times New Roman" w:cs="Times New Roman"/>
          <w:lang w:val="cs-CZ"/>
        </w:rPr>
        <w:t>látk</w:t>
      </w:r>
      <w:r>
        <w:rPr>
          <w:rFonts w:ascii="Times New Roman" w:eastAsia="Times New Roman" w:hAnsi="Times New Roman" w:cs="Times New Roman"/>
          <w:lang w:val="cs-CZ"/>
        </w:rPr>
        <w:t>u</w:t>
      </w:r>
      <w:r w:rsidRPr="008C51BE">
        <w:rPr>
          <w:rFonts w:ascii="Times New Roman" w:eastAsia="Times New Roman" w:hAnsi="Times New Roman" w:cs="Times New Roman"/>
          <w:lang w:val="cs-CZ"/>
        </w:rPr>
        <w:t xml:space="preserve"> by neměli přípravek podávat.</w:t>
      </w:r>
    </w:p>
    <w:p w:rsidR="00DB7C67" w:rsidRPr="008C51BE" w:rsidRDefault="00DB7C67" w:rsidP="00DB7C67">
      <w:pPr>
        <w:pStyle w:val="Odstavecseseznamem"/>
        <w:ind w:left="0"/>
        <w:jc w:val="both"/>
        <w:rPr>
          <w:rFonts w:ascii="Times New Roman" w:eastAsia="Times New Roman" w:hAnsi="Times New Roman" w:cs="Times New Roman"/>
          <w:lang w:val="cs-CZ"/>
        </w:rPr>
      </w:pPr>
      <w:r w:rsidRPr="008C51BE">
        <w:rPr>
          <w:rFonts w:ascii="Times New Roman" w:eastAsia="Times New Roman" w:hAnsi="Times New Roman" w:cs="Times New Roman"/>
          <w:lang w:val="cs-CZ"/>
        </w:rPr>
        <w:t>Po použití si umyjte ruce.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4.6</w:t>
      </w:r>
      <w:r w:rsidRPr="008C51BE">
        <w:rPr>
          <w:b/>
          <w:bCs/>
          <w:szCs w:val="22"/>
        </w:rPr>
        <w:tab/>
        <w:t>Nežádoucí účinky (frekvence a závažnost)</w:t>
      </w:r>
    </w:p>
    <w:p w:rsidR="00DB7C67" w:rsidRPr="008C51BE" w:rsidRDefault="00DB7C67" w:rsidP="00DB7C67">
      <w:pPr>
        <w:rPr>
          <w:b/>
          <w:szCs w:val="22"/>
        </w:rPr>
      </w:pPr>
    </w:p>
    <w:p w:rsidR="00DB7C67" w:rsidRPr="008C51BE" w:rsidRDefault="00DB7C67" w:rsidP="00DB7C67">
      <w:pPr>
        <w:rPr>
          <w:szCs w:val="22"/>
        </w:rPr>
      </w:pPr>
      <w:r w:rsidRPr="008C51BE">
        <w:rPr>
          <w:szCs w:val="22"/>
        </w:rPr>
        <w:t xml:space="preserve">Zvýšený neklid; otoky v místě </w:t>
      </w:r>
      <w:r>
        <w:rPr>
          <w:szCs w:val="22"/>
        </w:rPr>
        <w:t>injekčního podání</w:t>
      </w:r>
      <w:r w:rsidRPr="008C51BE">
        <w:rPr>
          <w:szCs w:val="22"/>
        </w:rPr>
        <w:t>; chybějící nebo nedostatečná účinnost vyžadující další porodn</w:t>
      </w:r>
      <w:r>
        <w:rPr>
          <w:szCs w:val="22"/>
        </w:rPr>
        <w:t>ická</w:t>
      </w:r>
      <w:bookmarkStart w:id="2" w:name="_Hlk102471445"/>
      <w:r>
        <w:rPr>
          <w:szCs w:val="22"/>
        </w:rPr>
        <w:t xml:space="preserve"> </w:t>
      </w:r>
      <w:bookmarkEnd w:id="2"/>
      <w:r>
        <w:rPr>
          <w:szCs w:val="22"/>
        </w:rPr>
        <w:t xml:space="preserve">a diagnostická </w:t>
      </w:r>
      <w:r w:rsidRPr="008C51BE">
        <w:rPr>
          <w:szCs w:val="22"/>
        </w:rPr>
        <w:t>opatření.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4.7</w:t>
      </w:r>
      <w:r w:rsidRPr="008C51BE">
        <w:rPr>
          <w:b/>
          <w:bCs/>
          <w:szCs w:val="22"/>
        </w:rPr>
        <w:tab/>
        <w:t>Použití v průběhu březosti, laktace nebo snášky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pStyle w:val="Odstavecseseznamem"/>
        <w:ind w:left="0"/>
        <w:jc w:val="both"/>
        <w:rPr>
          <w:rFonts w:ascii="Times New Roman" w:hAnsi="Times New Roman" w:cs="Times New Roman"/>
          <w:bCs/>
          <w:lang w:val="cs-CZ"/>
        </w:rPr>
      </w:pPr>
      <w:r w:rsidRPr="008C51BE">
        <w:rPr>
          <w:rFonts w:ascii="Times New Roman" w:hAnsi="Times New Roman" w:cs="Times New Roman"/>
          <w:lang w:val="cs-CZ"/>
        </w:rPr>
        <w:t>Používat pouze v době porodu. Není určeno k použití během jiných fází březosti nebo v průběhu laktace.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4.8</w:t>
      </w:r>
      <w:r w:rsidRPr="008C51BE">
        <w:rPr>
          <w:b/>
          <w:bCs/>
          <w:szCs w:val="22"/>
        </w:rPr>
        <w:tab/>
        <w:t>Interakce s dalšími léčivými přípravky a další formy interakce</w:t>
      </w:r>
    </w:p>
    <w:p w:rsidR="00DB7C67" w:rsidRPr="008C51BE" w:rsidRDefault="00DB7C67" w:rsidP="00DB7C67">
      <w:pPr>
        <w:rPr>
          <w:b/>
          <w:szCs w:val="22"/>
        </w:rPr>
      </w:pPr>
    </w:p>
    <w:p w:rsidR="00DB7C67" w:rsidRPr="008C51BE" w:rsidRDefault="00DB7C67" w:rsidP="00DB7C67">
      <w:pPr>
        <w:rPr>
          <w:szCs w:val="22"/>
        </w:rPr>
      </w:pPr>
      <w:r w:rsidRPr="008C51BE">
        <w:rPr>
          <w:szCs w:val="22"/>
        </w:rPr>
        <w:t xml:space="preserve">Tento přípravek nesmí být mísen s dalšími veterinárními léčivými přípravky. </w:t>
      </w:r>
      <w:r w:rsidRPr="008C51BE">
        <w:t xml:space="preserve">V případě dodatečného podání oxytocinu nebo jeho analogů, musí být dávka této účinné látky pečlivě zvolena, protože </w:t>
      </w:r>
      <w:proofErr w:type="spellStart"/>
      <w:r w:rsidRPr="008C51BE">
        <w:t>denaverin</w:t>
      </w:r>
      <w:proofErr w:type="spellEnd"/>
      <w:r w:rsidRPr="008C51BE">
        <w:t xml:space="preserve"> může zesílit jeho účinky.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4.9</w:t>
      </w:r>
      <w:r w:rsidRPr="008C51BE">
        <w:rPr>
          <w:b/>
          <w:bCs/>
          <w:szCs w:val="22"/>
        </w:rPr>
        <w:tab/>
        <w:t>Podávané množství a způsob podání</w:t>
      </w:r>
    </w:p>
    <w:p w:rsidR="00DB7C67" w:rsidRPr="008C51BE" w:rsidRDefault="00DB7C67" w:rsidP="00DB7C67">
      <w:pPr>
        <w:rPr>
          <w:b/>
          <w:szCs w:val="22"/>
        </w:rPr>
      </w:pPr>
    </w:p>
    <w:p w:rsidR="00DB7C67" w:rsidRPr="008C51BE" w:rsidRDefault="00DB7C67" w:rsidP="00DB7C67">
      <w:pPr>
        <w:rPr>
          <w:szCs w:val="22"/>
        </w:rPr>
      </w:pPr>
      <w:r>
        <w:rPr>
          <w:szCs w:val="22"/>
        </w:rPr>
        <w:t>I</w:t>
      </w:r>
      <w:r w:rsidRPr="008C51BE">
        <w:rPr>
          <w:szCs w:val="22"/>
        </w:rPr>
        <w:t>ntramuskulární podání.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  <w:r w:rsidRPr="008C51BE">
        <w:rPr>
          <w:szCs w:val="22"/>
          <w:u w:val="single"/>
        </w:rPr>
        <w:t>Jalovice:</w:t>
      </w:r>
      <w:r w:rsidRPr="008C51BE">
        <w:rPr>
          <w:szCs w:val="22"/>
        </w:rPr>
        <w:tab/>
        <w:t xml:space="preserve">10,0 ml přípravku (400 mg </w:t>
      </w:r>
      <w:proofErr w:type="spellStart"/>
      <w:r>
        <w:rPr>
          <w:szCs w:val="22"/>
        </w:rPr>
        <w:t>d</w:t>
      </w:r>
      <w:r w:rsidRPr="008C51BE">
        <w:rPr>
          <w:szCs w:val="22"/>
        </w:rPr>
        <w:t>enaverin</w:t>
      </w:r>
      <w:proofErr w:type="spellEnd"/>
      <w:r w:rsidRPr="008C51BE">
        <w:rPr>
          <w:szCs w:val="22"/>
        </w:rPr>
        <w:t xml:space="preserve"> </w:t>
      </w:r>
      <w:proofErr w:type="spellStart"/>
      <w:r w:rsidRPr="008C51BE">
        <w:rPr>
          <w:szCs w:val="22"/>
        </w:rPr>
        <w:t>hydrochloridu</w:t>
      </w:r>
      <w:proofErr w:type="spellEnd"/>
      <w:r w:rsidRPr="008C51BE">
        <w:rPr>
          <w:szCs w:val="22"/>
        </w:rPr>
        <w:t xml:space="preserve"> </w:t>
      </w:r>
      <w:r w:rsidRPr="00D71386">
        <w:rPr>
          <w:i/>
          <w:szCs w:val="22"/>
        </w:rPr>
        <w:t>pro toto</w:t>
      </w:r>
      <w:r w:rsidRPr="008C51BE">
        <w:rPr>
          <w:szCs w:val="22"/>
        </w:rPr>
        <w:t>)</w:t>
      </w:r>
    </w:p>
    <w:p w:rsidR="00DB7C67" w:rsidRPr="008C51BE" w:rsidRDefault="00DB7C67" w:rsidP="00DB7C67">
      <w:pPr>
        <w:rPr>
          <w:szCs w:val="22"/>
        </w:rPr>
      </w:pPr>
      <w:r w:rsidRPr="008C51BE">
        <w:rPr>
          <w:szCs w:val="22"/>
          <w:u w:val="single"/>
        </w:rPr>
        <w:t>Krávy:</w:t>
      </w:r>
      <w:r w:rsidRPr="008C51BE">
        <w:rPr>
          <w:szCs w:val="22"/>
        </w:rPr>
        <w:tab/>
        <w:t xml:space="preserve">10,0 ml přípravku (400 mg </w:t>
      </w:r>
      <w:proofErr w:type="spellStart"/>
      <w:r>
        <w:rPr>
          <w:szCs w:val="22"/>
        </w:rPr>
        <w:t>d</w:t>
      </w:r>
      <w:r w:rsidRPr="008C51BE">
        <w:rPr>
          <w:szCs w:val="22"/>
        </w:rPr>
        <w:t>enaverin</w:t>
      </w:r>
      <w:proofErr w:type="spellEnd"/>
      <w:r w:rsidRPr="008C51BE">
        <w:rPr>
          <w:szCs w:val="22"/>
        </w:rPr>
        <w:t xml:space="preserve"> </w:t>
      </w:r>
      <w:proofErr w:type="spellStart"/>
      <w:r w:rsidRPr="008C51BE">
        <w:rPr>
          <w:szCs w:val="22"/>
        </w:rPr>
        <w:t>hydrochloridu</w:t>
      </w:r>
      <w:proofErr w:type="spellEnd"/>
      <w:r>
        <w:rPr>
          <w:szCs w:val="22"/>
        </w:rPr>
        <w:t xml:space="preserve"> </w:t>
      </w:r>
      <w:r w:rsidRPr="00D71386">
        <w:rPr>
          <w:i/>
          <w:szCs w:val="22"/>
        </w:rPr>
        <w:t>pro toto</w:t>
      </w:r>
      <w:r w:rsidRPr="008C51BE">
        <w:rPr>
          <w:szCs w:val="22"/>
        </w:rPr>
        <w:t>)</w:t>
      </w:r>
    </w:p>
    <w:p w:rsidR="00DB7C67" w:rsidRPr="008C51BE" w:rsidRDefault="00DB7C67" w:rsidP="00DB7C67">
      <w:pPr>
        <w:jc w:val="both"/>
      </w:pPr>
    </w:p>
    <w:p w:rsidR="00DB7C67" w:rsidRPr="008C51BE" w:rsidRDefault="00DB7C67" w:rsidP="00DB7C67">
      <w:pPr>
        <w:jc w:val="both"/>
      </w:pPr>
      <w:r w:rsidRPr="008C51BE">
        <w:t>Načasování podávání přípravku:</w:t>
      </w:r>
    </w:p>
    <w:p w:rsidR="00DB7C67" w:rsidRPr="008C51BE" w:rsidRDefault="00DB7C67" w:rsidP="00DB7C67">
      <w:pPr>
        <w:jc w:val="both"/>
      </w:pPr>
    </w:p>
    <w:p w:rsidR="00DB7C67" w:rsidRPr="008C51BE" w:rsidRDefault="00DB7C67" w:rsidP="00DB7C67">
      <w:pPr>
        <w:numPr>
          <w:ilvl w:val="0"/>
          <w:numId w:val="39"/>
        </w:numPr>
        <w:tabs>
          <w:tab w:val="left" w:pos="284"/>
        </w:tabs>
        <w:spacing w:line="260" w:lineRule="exact"/>
        <w:ind w:left="284" w:hanging="284"/>
        <w:jc w:val="both"/>
        <w:rPr>
          <w:szCs w:val="22"/>
        </w:rPr>
      </w:pPr>
      <w:r w:rsidRPr="008C51BE">
        <w:rPr>
          <w:szCs w:val="22"/>
        </w:rPr>
        <w:t xml:space="preserve">Použití u jalovic s cílem usnadnit porod: </w:t>
      </w:r>
      <w:r>
        <w:rPr>
          <w:szCs w:val="22"/>
        </w:rPr>
        <w:t>p</w:t>
      </w:r>
      <w:r w:rsidRPr="008C51BE">
        <w:rPr>
          <w:szCs w:val="22"/>
        </w:rPr>
        <w:t xml:space="preserve">řípravek musí být </w:t>
      </w:r>
      <w:r>
        <w:rPr>
          <w:szCs w:val="22"/>
        </w:rPr>
        <w:t>pod</w:t>
      </w:r>
      <w:r w:rsidRPr="008C51BE">
        <w:rPr>
          <w:szCs w:val="22"/>
        </w:rPr>
        <w:t>án</w:t>
      </w:r>
      <w:r>
        <w:rPr>
          <w:szCs w:val="22"/>
        </w:rPr>
        <w:t>,</w:t>
      </w:r>
      <w:r w:rsidRPr="008C51BE">
        <w:rPr>
          <w:szCs w:val="22"/>
        </w:rPr>
        <w:t xml:space="preserve"> jakmile </w:t>
      </w:r>
      <w:r>
        <w:rPr>
          <w:szCs w:val="22"/>
        </w:rPr>
        <w:t xml:space="preserve">jsou </w:t>
      </w:r>
      <w:r w:rsidRPr="008C51BE">
        <w:rPr>
          <w:szCs w:val="22"/>
        </w:rPr>
        <w:t>části plodu v děložním hrdle a</w:t>
      </w:r>
      <w:r>
        <w:rPr>
          <w:szCs w:val="22"/>
        </w:rPr>
        <w:t xml:space="preserve"> zároveň již </w:t>
      </w:r>
      <w:r w:rsidRPr="008C51BE">
        <w:rPr>
          <w:szCs w:val="22"/>
        </w:rPr>
        <w:t xml:space="preserve">začaly </w:t>
      </w:r>
      <w:r>
        <w:rPr>
          <w:szCs w:val="22"/>
        </w:rPr>
        <w:t>stahy svalů břišní stěny</w:t>
      </w:r>
      <w:r w:rsidRPr="008C51BE">
        <w:rPr>
          <w:szCs w:val="22"/>
        </w:rPr>
        <w:t>.</w:t>
      </w:r>
    </w:p>
    <w:p w:rsidR="00DB7C67" w:rsidRPr="008C51BE" w:rsidRDefault="00DB7C67" w:rsidP="00DB7C67">
      <w:pPr>
        <w:ind w:left="284"/>
        <w:jc w:val="both"/>
        <w:rPr>
          <w:szCs w:val="22"/>
        </w:rPr>
      </w:pPr>
    </w:p>
    <w:p w:rsidR="00DB7C67" w:rsidRPr="008C51BE" w:rsidRDefault="00DB7C67" w:rsidP="00DB7C67">
      <w:pPr>
        <w:numPr>
          <w:ilvl w:val="0"/>
          <w:numId w:val="39"/>
        </w:numPr>
        <w:ind w:left="284" w:hanging="284"/>
        <w:rPr>
          <w:szCs w:val="22"/>
        </w:rPr>
      </w:pPr>
      <w:r w:rsidRPr="008C51BE">
        <w:rPr>
          <w:szCs w:val="22"/>
        </w:rPr>
        <w:t>Použití u jalovic a krav na podporu dilatace měkkých tkání porodní</w:t>
      </w:r>
      <w:r>
        <w:rPr>
          <w:szCs w:val="22"/>
        </w:rPr>
        <w:t>ch cest</w:t>
      </w:r>
      <w:r w:rsidRPr="008C51BE">
        <w:rPr>
          <w:szCs w:val="22"/>
        </w:rPr>
        <w:t xml:space="preserve">: </w:t>
      </w:r>
      <w:r>
        <w:rPr>
          <w:szCs w:val="22"/>
        </w:rPr>
        <w:t>p</w:t>
      </w:r>
      <w:r w:rsidRPr="008C51BE">
        <w:rPr>
          <w:szCs w:val="22"/>
        </w:rPr>
        <w:t>řípravek může být podán ihned, jakmile veterinární lékař zjistil, že měkk</w:t>
      </w:r>
      <w:r>
        <w:rPr>
          <w:szCs w:val="22"/>
        </w:rPr>
        <w:t>é</w:t>
      </w:r>
      <w:r w:rsidRPr="008C51BE">
        <w:rPr>
          <w:szCs w:val="22"/>
        </w:rPr>
        <w:t xml:space="preserve"> porodní </w:t>
      </w:r>
      <w:r>
        <w:rPr>
          <w:szCs w:val="22"/>
        </w:rPr>
        <w:t xml:space="preserve">cesty nejsou </w:t>
      </w:r>
      <w:r w:rsidRPr="008C51BE">
        <w:rPr>
          <w:szCs w:val="22"/>
        </w:rPr>
        <w:t>dostatečně otevřen</w:t>
      </w:r>
      <w:r>
        <w:rPr>
          <w:szCs w:val="22"/>
        </w:rPr>
        <w:t>y</w:t>
      </w:r>
      <w:r w:rsidRPr="008C51BE">
        <w:rPr>
          <w:szCs w:val="22"/>
        </w:rPr>
        <w:t xml:space="preserve"> (viz také </w:t>
      </w:r>
      <w:r>
        <w:rPr>
          <w:szCs w:val="22"/>
        </w:rPr>
        <w:t xml:space="preserve">SPC </w:t>
      </w:r>
      <w:r w:rsidRPr="008C51BE">
        <w:rPr>
          <w:szCs w:val="22"/>
        </w:rPr>
        <w:t>bod 4.3 [kontraindikace] a 4.</w:t>
      </w:r>
      <w:r>
        <w:rPr>
          <w:szCs w:val="22"/>
        </w:rPr>
        <w:t>4 [zvláštní upozornění</w:t>
      </w:r>
      <w:r w:rsidRPr="008C51BE">
        <w:rPr>
          <w:szCs w:val="22"/>
        </w:rPr>
        <w:t>]).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jc w:val="both"/>
        <w:rPr>
          <w:szCs w:val="22"/>
        </w:rPr>
      </w:pPr>
      <w:r w:rsidRPr="008C51BE">
        <w:rPr>
          <w:szCs w:val="22"/>
        </w:rPr>
        <w:t xml:space="preserve">V případech, kdy se nedosáhne úplné dilatace, je možno opakovat </w:t>
      </w:r>
      <w:r>
        <w:rPr>
          <w:szCs w:val="22"/>
        </w:rPr>
        <w:t>podání</w:t>
      </w:r>
      <w:r w:rsidRPr="008C51BE">
        <w:rPr>
          <w:szCs w:val="22"/>
        </w:rPr>
        <w:t xml:space="preserve"> za 40–60 min. 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4.10</w:t>
      </w:r>
      <w:r w:rsidRPr="008C51BE">
        <w:rPr>
          <w:b/>
          <w:bCs/>
          <w:szCs w:val="22"/>
        </w:rPr>
        <w:tab/>
        <w:t xml:space="preserve">Předávkování (symptomy, první pomoc, </w:t>
      </w:r>
      <w:proofErr w:type="spellStart"/>
      <w:r w:rsidRPr="008C51BE">
        <w:rPr>
          <w:b/>
          <w:bCs/>
          <w:szCs w:val="22"/>
        </w:rPr>
        <w:t>antidota</w:t>
      </w:r>
      <w:proofErr w:type="spellEnd"/>
      <w:r w:rsidRPr="008C51BE">
        <w:rPr>
          <w:b/>
          <w:bCs/>
          <w:szCs w:val="22"/>
        </w:rPr>
        <w:t>), pokud je to nutné</w:t>
      </w:r>
    </w:p>
    <w:p w:rsidR="00DB7C67" w:rsidRPr="008C51BE" w:rsidRDefault="00DB7C67" w:rsidP="00DB7C67">
      <w:pPr>
        <w:rPr>
          <w:b/>
          <w:szCs w:val="22"/>
        </w:rPr>
      </w:pPr>
    </w:p>
    <w:p w:rsidR="00DB7C67" w:rsidRPr="008C51BE" w:rsidRDefault="00DB7C67" w:rsidP="00DB7C67">
      <w:pPr>
        <w:pStyle w:val="Odstavecseseznamem"/>
        <w:ind w:left="0"/>
        <w:jc w:val="both"/>
        <w:rPr>
          <w:rFonts w:ascii="Times New Roman" w:hAnsi="Times New Roman" w:cs="Times New Roman"/>
          <w:lang w:val="cs-CZ"/>
        </w:rPr>
      </w:pPr>
      <w:r w:rsidRPr="008C51BE">
        <w:rPr>
          <w:rFonts w:ascii="Times New Roman" w:hAnsi="Times New Roman" w:cs="Times New Roman"/>
          <w:lang w:val="cs-CZ"/>
        </w:rPr>
        <w:t xml:space="preserve">V případě předávkování nebo intravenózního podání se mohou objevit anticholinergní účinky, např. zvýšená srdeční frekvence a snížená frekvence dýchání. 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keepNext/>
        <w:rPr>
          <w:b/>
          <w:szCs w:val="22"/>
        </w:rPr>
      </w:pPr>
      <w:r w:rsidRPr="008C51BE">
        <w:rPr>
          <w:b/>
          <w:bCs/>
          <w:szCs w:val="22"/>
        </w:rPr>
        <w:t>4.11</w:t>
      </w:r>
      <w:r w:rsidRPr="008C51BE">
        <w:rPr>
          <w:b/>
          <w:bCs/>
          <w:szCs w:val="22"/>
        </w:rPr>
        <w:tab/>
        <w:t>Ochrann</w:t>
      </w:r>
      <w:r>
        <w:rPr>
          <w:b/>
          <w:bCs/>
          <w:szCs w:val="22"/>
        </w:rPr>
        <w:t>á(</w:t>
      </w:r>
      <w:r w:rsidRPr="008C51BE">
        <w:rPr>
          <w:b/>
          <w:bCs/>
          <w:szCs w:val="22"/>
        </w:rPr>
        <w:t>é</w:t>
      </w:r>
      <w:r>
        <w:rPr>
          <w:b/>
          <w:bCs/>
          <w:szCs w:val="22"/>
        </w:rPr>
        <w:t>)</w:t>
      </w:r>
      <w:r w:rsidRPr="008C51BE">
        <w:rPr>
          <w:b/>
          <w:bCs/>
          <w:szCs w:val="22"/>
        </w:rPr>
        <w:t xml:space="preserve"> lhůt</w:t>
      </w:r>
      <w:r>
        <w:rPr>
          <w:b/>
          <w:bCs/>
          <w:szCs w:val="22"/>
        </w:rPr>
        <w:t>a(</w:t>
      </w:r>
      <w:r w:rsidRPr="008C51BE">
        <w:rPr>
          <w:b/>
          <w:bCs/>
          <w:szCs w:val="22"/>
        </w:rPr>
        <w:t>y</w:t>
      </w:r>
      <w:r>
        <w:rPr>
          <w:b/>
          <w:bCs/>
          <w:szCs w:val="22"/>
        </w:rPr>
        <w:t>)</w:t>
      </w:r>
    </w:p>
    <w:p w:rsidR="00DB7C67" w:rsidRPr="008C51BE" w:rsidRDefault="00DB7C67" w:rsidP="00DB7C67">
      <w:pPr>
        <w:keepNext/>
        <w:rPr>
          <w:b/>
          <w:szCs w:val="22"/>
        </w:rPr>
      </w:pPr>
    </w:p>
    <w:p w:rsidR="00DB7C67" w:rsidRPr="00421D64" w:rsidRDefault="00DB7C67" w:rsidP="00DB7C67">
      <w:pPr>
        <w:rPr>
          <w:szCs w:val="22"/>
        </w:rPr>
      </w:pPr>
      <w:r w:rsidRPr="00421D64">
        <w:rPr>
          <w:szCs w:val="22"/>
        </w:rPr>
        <w:t>Maso:</w:t>
      </w:r>
      <w:r w:rsidRPr="00421D64">
        <w:rPr>
          <w:szCs w:val="22"/>
        </w:rPr>
        <w:tab/>
      </w:r>
      <w:r>
        <w:rPr>
          <w:szCs w:val="22"/>
        </w:rPr>
        <w:t xml:space="preserve"> </w:t>
      </w:r>
      <w:r w:rsidRPr="00421D64">
        <w:rPr>
          <w:szCs w:val="22"/>
        </w:rPr>
        <w:t>1 den</w:t>
      </w:r>
    </w:p>
    <w:p w:rsidR="00DB7C67" w:rsidRPr="00421D64" w:rsidRDefault="00DB7C67" w:rsidP="00DB7C67">
      <w:pPr>
        <w:rPr>
          <w:szCs w:val="22"/>
        </w:rPr>
      </w:pPr>
      <w:r w:rsidRPr="00421D64">
        <w:rPr>
          <w:szCs w:val="22"/>
        </w:rPr>
        <w:lastRenderedPageBreak/>
        <w:t>Mléko:</w:t>
      </w:r>
      <w:r>
        <w:rPr>
          <w:szCs w:val="22"/>
        </w:rPr>
        <w:t xml:space="preserve"> </w:t>
      </w:r>
      <w:r w:rsidRPr="00421D64">
        <w:rPr>
          <w:szCs w:val="22"/>
        </w:rPr>
        <w:t>24 hodin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5.</w:t>
      </w:r>
      <w:r w:rsidRPr="008C51BE">
        <w:rPr>
          <w:b/>
          <w:bCs/>
          <w:szCs w:val="22"/>
        </w:rPr>
        <w:tab/>
        <w:t>FARMAKOLOGICKÉ VLASTNOSTI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  <w:r w:rsidRPr="008C51BE">
        <w:rPr>
          <w:szCs w:val="22"/>
        </w:rPr>
        <w:t xml:space="preserve">Farmakoterapeutická skupina: </w:t>
      </w:r>
      <w:r>
        <w:rPr>
          <w:szCs w:val="22"/>
        </w:rPr>
        <w:t xml:space="preserve">močopohlavní </w:t>
      </w:r>
      <w:r w:rsidRPr="008C51BE">
        <w:rPr>
          <w:szCs w:val="22"/>
        </w:rPr>
        <w:t>systém a pohlavní hormony</w:t>
      </w:r>
      <w:r>
        <w:rPr>
          <w:szCs w:val="22"/>
        </w:rPr>
        <w:t xml:space="preserve">, </w:t>
      </w:r>
      <w:r w:rsidRPr="008C51BE">
        <w:rPr>
          <w:szCs w:val="22"/>
        </w:rPr>
        <w:t xml:space="preserve">jiná </w:t>
      </w:r>
      <w:proofErr w:type="spellStart"/>
      <w:r w:rsidRPr="008C51BE">
        <w:rPr>
          <w:szCs w:val="22"/>
        </w:rPr>
        <w:t>gynekologika</w:t>
      </w:r>
      <w:proofErr w:type="spellEnd"/>
      <w:r>
        <w:rPr>
          <w:szCs w:val="22"/>
        </w:rPr>
        <w:t>.</w:t>
      </w:r>
    </w:p>
    <w:p w:rsidR="00DB7C67" w:rsidRPr="008C51BE" w:rsidRDefault="00DB7C67" w:rsidP="00DB7C67">
      <w:pPr>
        <w:rPr>
          <w:szCs w:val="22"/>
        </w:rPr>
      </w:pPr>
      <w:proofErr w:type="spellStart"/>
      <w:r w:rsidRPr="008C51BE">
        <w:rPr>
          <w:szCs w:val="22"/>
        </w:rPr>
        <w:t>ATCvet</w:t>
      </w:r>
      <w:proofErr w:type="spellEnd"/>
      <w:r w:rsidRPr="008C51BE">
        <w:rPr>
          <w:szCs w:val="22"/>
        </w:rPr>
        <w:t xml:space="preserve"> kód</w:t>
      </w:r>
      <w:r w:rsidRPr="008C51BE">
        <w:t>:</w:t>
      </w:r>
      <w:r w:rsidRPr="008C51BE">
        <w:rPr>
          <w:szCs w:val="22"/>
        </w:rPr>
        <w:t xml:space="preserve"> QG02CX90</w:t>
      </w:r>
      <w:r>
        <w:rPr>
          <w:szCs w:val="22"/>
        </w:rPr>
        <w:t>.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5.1</w:t>
      </w:r>
      <w:r w:rsidRPr="008C51BE">
        <w:rPr>
          <w:b/>
          <w:bCs/>
          <w:szCs w:val="22"/>
        </w:rPr>
        <w:tab/>
        <w:t>Farmakodynamické vlastnosti</w:t>
      </w:r>
    </w:p>
    <w:p w:rsidR="00DB7C67" w:rsidRPr="008C51BE" w:rsidRDefault="00DB7C67" w:rsidP="00DB7C67">
      <w:pPr>
        <w:rPr>
          <w:b/>
          <w:szCs w:val="22"/>
        </w:rPr>
      </w:pPr>
    </w:p>
    <w:p w:rsidR="00DB7C67" w:rsidRPr="008C51BE" w:rsidRDefault="00DB7C67" w:rsidP="00DB7C67">
      <w:pPr>
        <w:jc w:val="both"/>
        <w:rPr>
          <w:szCs w:val="22"/>
        </w:rPr>
      </w:pPr>
      <w:proofErr w:type="spellStart"/>
      <w:r w:rsidRPr="008C51BE">
        <w:t>Denaverin</w:t>
      </w:r>
      <w:proofErr w:type="spellEnd"/>
      <w:r w:rsidRPr="008C51BE">
        <w:t xml:space="preserve"> </w:t>
      </w:r>
      <w:proofErr w:type="spellStart"/>
      <w:r w:rsidRPr="008C51BE">
        <w:t>hydrochlorid</w:t>
      </w:r>
      <w:proofErr w:type="spellEnd"/>
      <w:r w:rsidRPr="008C51BE">
        <w:t xml:space="preserve"> je spasmolytikum s relaxačním účinkem na hladké svalstvo. Má relaxační účinek na uterus </w:t>
      </w:r>
      <w:r w:rsidRPr="008C51BE">
        <w:rPr>
          <w:i/>
          <w:iCs/>
        </w:rPr>
        <w:t>sub partu</w:t>
      </w:r>
      <w:r w:rsidRPr="008C51BE">
        <w:t xml:space="preserve"> a zvyšuje dilataci měkkých tkání</w:t>
      </w:r>
      <w:r>
        <w:t xml:space="preserve"> </w:t>
      </w:r>
      <w:r w:rsidRPr="0016258A">
        <w:t>porodních</w:t>
      </w:r>
      <w:r>
        <w:t xml:space="preserve"> cest</w:t>
      </w:r>
      <w:r w:rsidRPr="008C51BE">
        <w:t xml:space="preserve">. Po intramuskulárním podání začne během 15 až 30 minut spasmolytický účinek a trvá několik hodin. </w:t>
      </w:r>
      <w:r w:rsidRPr="008C51BE">
        <w:rPr>
          <w:szCs w:val="22"/>
        </w:rPr>
        <w:t>Mechanizmus účinku není znám.</w:t>
      </w:r>
    </w:p>
    <w:p w:rsidR="00DB7C67" w:rsidRPr="008C51BE" w:rsidRDefault="00DB7C67" w:rsidP="00DB7C67">
      <w:pPr>
        <w:jc w:val="both"/>
        <w:rPr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5.2</w:t>
      </w:r>
      <w:r w:rsidRPr="008C51BE">
        <w:rPr>
          <w:b/>
          <w:bCs/>
          <w:szCs w:val="22"/>
        </w:rPr>
        <w:tab/>
        <w:t>Farmakokinetické údaje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jc w:val="both"/>
        <w:rPr>
          <w:szCs w:val="22"/>
        </w:rPr>
      </w:pPr>
      <w:proofErr w:type="spellStart"/>
      <w:r w:rsidRPr="008C51BE">
        <w:rPr>
          <w:szCs w:val="22"/>
        </w:rPr>
        <w:t>Denaverin</w:t>
      </w:r>
      <w:proofErr w:type="spellEnd"/>
      <w:r w:rsidRPr="008C51BE">
        <w:rPr>
          <w:szCs w:val="22"/>
        </w:rPr>
        <w:t xml:space="preserve"> </w:t>
      </w:r>
      <w:r w:rsidRPr="008C51BE">
        <w:t>se rychle vylučuje z ošetřených zvířat.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6.</w:t>
      </w:r>
      <w:r w:rsidRPr="008C51BE">
        <w:rPr>
          <w:b/>
          <w:bCs/>
          <w:szCs w:val="22"/>
        </w:rPr>
        <w:tab/>
        <w:t>FARMACEUTICKÉ ÚDAJE</w:t>
      </w:r>
    </w:p>
    <w:p w:rsidR="00DB7C67" w:rsidRPr="008C51BE" w:rsidRDefault="00DB7C67" w:rsidP="00DB7C67">
      <w:pPr>
        <w:rPr>
          <w:b/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6.1</w:t>
      </w:r>
      <w:r w:rsidRPr="008C51BE">
        <w:rPr>
          <w:b/>
          <w:bCs/>
          <w:szCs w:val="22"/>
        </w:rPr>
        <w:tab/>
        <w:t>Seznam pomocných látek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roofErr w:type="spellStart"/>
      <w:r w:rsidRPr="008C51BE">
        <w:t>Benzylalkohol</w:t>
      </w:r>
      <w:proofErr w:type="spellEnd"/>
      <w:r w:rsidRPr="008C51BE">
        <w:t xml:space="preserve"> (E1519) </w:t>
      </w:r>
    </w:p>
    <w:p w:rsidR="00DB7C67" w:rsidRPr="008C51BE" w:rsidRDefault="00DB7C67" w:rsidP="00DB7C67">
      <w:proofErr w:type="spellStart"/>
      <w:r w:rsidRPr="008C51BE">
        <w:t>Propylenglykol</w:t>
      </w:r>
      <w:proofErr w:type="spellEnd"/>
    </w:p>
    <w:p w:rsidR="00DB7C67" w:rsidRPr="008C51BE" w:rsidRDefault="00DB7C67" w:rsidP="00DB7C67">
      <w:r w:rsidRPr="008C51BE">
        <w:t>Kyselina chlorovodíková (pro úpravu pH)</w:t>
      </w:r>
    </w:p>
    <w:p w:rsidR="00DB7C67" w:rsidRPr="008C51BE" w:rsidRDefault="00DB7C67" w:rsidP="00DB7C67">
      <w:r w:rsidRPr="008C51BE">
        <w:t xml:space="preserve">Voda </w:t>
      </w:r>
      <w:r w:rsidR="00822704">
        <w:t>pro</w:t>
      </w:r>
      <w:r w:rsidR="00822704" w:rsidRPr="008C51BE">
        <w:t xml:space="preserve"> </w:t>
      </w:r>
      <w:r w:rsidRPr="008C51BE">
        <w:t>injekci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6.2</w:t>
      </w:r>
      <w:r w:rsidRPr="008C51BE">
        <w:rPr>
          <w:b/>
          <w:bCs/>
          <w:szCs w:val="22"/>
        </w:rPr>
        <w:tab/>
        <w:t>Hlavní inkompatibility</w:t>
      </w:r>
    </w:p>
    <w:p w:rsidR="00DB7C67" w:rsidRPr="008C51BE" w:rsidRDefault="00DB7C67" w:rsidP="00DB7C67">
      <w:pPr>
        <w:rPr>
          <w:b/>
          <w:szCs w:val="22"/>
        </w:rPr>
      </w:pPr>
    </w:p>
    <w:p w:rsidR="00DB7C67" w:rsidRPr="008C51BE" w:rsidRDefault="00DB7C67" w:rsidP="00DB7C67">
      <w:pPr>
        <w:rPr>
          <w:szCs w:val="22"/>
        </w:rPr>
      </w:pPr>
      <w:r w:rsidRPr="008C51BE"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6.3</w:t>
      </w:r>
      <w:r w:rsidRPr="008C51BE">
        <w:rPr>
          <w:b/>
          <w:bCs/>
          <w:szCs w:val="22"/>
        </w:rPr>
        <w:tab/>
        <w:t>Doba použitelnosti</w:t>
      </w:r>
    </w:p>
    <w:p w:rsidR="00DB7C67" w:rsidRPr="008C51BE" w:rsidRDefault="00DB7C67" w:rsidP="00DB7C67">
      <w:pPr>
        <w:rPr>
          <w:b/>
          <w:szCs w:val="22"/>
        </w:rPr>
      </w:pPr>
    </w:p>
    <w:p w:rsidR="00DB7C67" w:rsidRPr="008C51BE" w:rsidRDefault="00DB7C67" w:rsidP="00DB7C67">
      <w:pPr>
        <w:rPr>
          <w:szCs w:val="22"/>
        </w:rPr>
      </w:pPr>
      <w:r w:rsidRPr="008C51BE">
        <w:rPr>
          <w:szCs w:val="22"/>
        </w:rPr>
        <w:t>Doba použitelnosti veterinárního léčivého přípravku v neporušeném obalu:</w:t>
      </w:r>
      <w:r>
        <w:rPr>
          <w:szCs w:val="22"/>
        </w:rPr>
        <w:t xml:space="preserve"> </w:t>
      </w:r>
      <w:r w:rsidR="00822704">
        <w:rPr>
          <w:szCs w:val="22"/>
        </w:rPr>
        <w:t>3</w:t>
      </w:r>
      <w:r w:rsidRPr="008C51BE">
        <w:rPr>
          <w:szCs w:val="22"/>
        </w:rPr>
        <w:t> roky.</w:t>
      </w:r>
    </w:p>
    <w:p w:rsidR="00DB7C67" w:rsidRPr="008C51BE" w:rsidRDefault="00DB7C67" w:rsidP="00DB7C67">
      <w:pPr>
        <w:rPr>
          <w:szCs w:val="22"/>
        </w:rPr>
      </w:pPr>
      <w:r w:rsidRPr="008C51BE">
        <w:rPr>
          <w:szCs w:val="22"/>
        </w:rPr>
        <w:t>Doba použitelnosti po prvním otevření vnitřního obalu:</w:t>
      </w:r>
      <w:r>
        <w:rPr>
          <w:szCs w:val="22"/>
        </w:rPr>
        <w:t xml:space="preserve"> </w:t>
      </w:r>
      <w:r w:rsidRPr="008C51BE">
        <w:rPr>
          <w:szCs w:val="22"/>
        </w:rPr>
        <w:t>28 dní.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6.4</w:t>
      </w:r>
      <w:r w:rsidRPr="008C51BE">
        <w:rPr>
          <w:b/>
          <w:bCs/>
          <w:szCs w:val="22"/>
        </w:rPr>
        <w:tab/>
        <w:t>Zvláštní opatření pro uchovávání</w:t>
      </w:r>
    </w:p>
    <w:p w:rsidR="00DB7C67" w:rsidRPr="008C51BE" w:rsidRDefault="00DB7C67" w:rsidP="00DB7C67">
      <w:pPr>
        <w:rPr>
          <w:b/>
          <w:szCs w:val="22"/>
        </w:rPr>
      </w:pPr>
    </w:p>
    <w:p w:rsidR="00DB7C67" w:rsidRPr="008C51BE" w:rsidRDefault="00DB7C67" w:rsidP="00DB7C67">
      <w:pPr>
        <w:rPr>
          <w:szCs w:val="22"/>
        </w:rPr>
      </w:pPr>
      <w:r w:rsidRPr="008C51BE">
        <w:rPr>
          <w:szCs w:val="22"/>
        </w:rPr>
        <w:t>Tento veterinární léčivý přípravek nevyžaduje žádné zvláštní podmínky pro uchovávání.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6.5</w:t>
      </w:r>
      <w:r w:rsidRPr="008C51BE">
        <w:rPr>
          <w:b/>
          <w:bCs/>
          <w:szCs w:val="22"/>
        </w:rPr>
        <w:tab/>
        <w:t>Druh a složení vnitřního obalu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  <w:r w:rsidRPr="008C51BE">
        <w:rPr>
          <w:szCs w:val="22"/>
        </w:rPr>
        <w:t xml:space="preserve">Injekční lahvička z bezbarvého skla typu </w:t>
      </w:r>
      <w:proofErr w:type="gramStart"/>
      <w:r w:rsidRPr="008C51BE">
        <w:rPr>
          <w:szCs w:val="22"/>
        </w:rPr>
        <w:t>I</w:t>
      </w:r>
      <w:proofErr w:type="gramEnd"/>
      <w:r w:rsidRPr="008C51BE">
        <w:rPr>
          <w:szCs w:val="22"/>
        </w:rPr>
        <w:t xml:space="preserve"> s fluorovanou </w:t>
      </w:r>
      <w:proofErr w:type="spellStart"/>
      <w:r w:rsidRPr="008C51BE">
        <w:rPr>
          <w:szCs w:val="22"/>
        </w:rPr>
        <w:t>brombutylovou</w:t>
      </w:r>
      <w:proofErr w:type="spellEnd"/>
      <w:r w:rsidRPr="008C51BE">
        <w:rPr>
          <w:szCs w:val="22"/>
        </w:rPr>
        <w:t xml:space="preserve"> gumovou zátkou a hliníkov</w:t>
      </w:r>
      <w:r>
        <w:rPr>
          <w:szCs w:val="22"/>
        </w:rPr>
        <w:t>ým</w:t>
      </w:r>
      <w:r w:rsidRPr="008C51BE">
        <w:rPr>
          <w:szCs w:val="22"/>
        </w:rPr>
        <w:t xml:space="preserve"> </w:t>
      </w:r>
      <w:proofErr w:type="spellStart"/>
      <w:r w:rsidRPr="008C51BE">
        <w:rPr>
          <w:szCs w:val="22"/>
        </w:rPr>
        <w:t>pertl</w:t>
      </w:r>
      <w:r>
        <w:rPr>
          <w:szCs w:val="22"/>
        </w:rPr>
        <w:t>em</w:t>
      </w:r>
      <w:proofErr w:type="spellEnd"/>
      <w:r w:rsidRPr="008C51BE">
        <w:rPr>
          <w:szCs w:val="22"/>
        </w:rPr>
        <w:t>.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  <w:r w:rsidRPr="008C51BE">
        <w:rPr>
          <w:szCs w:val="22"/>
        </w:rPr>
        <w:t>1 injekční lahvička (10 ml) v papírové krabičce.</w:t>
      </w:r>
    </w:p>
    <w:p w:rsidR="00DB7C67" w:rsidRPr="008C51BE" w:rsidRDefault="00DB7C67" w:rsidP="00DB7C67">
      <w:pPr>
        <w:rPr>
          <w:szCs w:val="22"/>
        </w:rPr>
      </w:pPr>
      <w:r w:rsidRPr="008C51BE">
        <w:rPr>
          <w:szCs w:val="22"/>
        </w:rPr>
        <w:t>1 injekční lahvička (50 ml) v papírové krabičce.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  <w:r w:rsidRPr="008C51BE">
        <w:rPr>
          <w:szCs w:val="22"/>
        </w:rPr>
        <w:t>Na trhu nemusí být všechny velikosti balení.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keepNext/>
        <w:rPr>
          <w:b/>
          <w:szCs w:val="22"/>
        </w:rPr>
      </w:pPr>
      <w:r w:rsidRPr="008C51BE">
        <w:rPr>
          <w:b/>
          <w:bCs/>
          <w:szCs w:val="22"/>
        </w:rPr>
        <w:lastRenderedPageBreak/>
        <w:t>6.6</w:t>
      </w:r>
      <w:r w:rsidRPr="008C51BE">
        <w:rPr>
          <w:b/>
          <w:bCs/>
          <w:szCs w:val="22"/>
        </w:rPr>
        <w:tab/>
        <w:t>Zvláštní opatření pro zneškodňování nepoužitého veterinárního léčivého přípravku nebo odpadu, který pochází z tohoto přípravku</w:t>
      </w:r>
    </w:p>
    <w:p w:rsidR="00DB7C67" w:rsidRPr="008C51BE" w:rsidRDefault="00DB7C67" w:rsidP="00DB7C67">
      <w:pPr>
        <w:keepNext/>
        <w:rPr>
          <w:b/>
          <w:szCs w:val="22"/>
        </w:rPr>
      </w:pPr>
    </w:p>
    <w:p w:rsidR="00DB7C67" w:rsidRPr="008C51BE" w:rsidRDefault="00DB7C67" w:rsidP="00DB7C67">
      <w:pPr>
        <w:rPr>
          <w:i/>
          <w:szCs w:val="22"/>
        </w:rPr>
      </w:pPr>
      <w:r w:rsidRPr="008C51BE">
        <w:rPr>
          <w:szCs w:val="22"/>
        </w:rPr>
        <w:t>Všechen nepoužitý veterinární léčivý přípravek nebo odpad, který pochází z tohoto přípravku, musí být likvidován podle místních právních předpisů.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7.</w:t>
      </w:r>
      <w:r w:rsidRPr="008C51BE">
        <w:rPr>
          <w:b/>
          <w:bCs/>
          <w:szCs w:val="22"/>
        </w:rPr>
        <w:tab/>
        <w:t>DRŽITEL ROZHODNUTÍ O REGISTRACI</w:t>
      </w:r>
    </w:p>
    <w:p w:rsidR="00DB7C67" w:rsidRPr="008C51BE" w:rsidRDefault="00DB7C67" w:rsidP="00DB7C67">
      <w:pPr>
        <w:rPr>
          <w:b/>
          <w:szCs w:val="22"/>
        </w:rPr>
      </w:pPr>
    </w:p>
    <w:p w:rsidR="00DB7C67" w:rsidRPr="008C51BE" w:rsidRDefault="00DB7C67" w:rsidP="00DB7C67">
      <w:pPr>
        <w:rPr>
          <w:szCs w:val="22"/>
        </w:rPr>
      </w:pPr>
      <w:r w:rsidRPr="008C51BE">
        <w:rPr>
          <w:szCs w:val="22"/>
        </w:rPr>
        <w:t>Veyx-Pharma GmbH</w:t>
      </w:r>
    </w:p>
    <w:p w:rsidR="00DB7C67" w:rsidRPr="008C51BE" w:rsidRDefault="00DB7C67" w:rsidP="00DB7C67">
      <w:pPr>
        <w:rPr>
          <w:szCs w:val="22"/>
        </w:rPr>
      </w:pPr>
      <w:proofErr w:type="spellStart"/>
      <w:r w:rsidRPr="008C51BE">
        <w:rPr>
          <w:szCs w:val="22"/>
        </w:rPr>
        <w:t>Söhreweg</w:t>
      </w:r>
      <w:proofErr w:type="spellEnd"/>
      <w:r w:rsidRPr="008C51BE">
        <w:rPr>
          <w:szCs w:val="22"/>
        </w:rPr>
        <w:t xml:space="preserve"> 6</w:t>
      </w:r>
    </w:p>
    <w:p w:rsidR="00DB7C67" w:rsidRPr="008C51BE" w:rsidRDefault="00DB7C67" w:rsidP="00DB7C67">
      <w:pPr>
        <w:rPr>
          <w:szCs w:val="22"/>
        </w:rPr>
      </w:pPr>
      <w:r w:rsidRPr="008C51BE">
        <w:rPr>
          <w:szCs w:val="22"/>
        </w:rPr>
        <w:t xml:space="preserve">34639 </w:t>
      </w:r>
      <w:proofErr w:type="spellStart"/>
      <w:r w:rsidRPr="008C51BE">
        <w:rPr>
          <w:szCs w:val="22"/>
        </w:rPr>
        <w:t>Schwarzenborn</w:t>
      </w:r>
      <w:proofErr w:type="spellEnd"/>
    </w:p>
    <w:p w:rsidR="00DB7C67" w:rsidRPr="008C51BE" w:rsidRDefault="00DB7C67" w:rsidP="00DB7C67">
      <w:pPr>
        <w:rPr>
          <w:szCs w:val="22"/>
        </w:rPr>
      </w:pPr>
      <w:r w:rsidRPr="008C51BE">
        <w:rPr>
          <w:szCs w:val="22"/>
        </w:rPr>
        <w:t>Německo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8.</w:t>
      </w:r>
      <w:r w:rsidRPr="008C51BE">
        <w:rPr>
          <w:b/>
          <w:bCs/>
          <w:szCs w:val="22"/>
        </w:rPr>
        <w:tab/>
        <w:t>REGISTRAČNÍ ČÍSLO(A)</w:t>
      </w:r>
    </w:p>
    <w:p w:rsidR="00DB7C67" w:rsidRDefault="00DB7C67" w:rsidP="00DB7C67">
      <w:pPr>
        <w:rPr>
          <w:szCs w:val="22"/>
        </w:rPr>
      </w:pPr>
    </w:p>
    <w:p w:rsidR="00DB7C67" w:rsidRDefault="00DB7C67" w:rsidP="00DB7C67">
      <w:pPr>
        <w:rPr>
          <w:szCs w:val="22"/>
        </w:rPr>
      </w:pPr>
      <w:r>
        <w:rPr>
          <w:szCs w:val="22"/>
        </w:rPr>
        <w:t>96/039/</w:t>
      </w:r>
      <w:proofErr w:type="gramStart"/>
      <w:r>
        <w:rPr>
          <w:szCs w:val="22"/>
        </w:rPr>
        <w:t>17-C</w:t>
      </w:r>
      <w:proofErr w:type="gramEnd"/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9.</w:t>
      </w:r>
      <w:r w:rsidRPr="008C51BE">
        <w:rPr>
          <w:b/>
          <w:bCs/>
          <w:szCs w:val="22"/>
        </w:rPr>
        <w:tab/>
        <w:t>DATUM REGISTRACE/PRODLOUŽENÍ REGISTRACE</w:t>
      </w:r>
    </w:p>
    <w:p w:rsidR="00DB7C67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  <w:r>
        <w:rPr>
          <w:szCs w:val="22"/>
        </w:rPr>
        <w:t>26. 7. 2017/ 6. 6. 2022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b/>
          <w:szCs w:val="22"/>
        </w:rPr>
      </w:pPr>
      <w:r w:rsidRPr="008C51BE">
        <w:rPr>
          <w:b/>
          <w:bCs/>
          <w:szCs w:val="22"/>
        </w:rPr>
        <w:t>10</w:t>
      </w:r>
      <w:r w:rsidRPr="008C51BE">
        <w:rPr>
          <w:b/>
          <w:bCs/>
          <w:szCs w:val="22"/>
        </w:rPr>
        <w:tab/>
        <w:t>DATUM REVIZE TEXTU</w:t>
      </w:r>
    </w:p>
    <w:p w:rsidR="00DB7C67" w:rsidRDefault="00DB7C67" w:rsidP="00DB7C67">
      <w:pPr>
        <w:rPr>
          <w:szCs w:val="22"/>
        </w:rPr>
      </w:pPr>
    </w:p>
    <w:p w:rsidR="00DB7C67" w:rsidRDefault="00822704" w:rsidP="00DB7C67">
      <w:pPr>
        <w:rPr>
          <w:szCs w:val="22"/>
        </w:rPr>
      </w:pPr>
      <w:r>
        <w:rPr>
          <w:szCs w:val="22"/>
        </w:rPr>
        <w:t xml:space="preserve">Září </w:t>
      </w:r>
      <w:r w:rsidR="00DB7C67">
        <w:rPr>
          <w:szCs w:val="22"/>
        </w:rPr>
        <w:t>2022</w:t>
      </w: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pPr>
        <w:rPr>
          <w:szCs w:val="22"/>
        </w:rPr>
      </w:pPr>
    </w:p>
    <w:p w:rsidR="00DB7C67" w:rsidRPr="008C51BE" w:rsidRDefault="00DB7C67" w:rsidP="00DB7C67">
      <w:r w:rsidRPr="008C51BE">
        <w:rPr>
          <w:b/>
        </w:rPr>
        <w:t>DALŠÍ INFORMACE</w:t>
      </w:r>
    </w:p>
    <w:p w:rsidR="00DB7C67" w:rsidRPr="008C51BE" w:rsidRDefault="00DB7C67" w:rsidP="00DB7C67">
      <w:pPr>
        <w:rPr>
          <w:b/>
          <w:szCs w:val="22"/>
        </w:rPr>
      </w:pPr>
    </w:p>
    <w:p w:rsidR="00DB7C67" w:rsidRPr="008C51BE" w:rsidRDefault="00DB7C67" w:rsidP="00DB7C67">
      <w:pPr>
        <w:ind w:right="-318"/>
      </w:pPr>
      <w:r w:rsidRPr="008C51BE">
        <w:t>Veterinární léčivý přípravek je vydáván pouze na předpis.</w:t>
      </w:r>
    </w:p>
    <w:p w:rsidR="00DB7C67" w:rsidRPr="008C51BE" w:rsidRDefault="00DB7C67" w:rsidP="00DB7C67">
      <w:pPr>
        <w:rPr>
          <w:szCs w:val="22"/>
        </w:rPr>
      </w:pPr>
    </w:p>
    <w:p w:rsidR="00DB7C67" w:rsidRPr="00F02406" w:rsidRDefault="00DB7C67" w:rsidP="00DB7C67">
      <w:pPr>
        <w:rPr>
          <w:szCs w:val="22"/>
        </w:rPr>
      </w:pPr>
    </w:p>
    <w:p w:rsidR="00990659" w:rsidRDefault="00990659"/>
    <w:sectPr w:rsidR="00990659" w:rsidSect="00792A24">
      <w:footerReference w:type="default" r:id="rId7"/>
      <w:footerReference w:type="first" r:id="rId8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0CF" w:rsidRDefault="00B810CF">
      <w:r>
        <w:separator/>
      </w:r>
    </w:p>
  </w:endnote>
  <w:endnote w:type="continuationSeparator" w:id="0">
    <w:p w:rsidR="00B810CF" w:rsidRDefault="00B8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990659" w:rsidRDefault="00C3695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792A24">
      <w:instrText xml:space="preserve"> PAGE  \* MERGEFORMAT </w:instrText>
    </w:r>
    <w:r>
      <w:fldChar w:fldCharType="separate"/>
    </w:r>
    <w:r w:rsidR="00E349F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</w:pPr>
  </w:p>
  <w:p w:rsidR="00990659" w:rsidRDefault="00C3695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792A24">
      <w:instrText xml:space="preserve"> PAGE  \* MERGEFORMAT </w:instrText>
    </w:r>
    <w:r>
      <w:fldChar w:fldCharType="separate"/>
    </w:r>
    <w:r w:rsidR="00E349F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0CF" w:rsidRDefault="00B810CF">
      <w:r>
        <w:separator/>
      </w:r>
    </w:p>
  </w:footnote>
  <w:footnote w:type="continuationSeparator" w:id="0">
    <w:p w:rsidR="00B810CF" w:rsidRDefault="00B81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4C6CA8"/>
    <w:multiLevelType w:val="hybridMultilevel"/>
    <w:tmpl w:val="EC6819DE"/>
    <w:lvl w:ilvl="0" w:tplc="DCC4E6EE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2"/>
  </w:num>
  <w:num w:numId="8">
    <w:abstractNumId w:val="21"/>
  </w:num>
  <w:num w:numId="9">
    <w:abstractNumId w:val="6"/>
  </w:num>
  <w:num w:numId="10">
    <w:abstractNumId w:val="32"/>
  </w:num>
  <w:num w:numId="11">
    <w:abstractNumId w:val="33"/>
  </w:num>
  <w:num w:numId="12">
    <w:abstractNumId w:val="16"/>
  </w:num>
  <w:num w:numId="13">
    <w:abstractNumId w:val="13"/>
  </w:num>
  <w:num w:numId="14">
    <w:abstractNumId w:val="2"/>
  </w:num>
  <w:num w:numId="15">
    <w:abstractNumId w:val="31"/>
  </w:num>
  <w:num w:numId="16">
    <w:abstractNumId w:val="18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0"/>
  </w:num>
  <w:num w:numId="26">
    <w:abstractNumId w:val="24"/>
  </w:num>
  <w:num w:numId="27">
    <w:abstractNumId w:val="12"/>
  </w:num>
  <w:num w:numId="28">
    <w:abstractNumId w:val="9"/>
  </w:num>
  <w:num w:numId="29">
    <w:abstractNumId w:val="20"/>
  </w:num>
  <w:num w:numId="30">
    <w:abstractNumId w:val="23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52620"/>
    <w:rsid w:val="000E4E9C"/>
    <w:rsid w:val="002A0BAF"/>
    <w:rsid w:val="004B010E"/>
    <w:rsid w:val="006C219E"/>
    <w:rsid w:val="00792A24"/>
    <w:rsid w:val="00822704"/>
    <w:rsid w:val="00990659"/>
    <w:rsid w:val="00A82534"/>
    <w:rsid w:val="00A90943"/>
    <w:rsid w:val="00B810CF"/>
    <w:rsid w:val="00C304F9"/>
    <w:rsid w:val="00C3695C"/>
    <w:rsid w:val="00C62CCA"/>
    <w:rsid w:val="00D155E6"/>
    <w:rsid w:val="00DB7C67"/>
    <w:rsid w:val="00E349F8"/>
    <w:rsid w:val="00E7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18D16C-C657-4428-A35A-6E359C21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792A24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792A24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792A24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792A24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792A24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792A24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792A24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792A24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792A24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792A24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92A24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rsid w:val="00792A24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792A24"/>
    <w:pPr>
      <w:ind w:left="1760"/>
    </w:pPr>
  </w:style>
  <w:style w:type="character" w:styleId="Odkaznavysvtlivky">
    <w:name w:val="endnote reference"/>
    <w:rsid w:val="00792A24"/>
    <w:rPr>
      <w:vertAlign w:val="superscript"/>
    </w:rPr>
  </w:style>
  <w:style w:type="character" w:styleId="Znakapoznpodarou">
    <w:name w:val="footnote reference"/>
    <w:rsid w:val="00792A24"/>
    <w:rPr>
      <w:vertAlign w:val="superscript"/>
    </w:rPr>
  </w:style>
  <w:style w:type="paragraph" w:styleId="Textpoznpodarou">
    <w:name w:val="footnote text"/>
    <w:basedOn w:val="Normln"/>
    <w:rsid w:val="00792A24"/>
    <w:pPr>
      <w:jc w:val="both"/>
    </w:pPr>
    <w:rPr>
      <w:sz w:val="20"/>
    </w:rPr>
  </w:style>
  <w:style w:type="paragraph" w:styleId="Zkladntext">
    <w:name w:val="Body Text"/>
    <w:basedOn w:val="Normln"/>
    <w:rsid w:val="00792A24"/>
    <w:pPr>
      <w:jc w:val="both"/>
    </w:pPr>
  </w:style>
  <w:style w:type="paragraph" w:styleId="Textvbloku">
    <w:name w:val="Block Text"/>
    <w:basedOn w:val="Normln"/>
    <w:rsid w:val="00792A24"/>
    <w:pPr>
      <w:ind w:left="2268" w:right="1711"/>
    </w:pPr>
    <w:rPr>
      <w:b/>
    </w:rPr>
  </w:style>
  <w:style w:type="paragraph" w:styleId="Zkladntext2">
    <w:name w:val="Body Text 2"/>
    <w:basedOn w:val="Normln"/>
    <w:rsid w:val="00792A24"/>
    <w:rPr>
      <w:b/>
    </w:rPr>
  </w:style>
  <w:style w:type="paragraph" w:styleId="Zkladntext3">
    <w:name w:val="Body Text 3"/>
    <w:basedOn w:val="Normln"/>
    <w:rsid w:val="00792A24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792A24"/>
  </w:style>
  <w:style w:type="character" w:styleId="Odkaznakoment">
    <w:name w:val="annotation reference"/>
    <w:rsid w:val="00792A24"/>
    <w:rPr>
      <w:sz w:val="16"/>
    </w:rPr>
  </w:style>
  <w:style w:type="paragraph" w:styleId="Zkladntextodsazen2">
    <w:name w:val="Body Text Indent 2"/>
    <w:basedOn w:val="Normln"/>
    <w:rsid w:val="00792A24"/>
    <w:pPr>
      <w:jc w:val="both"/>
    </w:pPr>
    <w:rPr>
      <w:b/>
    </w:rPr>
  </w:style>
  <w:style w:type="paragraph" w:styleId="Textkomente">
    <w:name w:val="annotation text"/>
    <w:basedOn w:val="Normln"/>
    <w:rsid w:val="00792A24"/>
    <w:rPr>
      <w:sz w:val="20"/>
    </w:rPr>
  </w:style>
  <w:style w:type="paragraph" w:styleId="Zkladntextodsazen3">
    <w:name w:val="Body Text Indent 3"/>
    <w:basedOn w:val="Normln"/>
    <w:rsid w:val="00792A24"/>
  </w:style>
  <w:style w:type="paragraph" w:customStyle="1" w:styleId="Bullet">
    <w:name w:val="Bullet"/>
    <w:basedOn w:val="Normln"/>
    <w:rsid w:val="00792A24"/>
    <w:pPr>
      <w:numPr>
        <w:numId w:val="2"/>
      </w:numPr>
    </w:pPr>
  </w:style>
  <w:style w:type="paragraph" w:styleId="Textbubliny">
    <w:name w:val="Balloon Text"/>
    <w:basedOn w:val="Normln"/>
    <w:rsid w:val="00792A24"/>
    <w:rPr>
      <w:rFonts w:ascii="Tahoma" w:hAnsi="Tahoma" w:cs="Tahoma"/>
      <w:sz w:val="16"/>
      <w:szCs w:val="16"/>
    </w:rPr>
  </w:style>
  <w:style w:type="character" w:styleId="Hypertextovodkaz">
    <w:name w:val="Hyperlink"/>
    <w:rsid w:val="00792A24"/>
    <w:rPr>
      <w:color w:val="0000FF"/>
      <w:u w:val="single"/>
    </w:rPr>
  </w:style>
  <w:style w:type="paragraph" w:customStyle="1" w:styleId="AHeader1">
    <w:name w:val="AHeader 1"/>
    <w:basedOn w:val="Normln"/>
    <w:rsid w:val="00792A24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792A24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792A24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792A24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792A24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792A24"/>
    <w:rPr>
      <w:color w:val="800080"/>
      <w:u w:val="single"/>
    </w:rPr>
  </w:style>
  <w:style w:type="paragraph" w:styleId="Odstavecseseznamem">
    <w:name w:val="List Paragraph"/>
    <w:basedOn w:val="Normln"/>
    <w:qFormat/>
    <w:rsid w:val="00E349F8"/>
    <w:pPr>
      <w:ind w:left="720" w:firstLine="0"/>
    </w:pPr>
    <w:rPr>
      <w:rFonts w:ascii="Calibri" w:eastAsia="Calibri" w:hAnsi="Calibri" w:cs="Calibri"/>
      <w:szCs w:val="22"/>
      <w:lang w:val="de-DE"/>
    </w:rPr>
  </w:style>
  <w:style w:type="paragraph" w:customStyle="1" w:styleId="Response">
    <w:name w:val="Response"/>
    <w:basedOn w:val="Zhlav"/>
    <w:link w:val="ResponseZchn"/>
    <w:rsid w:val="00E349F8"/>
    <w:pPr>
      <w:tabs>
        <w:tab w:val="clear" w:pos="4153"/>
        <w:tab w:val="clear" w:pos="8306"/>
        <w:tab w:val="center" w:pos="4536"/>
        <w:tab w:val="right" w:pos="9072"/>
      </w:tabs>
      <w:ind w:left="0" w:firstLine="0"/>
      <w:jc w:val="both"/>
    </w:pPr>
    <w:rPr>
      <w:rFonts w:ascii="Arial" w:hAnsi="Arial" w:cs="Arial"/>
      <w:bCs/>
      <w:color w:val="0000FF"/>
      <w:sz w:val="22"/>
      <w:szCs w:val="22"/>
      <w:lang w:val="en-GB" w:eastAsia="de-DE"/>
    </w:rPr>
  </w:style>
  <w:style w:type="character" w:customStyle="1" w:styleId="ResponseZchn">
    <w:name w:val="Response Zchn"/>
    <w:link w:val="Response"/>
    <w:rsid w:val="00E349F8"/>
    <w:rPr>
      <w:rFonts w:ascii="Arial" w:hAnsi="Arial" w:cs="Arial"/>
      <w:bCs/>
      <w:color w:val="0000FF"/>
      <w:sz w:val="22"/>
      <w:szCs w:val="2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909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Kubová Petra</dc:creator>
  <cp:keywords/>
  <dc:description/>
  <cp:lastModifiedBy>Šťastná Hana</cp:lastModifiedBy>
  <cp:revision>5</cp:revision>
  <cp:lastPrinted>2005-07-27T07:58:00Z</cp:lastPrinted>
  <dcterms:created xsi:type="dcterms:W3CDTF">2022-09-19T08:11:00Z</dcterms:created>
  <dcterms:modified xsi:type="dcterms:W3CDTF">2022-09-21T09:03:00Z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