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8EAB1" w14:textId="77777777" w:rsidR="007B397F" w:rsidRPr="001F6A26" w:rsidRDefault="007B397F" w:rsidP="007B397F">
      <w:pPr>
        <w:jc w:val="center"/>
        <w:rPr>
          <w:b/>
        </w:rPr>
      </w:pPr>
    </w:p>
    <w:p w14:paraId="0F703EC7" w14:textId="77777777" w:rsidR="007B397F" w:rsidRPr="001F6A26" w:rsidRDefault="007B397F" w:rsidP="007B397F">
      <w:pPr>
        <w:jc w:val="center"/>
        <w:rPr>
          <w:b/>
        </w:rPr>
      </w:pPr>
    </w:p>
    <w:p w14:paraId="60250DCA" w14:textId="77777777" w:rsidR="007B397F" w:rsidRPr="001F6A26" w:rsidRDefault="007B397F" w:rsidP="007B397F">
      <w:pPr>
        <w:jc w:val="center"/>
        <w:rPr>
          <w:b/>
        </w:rPr>
      </w:pPr>
    </w:p>
    <w:p w14:paraId="088EF2C0" w14:textId="77777777" w:rsidR="007B397F" w:rsidRPr="001F6A26" w:rsidRDefault="007B397F" w:rsidP="007B397F">
      <w:pPr>
        <w:jc w:val="center"/>
        <w:rPr>
          <w:b/>
        </w:rPr>
      </w:pPr>
    </w:p>
    <w:p w14:paraId="6F036698" w14:textId="77777777" w:rsidR="007B397F" w:rsidRPr="001F6A26" w:rsidRDefault="007B397F" w:rsidP="007B397F">
      <w:pPr>
        <w:jc w:val="center"/>
        <w:rPr>
          <w:b/>
        </w:rPr>
      </w:pPr>
    </w:p>
    <w:p w14:paraId="7083D3EB" w14:textId="77777777" w:rsidR="007B397F" w:rsidRPr="001F6A26" w:rsidRDefault="007B397F" w:rsidP="007B397F">
      <w:pPr>
        <w:jc w:val="center"/>
        <w:rPr>
          <w:b/>
        </w:rPr>
      </w:pPr>
    </w:p>
    <w:p w14:paraId="0C65E492" w14:textId="77777777" w:rsidR="007B397F" w:rsidRPr="001F6A26" w:rsidRDefault="007B397F" w:rsidP="007B397F">
      <w:pPr>
        <w:jc w:val="center"/>
        <w:rPr>
          <w:b/>
        </w:rPr>
      </w:pPr>
    </w:p>
    <w:p w14:paraId="3BFE74CE" w14:textId="77777777" w:rsidR="007B397F" w:rsidRPr="001F6A26" w:rsidRDefault="007B397F" w:rsidP="007B397F">
      <w:pPr>
        <w:jc w:val="center"/>
        <w:rPr>
          <w:b/>
        </w:rPr>
      </w:pPr>
    </w:p>
    <w:p w14:paraId="2BD3CC6B" w14:textId="77777777" w:rsidR="007B397F" w:rsidRPr="001F6A26" w:rsidRDefault="007B397F" w:rsidP="007B397F">
      <w:pPr>
        <w:jc w:val="center"/>
        <w:rPr>
          <w:b/>
        </w:rPr>
      </w:pPr>
    </w:p>
    <w:p w14:paraId="7755E695" w14:textId="77777777" w:rsidR="007B397F" w:rsidRPr="001F6A26" w:rsidRDefault="007B397F" w:rsidP="007B397F">
      <w:pPr>
        <w:jc w:val="center"/>
        <w:rPr>
          <w:b/>
        </w:rPr>
      </w:pPr>
    </w:p>
    <w:p w14:paraId="357BC76F" w14:textId="77777777" w:rsidR="007B397F" w:rsidRPr="001F6A26" w:rsidRDefault="007B397F" w:rsidP="007B397F">
      <w:pPr>
        <w:jc w:val="center"/>
        <w:rPr>
          <w:b/>
        </w:rPr>
      </w:pPr>
    </w:p>
    <w:p w14:paraId="689EB6FA" w14:textId="77777777" w:rsidR="007B397F" w:rsidRPr="001F6A26" w:rsidRDefault="007B397F" w:rsidP="007B397F">
      <w:pPr>
        <w:jc w:val="center"/>
        <w:rPr>
          <w:b/>
        </w:rPr>
      </w:pPr>
    </w:p>
    <w:p w14:paraId="2BDE83DE" w14:textId="77777777" w:rsidR="007B397F" w:rsidRPr="001F6A26" w:rsidRDefault="007B397F" w:rsidP="007B397F">
      <w:pPr>
        <w:jc w:val="center"/>
        <w:rPr>
          <w:b/>
        </w:rPr>
      </w:pPr>
    </w:p>
    <w:p w14:paraId="12759678" w14:textId="77777777" w:rsidR="007B397F" w:rsidRPr="001F6A26" w:rsidRDefault="007B397F" w:rsidP="007B397F">
      <w:pPr>
        <w:jc w:val="center"/>
        <w:rPr>
          <w:b/>
        </w:rPr>
      </w:pPr>
    </w:p>
    <w:p w14:paraId="441A439F" w14:textId="77777777" w:rsidR="007B397F" w:rsidRPr="001F6A26" w:rsidRDefault="007B397F" w:rsidP="007B397F">
      <w:pPr>
        <w:jc w:val="center"/>
        <w:rPr>
          <w:b/>
        </w:rPr>
      </w:pPr>
    </w:p>
    <w:p w14:paraId="3EA11649" w14:textId="77777777" w:rsidR="007B397F" w:rsidRPr="001F6A26" w:rsidRDefault="007B397F" w:rsidP="007B397F">
      <w:pPr>
        <w:jc w:val="center"/>
        <w:rPr>
          <w:b/>
        </w:rPr>
      </w:pPr>
    </w:p>
    <w:p w14:paraId="44E0BB19" w14:textId="77777777" w:rsidR="007B397F" w:rsidRPr="001F6A26" w:rsidRDefault="007B397F" w:rsidP="007B397F">
      <w:pPr>
        <w:jc w:val="center"/>
        <w:rPr>
          <w:b/>
        </w:rPr>
      </w:pPr>
    </w:p>
    <w:p w14:paraId="7C7679FB" w14:textId="77777777" w:rsidR="007B397F" w:rsidRPr="001F6A26" w:rsidRDefault="007B397F" w:rsidP="007B397F">
      <w:pPr>
        <w:jc w:val="center"/>
        <w:rPr>
          <w:b/>
        </w:rPr>
      </w:pPr>
    </w:p>
    <w:p w14:paraId="68329275" w14:textId="77777777" w:rsidR="007B397F" w:rsidRPr="001F6A26" w:rsidRDefault="007B397F" w:rsidP="007B397F">
      <w:pPr>
        <w:jc w:val="center"/>
        <w:rPr>
          <w:b/>
        </w:rPr>
      </w:pPr>
    </w:p>
    <w:p w14:paraId="77299181" w14:textId="77777777" w:rsidR="007B397F" w:rsidRPr="001F6A26" w:rsidRDefault="007B397F" w:rsidP="007B397F">
      <w:pPr>
        <w:jc w:val="center"/>
        <w:rPr>
          <w:b/>
        </w:rPr>
      </w:pPr>
    </w:p>
    <w:p w14:paraId="10BFFD80" w14:textId="77777777" w:rsidR="007B397F" w:rsidRPr="001F6A26" w:rsidRDefault="007B397F" w:rsidP="007B397F">
      <w:pPr>
        <w:jc w:val="center"/>
        <w:rPr>
          <w:b/>
        </w:rPr>
      </w:pPr>
    </w:p>
    <w:p w14:paraId="306CBFE3" w14:textId="77777777" w:rsidR="007B397F" w:rsidRPr="001F6A26" w:rsidRDefault="007B397F" w:rsidP="007B397F">
      <w:pPr>
        <w:jc w:val="center"/>
        <w:rPr>
          <w:b/>
        </w:rPr>
      </w:pPr>
    </w:p>
    <w:p w14:paraId="570A3DA2" w14:textId="77777777" w:rsidR="007B397F" w:rsidRPr="001F6A26" w:rsidRDefault="007B397F" w:rsidP="007B397F">
      <w:pPr>
        <w:jc w:val="center"/>
        <w:rPr>
          <w:b/>
        </w:rPr>
      </w:pPr>
    </w:p>
    <w:p w14:paraId="3EEB4558" w14:textId="77777777" w:rsidR="007B397F" w:rsidRPr="001F6A26" w:rsidRDefault="007B397F" w:rsidP="007B397F">
      <w:pPr>
        <w:jc w:val="center"/>
        <w:rPr>
          <w:b/>
        </w:rPr>
      </w:pPr>
      <w:r w:rsidRPr="001F6A26">
        <w:rPr>
          <w:b/>
        </w:rPr>
        <w:t>SOUHRN ÚDAJŮ O PŘÍPRAVKU</w:t>
      </w:r>
    </w:p>
    <w:p w14:paraId="62D02479" w14:textId="77777777" w:rsidR="007B397F" w:rsidRPr="001F6A26" w:rsidRDefault="007B397F" w:rsidP="007B397F">
      <w:pPr>
        <w:jc w:val="center"/>
      </w:pPr>
    </w:p>
    <w:p w14:paraId="66141830" w14:textId="77777777" w:rsidR="007B397F" w:rsidRPr="001F6A26" w:rsidRDefault="007B397F" w:rsidP="007B397F">
      <w:r w:rsidRPr="001F6A26">
        <w:br w:type="page"/>
      </w:r>
      <w:r w:rsidRPr="001F6A26">
        <w:rPr>
          <w:b/>
        </w:rPr>
        <w:lastRenderedPageBreak/>
        <w:t>1.</w:t>
      </w:r>
      <w:r w:rsidRPr="001F6A26">
        <w:rPr>
          <w:b/>
        </w:rPr>
        <w:tab/>
        <w:t>NÁZEV VETERINÁRNÍHO LÉČIVÉHO PŘÍPRAVKU</w:t>
      </w:r>
    </w:p>
    <w:p w14:paraId="2BF0C84C" w14:textId="77777777" w:rsidR="007B397F" w:rsidRPr="001F6A26" w:rsidRDefault="007B397F" w:rsidP="007B397F"/>
    <w:p w14:paraId="4F40E3CD" w14:textId="0489A9CB" w:rsidR="007B397F" w:rsidRPr="001F6A26" w:rsidRDefault="007B397F" w:rsidP="007B397F">
      <w:pPr>
        <w:ind w:left="0" w:firstLine="0"/>
      </w:pPr>
      <w:r w:rsidRPr="001F6A26">
        <w:t>E</w:t>
      </w:r>
      <w:r w:rsidR="00727553" w:rsidRPr="001F6A26">
        <w:t>urican</w:t>
      </w:r>
      <w:r w:rsidRPr="001F6A26">
        <w:t xml:space="preserve"> DAPPi lyofilizát a rozpouštědlo pro injekční suspenzi </w:t>
      </w:r>
    </w:p>
    <w:p w14:paraId="2C014F6A" w14:textId="77777777" w:rsidR="00152EDC" w:rsidRPr="001F6A26" w:rsidRDefault="00152EDC" w:rsidP="007B397F">
      <w:pPr>
        <w:ind w:left="0" w:firstLine="0"/>
      </w:pPr>
    </w:p>
    <w:p w14:paraId="0770014C" w14:textId="77777777" w:rsidR="007B397F" w:rsidRPr="001F6A26" w:rsidRDefault="007B397F" w:rsidP="007B397F"/>
    <w:p w14:paraId="6EEE8192" w14:textId="77777777" w:rsidR="007B397F" w:rsidRPr="001F6A26" w:rsidRDefault="007B397F" w:rsidP="007B397F">
      <w:r w:rsidRPr="001F6A26">
        <w:rPr>
          <w:b/>
        </w:rPr>
        <w:t>2.</w:t>
      </w:r>
      <w:r w:rsidRPr="001F6A26">
        <w:rPr>
          <w:b/>
        </w:rPr>
        <w:tab/>
        <w:t>KVALITATIVNÍ A KVANTITATIVNÍ SLOŽENÍ</w:t>
      </w:r>
    </w:p>
    <w:p w14:paraId="4EEDAA63" w14:textId="77777777" w:rsidR="007B397F" w:rsidRPr="001F6A26" w:rsidRDefault="007B397F" w:rsidP="007B397F"/>
    <w:p w14:paraId="0EAE649F" w14:textId="2676EFF0" w:rsidR="007B397F" w:rsidRPr="001F6A26" w:rsidRDefault="00BC3A81" w:rsidP="007B397F">
      <w:r w:rsidRPr="001F6A26">
        <w:t xml:space="preserve">Každá 1 ml </w:t>
      </w:r>
      <w:r w:rsidR="007B397F" w:rsidRPr="001F6A26">
        <w:t xml:space="preserve">dávka </w:t>
      </w:r>
      <w:r w:rsidR="0087460B" w:rsidRPr="001F6A26">
        <w:t xml:space="preserve">vakcíny </w:t>
      </w:r>
      <w:r w:rsidR="007B397F" w:rsidRPr="001F6A26">
        <w:t>obsahuje:</w:t>
      </w:r>
    </w:p>
    <w:p w14:paraId="5356D445" w14:textId="77777777" w:rsidR="007B397F" w:rsidRPr="001F6A26" w:rsidRDefault="007B397F" w:rsidP="007B397F"/>
    <w:p w14:paraId="18D140F0" w14:textId="77777777" w:rsidR="007B397F" w:rsidRPr="001F6A26" w:rsidRDefault="007B397F" w:rsidP="007B397F">
      <w:pPr>
        <w:rPr>
          <w:b/>
          <w:bCs/>
          <w:iCs/>
        </w:rPr>
      </w:pPr>
      <w:r w:rsidRPr="001F6A26">
        <w:rPr>
          <w:b/>
        </w:rPr>
        <w:t>Léčivé látky:</w:t>
      </w:r>
      <w:r w:rsidRPr="001F6A26">
        <w:rPr>
          <w:b/>
          <w:bCs/>
          <w:iCs/>
        </w:rPr>
        <w:tab/>
      </w:r>
      <w:r w:rsidRPr="001F6A26">
        <w:rPr>
          <w:b/>
          <w:bCs/>
          <w:iCs/>
        </w:rPr>
        <w:tab/>
      </w:r>
      <w:r w:rsidRPr="001F6A26">
        <w:rPr>
          <w:b/>
          <w:bCs/>
          <w:iCs/>
        </w:rPr>
        <w:tab/>
      </w:r>
      <w:r w:rsidRPr="001F6A26">
        <w:rPr>
          <w:b/>
          <w:bCs/>
          <w:iCs/>
        </w:rPr>
        <w:tab/>
      </w:r>
      <w:r w:rsidRPr="001F6A26">
        <w:rPr>
          <w:b/>
          <w:bCs/>
          <w:iCs/>
        </w:rPr>
        <w:tab/>
      </w:r>
      <w:r w:rsidRPr="001F6A26">
        <w:rPr>
          <w:b/>
          <w:bCs/>
          <w:iCs/>
        </w:rPr>
        <w:tab/>
      </w:r>
      <w:r w:rsidRPr="001F6A26">
        <w:rPr>
          <w:b/>
          <w:bCs/>
          <w:iCs/>
        </w:rPr>
        <w:tab/>
      </w:r>
      <w:r w:rsidRPr="001F6A26">
        <w:rPr>
          <w:b/>
          <w:bCs/>
          <w:iCs/>
        </w:rPr>
        <w:tab/>
      </w:r>
      <w:r w:rsidRPr="001F6A26">
        <w:rPr>
          <w:b/>
          <w:bCs/>
          <w:iCs/>
        </w:rPr>
        <w:tab/>
        <w:t xml:space="preserve">  </w:t>
      </w:r>
      <w:r w:rsidRPr="001F6A26">
        <w:rPr>
          <w:b/>
          <w:bCs/>
          <w:iCs/>
        </w:rPr>
        <w:tab/>
      </w:r>
      <w:r w:rsidRPr="001F6A26">
        <w:rPr>
          <w:b/>
          <w:bCs/>
          <w:iCs/>
        </w:rPr>
        <w:tab/>
      </w:r>
      <w:r w:rsidRPr="001F6A26">
        <w:rPr>
          <w:b/>
          <w:bCs/>
          <w:iCs/>
        </w:rPr>
        <w:tab/>
      </w:r>
    </w:p>
    <w:p w14:paraId="2EB508F0" w14:textId="77777777" w:rsidR="007B397F" w:rsidRPr="001F6A26" w:rsidRDefault="007B397F" w:rsidP="007B397F">
      <w:pPr>
        <w:tabs>
          <w:tab w:val="left" w:pos="5103"/>
          <w:tab w:val="left" w:pos="7088"/>
        </w:tabs>
        <w:ind w:left="0" w:firstLine="0"/>
        <w:rPr>
          <w:b/>
          <w:bCs/>
          <w:iCs/>
        </w:rPr>
      </w:pPr>
      <w:r w:rsidRPr="001F6A26">
        <w:rPr>
          <w:b/>
          <w:bCs/>
          <w:iCs/>
        </w:rPr>
        <w:tab/>
        <w:t xml:space="preserve">                  Minimum           Maximum</w:t>
      </w:r>
    </w:p>
    <w:p w14:paraId="7224992E" w14:textId="77777777" w:rsidR="007B397F" w:rsidRPr="001F6A26" w:rsidRDefault="007B397F" w:rsidP="007B397F">
      <w:pPr>
        <w:tabs>
          <w:tab w:val="left" w:pos="6096"/>
          <w:tab w:val="left" w:pos="7088"/>
        </w:tabs>
        <w:rPr>
          <w:iCs/>
        </w:rPr>
      </w:pPr>
      <w:r w:rsidRPr="001F6A26">
        <w:rPr>
          <w:iCs/>
        </w:rPr>
        <w:t xml:space="preserve">Virus febris contagiosae canis attenuatum, kmen BA5 </w:t>
      </w:r>
      <w:r w:rsidRPr="001F6A26">
        <w:rPr>
          <w:iCs/>
        </w:rPr>
        <w:tab/>
        <w:t>10</w:t>
      </w:r>
      <w:r w:rsidRPr="001F6A26">
        <w:rPr>
          <w:iCs/>
          <w:vertAlign w:val="superscript"/>
        </w:rPr>
        <w:t xml:space="preserve">4,0 </w:t>
      </w:r>
      <w:r w:rsidRPr="001F6A26">
        <w:rPr>
          <w:iCs/>
        </w:rPr>
        <w:t>CCID</w:t>
      </w:r>
      <w:r w:rsidRPr="001F6A26">
        <w:rPr>
          <w:iCs/>
          <w:vertAlign w:val="subscript"/>
        </w:rPr>
        <w:t>50</w:t>
      </w:r>
      <w:r w:rsidRPr="001F6A26">
        <w:rPr>
          <w:iCs/>
        </w:rPr>
        <w:t xml:space="preserve">* </w:t>
      </w:r>
      <w:r w:rsidRPr="001F6A26">
        <w:rPr>
          <w:iCs/>
        </w:rPr>
        <w:tab/>
        <w:t xml:space="preserve">     10</w:t>
      </w:r>
      <w:r w:rsidRPr="001F6A26">
        <w:rPr>
          <w:iCs/>
          <w:vertAlign w:val="superscript"/>
        </w:rPr>
        <w:t xml:space="preserve">6,0 </w:t>
      </w:r>
      <w:r w:rsidRPr="001F6A26">
        <w:rPr>
          <w:iCs/>
        </w:rPr>
        <w:t>CCID</w:t>
      </w:r>
      <w:r w:rsidRPr="001F6A26">
        <w:rPr>
          <w:iCs/>
          <w:vertAlign w:val="subscript"/>
        </w:rPr>
        <w:t>50</w:t>
      </w:r>
      <w:r w:rsidRPr="001F6A26">
        <w:rPr>
          <w:iCs/>
        </w:rPr>
        <w:t xml:space="preserve">* </w:t>
      </w:r>
    </w:p>
    <w:p w14:paraId="01156A2F" w14:textId="77777777" w:rsidR="007B397F" w:rsidRPr="001F6A26" w:rsidRDefault="007B397F" w:rsidP="007B397F">
      <w:pPr>
        <w:tabs>
          <w:tab w:val="left" w:pos="6096"/>
          <w:tab w:val="left" w:pos="7655"/>
        </w:tabs>
        <w:rPr>
          <w:iCs/>
        </w:rPr>
      </w:pPr>
      <w:r w:rsidRPr="001F6A26">
        <w:rPr>
          <w:iCs/>
        </w:rPr>
        <w:t xml:space="preserve">Virus laryngotracheitidis canis atteunuatum </w:t>
      </w:r>
      <w:r w:rsidR="0087460B" w:rsidRPr="001F6A26">
        <w:rPr>
          <w:iCs/>
        </w:rPr>
        <w:t>typ 2</w:t>
      </w:r>
      <w:r w:rsidRPr="001F6A26">
        <w:rPr>
          <w:iCs/>
        </w:rPr>
        <w:t>, kmen DK13 </w:t>
      </w:r>
      <w:r w:rsidRPr="001F6A26">
        <w:rPr>
          <w:iCs/>
        </w:rPr>
        <w:tab/>
        <w:t>10</w:t>
      </w:r>
      <w:r w:rsidRPr="001F6A26">
        <w:rPr>
          <w:iCs/>
          <w:vertAlign w:val="superscript"/>
        </w:rPr>
        <w:t xml:space="preserve">2,5 </w:t>
      </w:r>
      <w:r w:rsidRPr="001F6A26">
        <w:rPr>
          <w:iCs/>
        </w:rPr>
        <w:t>CCID</w:t>
      </w:r>
      <w:r w:rsidRPr="001F6A26">
        <w:rPr>
          <w:iCs/>
          <w:vertAlign w:val="subscript"/>
        </w:rPr>
        <w:t>50</w:t>
      </w:r>
      <w:r w:rsidRPr="001F6A26">
        <w:rPr>
          <w:iCs/>
        </w:rPr>
        <w:t xml:space="preserve">* </w:t>
      </w:r>
      <w:r w:rsidRPr="001F6A26">
        <w:rPr>
          <w:iCs/>
        </w:rPr>
        <w:tab/>
        <w:t>10</w:t>
      </w:r>
      <w:r w:rsidRPr="001F6A26">
        <w:rPr>
          <w:iCs/>
          <w:vertAlign w:val="superscript"/>
        </w:rPr>
        <w:t xml:space="preserve">6,3 </w:t>
      </w:r>
      <w:r w:rsidRPr="001F6A26">
        <w:rPr>
          <w:iCs/>
        </w:rPr>
        <w:t>CCID</w:t>
      </w:r>
      <w:r w:rsidRPr="001F6A26">
        <w:rPr>
          <w:iCs/>
          <w:vertAlign w:val="subscript"/>
        </w:rPr>
        <w:t>50</w:t>
      </w:r>
      <w:r w:rsidRPr="001F6A26">
        <w:rPr>
          <w:iCs/>
        </w:rPr>
        <w:t xml:space="preserve">* </w:t>
      </w:r>
    </w:p>
    <w:p w14:paraId="2D9732EA" w14:textId="77777777" w:rsidR="007B397F" w:rsidRPr="001F6A26" w:rsidRDefault="007B397F" w:rsidP="007B397F">
      <w:pPr>
        <w:tabs>
          <w:tab w:val="left" w:pos="1701"/>
          <w:tab w:val="left" w:pos="6096"/>
          <w:tab w:val="left" w:pos="7655"/>
        </w:tabs>
        <w:rPr>
          <w:iCs/>
        </w:rPr>
      </w:pPr>
      <w:r w:rsidRPr="001F6A26">
        <w:rPr>
          <w:iCs/>
        </w:rPr>
        <w:t xml:space="preserve">Parvovirus enteritidis canis attenuatum typ 2, kmen CAG2 </w:t>
      </w:r>
      <w:r w:rsidRPr="001F6A26">
        <w:rPr>
          <w:iCs/>
        </w:rPr>
        <w:tab/>
        <w:t>10</w:t>
      </w:r>
      <w:r w:rsidRPr="001F6A26">
        <w:rPr>
          <w:iCs/>
          <w:vertAlign w:val="superscript"/>
        </w:rPr>
        <w:t xml:space="preserve">4,9 </w:t>
      </w:r>
      <w:r w:rsidRPr="001F6A26">
        <w:rPr>
          <w:iCs/>
        </w:rPr>
        <w:t>CCID</w:t>
      </w:r>
      <w:r w:rsidRPr="001F6A26">
        <w:rPr>
          <w:iCs/>
          <w:vertAlign w:val="subscript"/>
        </w:rPr>
        <w:t>50</w:t>
      </w:r>
      <w:r w:rsidRPr="001F6A26">
        <w:rPr>
          <w:iCs/>
        </w:rPr>
        <w:t xml:space="preserve">* </w:t>
      </w:r>
      <w:r w:rsidRPr="001F6A26">
        <w:rPr>
          <w:iCs/>
        </w:rPr>
        <w:tab/>
        <w:t>10</w:t>
      </w:r>
      <w:r w:rsidRPr="001F6A26">
        <w:rPr>
          <w:iCs/>
          <w:vertAlign w:val="superscript"/>
        </w:rPr>
        <w:t xml:space="preserve">7,1 </w:t>
      </w:r>
      <w:r w:rsidRPr="001F6A26">
        <w:rPr>
          <w:iCs/>
        </w:rPr>
        <w:t>CCID</w:t>
      </w:r>
      <w:r w:rsidRPr="001F6A26">
        <w:rPr>
          <w:iCs/>
          <w:vertAlign w:val="subscript"/>
        </w:rPr>
        <w:t>50</w:t>
      </w:r>
      <w:r w:rsidRPr="001F6A26">
        <w:rPr>
          <w:iCs/>
        </w:rPr>
        <w:t xml:space="preserve">* </w:t>
      </w:r>
    </w:p>
    <w:p w14:paraId="1C890A6F" w14:textId="7AEBC757" w:rsidR="007B397F" w:rsidRPr="001F6A26" w:rsidRDefault="007B397F" w:rsidP="007B397F">
      <w:pPr>
        <w:tabs>
          <w:tab w:val="left" w:pos="1701"/>
          <w:tab w:val="left" w:pos="6096"/>
          <w:tab w:val="left" w:pos="7655"/>
        </w:tabs>
        <w:rPr>
          <w:iCs/>
        </w:rPr>
      </w:pPr>
      <w:bookmarkStart w:id="0" w:name="_Hlk160623339"/>
      <w:r w:rsidRPr="001F6A26">
        <w:rPr>
          <w:iCs/>
        </w:rPr>
        <w:t>Virus parainfluen</w:t>
      </w:r>
      <w:r w:rsidR="00924B97" w:rsidRPr="001F6A26">
        <w:rPr>
          <w:iCs/>
        </w:rPr>
        <w:t>zae</w:t>
      </w:r>
      <w:r w:rsidRPr="001F6A26">
        <w:rPr>
          <w:iCs/>
        </w:rPr>
        <w:t xml:space="preserve"> canis attenuatum </w:t>
      </w:r>
      <w:bookmarkEnd w:id="0"/>
      <w:r w:rsidRPr="001F6A26">
        <w:rPr>
          <w:iCs/>
        </w:rPr>
        <w:t xml:space="preserve">typ 2, kmen CGF 2004/75 </w:t>
      </w:r>
      <w:r w:rsidRPr="001F6A26">
        <w:rPr>
          <w:iCs/>
        </w:rPr>
        <w:tab/>
        <w:t>10</w:t>
      </w:r>
      <w:r w:rsidRPr="001F6A26">
        <w:rPr>
          <w:iCs/>
          <w:vertAlign w:val="superscript"/>
        </w:rPr>
        <w:t xml:space="preserve">4,7 </w:t>
      </w:r>
      <w:r w:rsidRPr="001F6A26">
        <w:rPr>
          <w:iCs/>
        </w:rPr>
        <w:t>CCID</w:t>
      </w:r>
      <w:r w:rsidRPr="001F6A26">
        <w:rPr>
          <w:iCs/>
          <w:vertAlign w:val="subscript"/>
        </w:rPr>
        <w:t>50</w:t>
      </w:r>
      <w:r w:rsidRPr="001F6A26">
        <w:rPr>
          <w:iCs/>
        </w:rPr>
        <w:t xml:space="preserve">* </w:t>
      </w:r>
      <w:r w:rsidRPr="001F6A26">
        <w:rPr>
          <w:iCs/>
        </w:rPr>
        <w:tab/>
        <w:t>10</w:t>
      </w:r>
      <w:r w:rsidRPr="001F6A26">
        <w:rPr>
          <w:iCs/>
          <w:vertAlign w:val="superscript"/>
        </w:rPr>
        <w:t xml:space="preserve">7,1 </w:t>
      </w:r>
      <w:r w:rsidRPr="001F6A26">
        <w:rPr>
          <w:iCs/>
        </w:rPr>
        <w:t>CCID</w:t>
      </w:r>
      <w:r w:rsidRPr="001F6A26">
        <w:rPr>
          <w:iCs/>
          <w:vertAlign w:val="subscript"/>
        </w:rPr>
        <w:t>50</w:t>
      </w:r>
      <w:r w:rsidRPr="001F6A26">
        <w:rPr>
          <w:iCs/>
        </w:rPr>
        <w:t xml:space="preserve">* </w:t>
      </w:r>
    </w:p>
    <w:p w14:paraId="506217FB" w14:textId="5BF8EA32" w:rsidR="007B397F" w:rsidRPr="001F6A26" w:rsidRDefault="007B397F" w:rsidP="007B397F">
      <w:pPr>
        <w:tabs>
          <w:tab w:val="left" w:pos="1701"/>
        </w:tabs>
        <w:rPr>
          <w:iCs/>
        </w:rPr>
      </w:pPr>
      <w:r w:rsidRPr="001F6A26">
        <w:rPr>
          <w:iCs/>
        </w:rPr>
        <w:t>* CCID</w:t>
      </w:r>
      <w:r w:rsidRPr="001F6A26">
        <w:rPr>
          <w:iCs/>
          <w:vertAlign w:val="subscript"/>
        </w:rPr>
        <w:t>50</w:t>
      </w:r>
      <w:r w:rsidRPr="001F6A26">
        <w:rPr>
          <w:iCs/>
        </w:rPr>
        <w:t>: 50% infekční dávka pro buněčné kultury</w:t>
      </w:r>
    </w:p>
    <w:p w14:paraId="5E3EDD99" w14:textId="77777777" w:rsidR="007B397F" w:rsidRPr="001F6A26" w:rsidRDefault="007B397F" w:rsidP="007B397F">
      <w:pPr>
        <w:tabs>
          <w:tab w:val="left" w:pos="1701"/>
        </w:tabs>
        <w:rPr>
          <w:iCs/>
        </w:rPr>
      </w:pPr>
    </w:p>
    <w:p w14:paraId="4D4C0593" w14:textId="77777777" w:rsidR="00B161D9" w:rsidRPr="001F6A26" w:rsidRDefault="00B161D9" w:rsidP="00B161D9">
      <w:pPr>
        <w:rPr>
          <w:szCs w:val="22"/>
        </w:rPr>
      </w:pPr>
      <w:r w:rsidRPr="001F6A26">
        <w:rPr>
          <w:b/>
          <w:szCs w:val="22"/>
        </w:rPr>
        <w:t>Pomocné látky:</w:t>
      </w:r>
    </w:p>
    <w:p w14:paraId="787EC01A" w14:textId="77777777" w:rsidR="00B161D9" w:rsidRPr="001F6A26" w:rsidRDefault="00B161D9" w:rsidP="00B161D9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B161D9" w:rsidRPr="001F6A26" w14:paraId="5E0ACB66" w14:textId="77777777" w:rsidTr="00235C72">
        <w:tc>
          <w:tcPr>
            <w:tcW w:w="9072" w:type="dxa"/>
            <w:shd w:val="clear" w:color="auto" w:fill="auto"/>
            <w:vAlign w:val="center"/>
          </w:tcPr>
          <w:p w14:paraId="319C8E45" w14:textId="77777777" w:rsidR="00B161D9" w:rsidRPr="001F6A26" w:rsidRDefault="00B161D9" w:rsidP="00235C72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F6A2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B161D9" w:rsidRPr="001F6A26" w14:paraId="68BCD278" w14:textId="77777777" w:rsidTr="00235C72">
        <w:tc>
          <w:tcPr>
            <w:tcW w:w="9072" w:type="dxa"/>
            <w:shd w:val="clear" w:color="auto" w:fill="auto"/>
            <w:vAlign w:val="center"/>
          </w:tcPr>
          <w:p w14:paraId="5F29FC31" w14:textId="77777777" w:rsidR="00B161D9" w:rsidRPr="001F6A26" w:rsidRDefault="00B161D9" w:rsidP="00235C72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F6A26">
              <w:rPr>
                <w:b/>
                <w:bCs/>
                <w:iCs/>
                <w:szCs w:val="22"/>
              </w:rPr>
              <w:t>Lyofilizát:</w:t>
            </w:r>
          </w:p>
        </w:tc>
      </w:tr>
      <w:tr w:rsidR="00B161D9" w:rsidRPr="001F6A26" w14:paraId="5BDA843E" w14:textId="77777777" w:rsidTr="00235C72">
        <w:tc>
          <w:tcPr>
            <w:tcW w:w="9072" w:type="dxa"/>
            <w:shd w:val="clear" w:color="auto" w:fill="auto"/>
            <w:vAlign w:val="center"/>
          </w:tcPr>
          <w:p w14:paraId="2EE32A4C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t>Hydrolyzovaný kasein</w:t>
            </w:r>
          </w:p>
        </w:tc>
      </w:tr>
      <w:tr w:rsidR="00B161D9" w:rsidRPr="001F6A26" w14:paraId="2BE1FE2C" w14:textId="77777777" w:rsidTr="00235C72">
        <w:tc>
          <w:tcPr>
            <w:tcW w:w="9072" w:type="dxa"/>
            <w:shd w:val="clear" w:color="auto" w:fill="auto"/>
            <w:vAlign w:val="center"/>
          </w:tcPr>
          <w:p w14:paraId="6910282C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t>Želatina</w:t>
            </w:r>
          </w:p>
        </w:tc>
      </w:tr>
      <w:tr w:rsidR="00B161D9" w:rsidRPr="001F6A26" w14:paraId="1F137834" w14:textId="77777777" w:rsidTr="00235C72">
        <w:tc>
          <w:tcPr>
            <w:tcW w:w="9072" w:type="dxa"/>
            <w:shd w:val="clear" w:color="auto" w:fill="auto"/>
            <w:vAlign w:val="center"/>
          </w:tcPr>
          <w:p w14:paraId="17E09DD3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t>Dextran 40</w:t>
            </w:r>
          </w:p>
        </w:tc>
      </w:tr>
      <w:tr w:rsidR="00B161D9" w:rsidRPr="001F6A26" w14:paraId="4BA5F45C" w14:textId="77777777" w:rsidTr="00235C72">
        <w:tc>
          <w:tcPr>
            <w:tcW w:w="9072" w:type="dxa"/>
            <w:shd w:val="clear" w:color="auto" w:fill="auto"/>
            <w:vAlign w:val="center"/>
          </w:tcPr>
          <w:p w14:paraId="48F7207B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t>Hydrogenfosforečnan draselný</w:t>
            </w:r>
          </w:p>
        </w:tc>
      </w:tr>
      <w:tr w:rsidR="00B161D9" w:rsidRPr="001F6A26" w14:paraId="613266CF" w14:textId="77777777" w:rsidTr="00235C72">
        <w:tc>
          <w:tcPr>
            <w:tcW w:w="9072" w:type="dxa"/>
            <w:shd w:val="clear" w:color="auto" w:fill="auto"/>
            <w:vAlign w:val="center"/>
          </w:tcPr>
          <w:p w14:paraId="389C59EB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t>Dihydrogenfosforečnan draselný</w:t>
            </w:r>
          </w:p>
        </w:tc>
      </w:tr>
      <w:tr w:rsidR="00B161D9" w:rsidRPr="001F6A26" w14:paraId="1E59FA66" w14:textId="77777777" w:rsidTr="00235C72">
        <w:tc>
          <w:tcPr>
            <w:tcW w:w="9072" w:type="dxa"/>
            <w:shd w:val="clear" w:color="auto" w:fill="auto"/>
            <w:vAlign w:val="center"/>
          </w:tcPr>
          <w:p w14:paraId="659EF641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t>Hydroxid draselný</w:t>
            </w:r>
          </w:p>
        </w:tc>
      </w:tr>
      <w:tr w:rsidR="00B161D9" w:rsidRPr="001F6A26" w14:paraId="686035BC" w14:textId="77777777" w:rsidTr="00235C72">
        <w:tc>
          <w:tcPr>
            <w:tcW w:w="9072" w:type="dxa"/>
            <w:shd w:val="clear" w:color="auto" w:fill="auto"/>
            <w:vAlign w:val="center"/>
          </w:tcPr>
          <w:p w14:paraId="7CE7EC46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t>Sorbitol</w:t>
            </w:r>
          </w:p>
        </w:tc>
      </w:tr>
      <w:tr w:rsidR="00B161D9" w:rsidRPr="001F6A26" w14:paraId="1781C4A1" w14:textId="77777777" w:rsidTr="00235C72">
        <w:tc>
          <w:tcPr>
            <w:tcW w:w="9072" w:type="dxa"/>
            <w:shd w:val="clear" w:color="auto" w:fill="auto"/>
            <w:vAlign w:val="center"/>
          </w:tcPr>
          <w:p w14:paraId="4DFA5453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t>Sacharosa</w:t>
            </w:r>
          </w:p>
        </w:tc>
      </w:tr>
      <w:tr w:rsidR="00B161D9" w:rsidRPr="001F6A26" w14:paraId="6DF41AF8" w14:textId="77777777" w:rsidTr="00235C72">
        <w:tc>
          <w:tcPr>
            <w:tcW w:w="9072" w:type="dxa"/>
            <w:shd w:val="clear" w:color="auto" w:fill="auto"/>
            <w:vAlign w:val="center"/>
          </w:tcPr>
          <w:p w14:paraId="68610B1C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t>Voda pro injekci</w:t>
            </w:r>
          </w:p>
        </w:tc>
      </w:tr>
      <w:tr w:rsidR="00B161D9" w:rsidRPr="001F6A26" w14:paraId="5D658404" w14:textId="77777777" w:rsidTr="00235C72">
        <w:tc>
          <w:tcPr>
            <w:tcW w:w="9072" w:type="dxa"/>
            <w:shd w:val="clear" w:color="auto" w:fill="auto"/>
            <w:vAlign w:val="center"/>
          </w:tcPr>
          <w:p w14:paraId="48BB8837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rPr>
                <w:b/>
                <w:bCs/>
              </w:rPr>
              <w:t>Rozpouštědlo:</w:t>
            </w:r>
          </w:p>
        </w:tc>
      </w:tr>
      <w:tr w:rsidR="00B161D9" w:rsidRPr="001F6A26" w14:paraId="30F91CA3" w14:textId="77777777" w:rsidTr="00235C72">
        <w:tc>
          <w:tcPr>
            <w:tcW w:w="9072" w:type="dxa"/>
            <w:shd w:val="clear" w:color="auto" w:fill="auto"/>
            <w:vAlign w:val="center"/>
          </w:tcPr>
          <w:p w14:paraId="1A8665B9" w14:textId="77777777" w:rsidR="00B161D9" w:rsidRPr="001F6A26" w:rsidRDefault="00B161D9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t>Voda pro injekci</w:t>
            </w:r>
          </w:p>
        </w:tc>
      </w:tr>
    </w:tbl>
    <w:p w14:paraId="4052BE71" w14:textId="77777777" w:rsidR="007B397F" w:rsidRPr="001F6A26" w:rsidRDefault="007B397F" w:rsidP="007B397F"/>
    <w:p w14:paraId="7F4FC73B" w14:textId="77777777" w:rsidR="007B397F" w:rsidRPr="001F6A26" w:rsidRDefault="007B397F" w:rsidP="00765739">
      <w:r w:rsidRPr="001F6A26">
        <w:t>Béžový až světle žlutý lyofilizát a bezbarv</w:t>
      </w:r>
      <w:r w:rsidR="0087460B" w:rsidRPr="001F6A26">
        <w:t>á</w:t>
      </w:r>
      <w:r w:rsidRPr="001F6A26">
        <w:t xml:space="preserve"> </w:t>
      </w:r>
      <w:r w:rsidR="0087460B" w:rsidRPr="001F6A26">
        <w:t>kapalina</w:t>
      </w:r>
      <w:r w:rsidRPr="001F6A26">
        <w:t>.</w:t>
      </w:r>
    </w:p>
    <w:p w14:paraId="16406E54" w14:textId="77777777" w:rsidR="006B4CE3" w:rsidRPr="001F6A26" w:rsidRDefault="006B4CE3" w:rsidP="00765739"/>
    <w:p w14:paraId="329B12C1" w14:textId="77777777" w:rsidR="007B397F" w:rsidRPr="001F6A26" w:rsidRDefault="007B397F" w:rsidP="00765739"/>
    <w:p w14:paraId="619C8FDC" w14:textId="77777777" w:rsidR="00014F34" w:rsidRPr="001F6A26" w:rsidRDefault="00014F34" w:rsidP="00765739">
      <w:pPr>
        <w:pStyle w:val="Style1"/>
      </w:pPr>
      <w:r w:rsidRPr="001F6A26">
        <w:t>3.</w:t>
      </w:r>
      <w:r w:rsidRPr="001F6A26">
        <w:tab/>
        <w:t>KLINICKÉ INFORMACE</w:t>
      </w:r>
    </w:p>
    <w:p w14:paraId="4E47D94A" w14:textId="77777777" w:rsidR="00014F34" w:rsidRPr="001F6A26" w:rsidRDefault="00014F34" w:rsidP="00765739"/>
    <w:p w14:paraId="3567DB14" w14:textId="77777777" w:rsidR="00014F34" w:rsidRPr="001F6A26" w:rsidRDefault="00014F34" w:rsidP="00765739">
      <w:r w:rsidRPr="001F6A26">
        <w:rPr>
          <w:b/>
        </w:rPr>
        <w:t>3.1</w:t>
      </w:r>
      <w:r w:rsidRPr="001F6A26">
        <w:rPr>
          <w:b/>
        </w:rPr>
        <w:tab/>
        <w:t>Cílové druhy zvířat</w:t>
      </w:r>
    </w:p>
    <w:p w14:paraId="4FE537C0" w14:textId="77777777" w:rsidR="007B397F" w:rsidRPr="001F6A26" w:rsidRDefault="007B397F" w:rsidP="00765739"/>
    <w:p w14:paraId="2798A169" w14:textId="77777777" w:rsidR="007B397F" w:rsidRPr="001F6A26" w:rsidRDefault="007B397F" w:rsidP="00765739">
      <w:r w:rsidRPr="001F6A26">
        <w:t>Psi</w:t>
      </w:r>
    </w:p>
    <w:p w14:paraId="2574F8C3" w14:textId="77777777" w:rsidR="007B397F" w:rsidRPr="001F6A26" w:rsidRDefault="007B397F" w:rsidP="00765739"/>
    <w:p w14:paraId="6619D271" w14:textId="77777777" w:rsidR="00FD40E2" w:rsidRPr="001F6A26" w:rsidRDefault="00FD40E2" w:rsidP="00765739">
      <w:pPr>
        <w:pStyle w:val="Style1"/>
      </w:pPr>
      <w:r w:rsidRPr="001F6A26">
        <w:t>3.2</w:t>
      </w:r>
      <w:r w:rsidRPr="001F6A26">
        <w:tab/>
        <w:t>Indikace pro použití pro každý cílový druh zvířat</w:t>
      </w:r>
    </w:p>
    <w:p w14:paraId="13780C7C" w14:textId="75C5EBA9" w:rsidR="007B397F" w:rsidRPr="001F6A26" w:rsidRDefault="007B397F" w:rsidP="00765739"/>
    <w:p w14:paraId="7BA9D38D" w14:textId="77777777" w:rsidR="007B397F" w:rsidRPr="001F6A26" w:rsidRDefault="007B397F" w:rsidP="00EF7432">
      <w:pPr>
        <w:ind w:left="0" w:firstLine="0"/>
      </w:pPr>
      <w:r w:rsidRPr="001F6A26">
        <w:t>Aktivní imunizace psů k:</w:t>
      </w:r>
    </w:p>
    <w:p w14:paraId="3D25BF6F" w14:textId="77777777" w:rsidR="007B397F" w:rsidRPr="001F6A26" w:rsidRDefault="007B397F" w:rsidP="00765739">
      <w:pPr>
        <w:numPr>
          <w:ilvl w:val="0"/>
          <w:numId w:val="39"/>
        </w:numPr>
        <w:ind w:left="714" w:hanging="357"/>
      </w:pPr>
      <w:r w:rsidRPr="001F6A26">
        <w:t>prevenci mortality a klinických příznaků způsobených virem psinky (CDV),</w:t>
      </w:r>
    </w:p>
    <w:p w14:paraId="6C2DDEDC" w14:textId="5CD72F8A" w:rsidR="007B397F" w:rsidRPr="001F6A26" w:rsidRDefault="007B397F" w:rsidP="00765739">
      <w:pPr>
        <w:numPr>
          <w:ilvl w:val="0"/>
          <w:numId w:val="39"/>
        </w:numPr>
        <w:ind w:left="714" w:hanging="357"/>
      </w:pPr>
      <w:r w:rsidRPr="001F6A26">
        <w:t>prevenci mortality a klinických příznaků způsobených virem infekční hepatitidy psů (CAV</w:t>
      </w:r>
      <w:r w:rsidR="00FD40E2" w:rsidRPr="001F6A26">
        <w:t>-1</w:t>
      </w:r>
      <w:r w:rsidRPr="001F6A26">
        <w:t>)</w:t>
      </w:r>
      <w:r w:rsidR="00FD40E2" w:rsidRPr="001F6A26">
        <w:t>,</w:t>
      </w:r>
    </w:p>
    <w:p w14:paraId="36CBA073" w14:textId="03A7913C" w:rsidR="007B397F" w:rsidRPr="001F6A26" w:rsidRDefault="007B397F" w:rsidP="00765739">
      <w:pPr>
        <w:numPr>
          <w:ilvl w:val="0"/>
          <w:numId w:val="39"/>
        </w:numPr>
        <w:ind w:left="714" w:hanging="357"/>
      </w:pPr>
      <w:r w:rsidRPr="001F6A26">
        <w:t>snížení vylučování viru během respiračního onemocnění způsobeného psím adenovirem typu</w:t>
      </w:r>
      <w:r w:rsidR="001427C3" w:rsidRPr="001F6A26">
        <w:t> </w:t>
      </w:r>
      <w:r w:rsidRPr="001F6A26">
        <w:t xml:space="preserve">2 (CAV-2), </w:t>
      </w:r>
    </w:p>
    <w:p w14:paraId="3CD71F70" w14:textId="31B55051" w:rsidR="007B397F" w:rsidRPr="001F6A26" w:rsidRDefault="007B397F" w:rsidP="00765739">
      <w:pPr>
        <w:numPr>
          <w:ilvl w:val="0"/>
          <w:numId w:val="39"/>
        </w:numPr>
        <w:ind w:left="714" w:hanging="357"/>
      </w:pPr>
      <w:r w:rsidRPr="001F6A26">
        <w:t>prevenci mortality, klinických příznaků a vylučování psího parvoviru (CPV)*</w:t>
      </w:r>
      <w:r w:rsidR="00073D2D" w:rsidRPr="001F6A26">
        <w:t>,</w:t>
      </w:r>
    </w:p>
    <w:p w14:paraId="23DDE65A" w14:textId="4E7B5C79" w:rsidR="007B397F" w:rsidRPr="001F6A26" w:rsidRDefault="007B397F" w:rsidP="00765739">
      <w:pPr>
        <w:numPr>
          <w:ilvl w:val="0"/>
          <w:numId w:val="39"/>
        </w:numPr>
        <w:ind w:left="714" w:hanging="357"/>
      </w:pPr>
      <w:r w:rsidRPr="001F6A26">
        <w:lastRenderedPageBreak/>
        <w:t>snížení vylučování viru parainfluenzy psů typu 2 (CPiV)</w:t>
      </w:r>
      <w:r w:rsidR="000868BA" w:rsidRPr="001F6A26">
        <w:t>.</w:t>
      </w:r>
    </w:p>
    <w:p w14:paraId="12DADC4C" w14:textId="77777777" w:rsidR="007B397F" w:rsidRPr="001F6A26" w:rsidRDefault="007B397F" w:rsidP="00765739"/>
    <w:p w14:paraId="7141FBAA" w14:textId="6CC73E2C" w:rsidR="007B397F" w:rsidRPr="001F6A26" w:rsidRDefault="007B397F" w:rsidP="00765739">
      <w:r w:rsidRPr="001F6A26">
        <w:t xml:space="preserve">Nástup imunity: 2 týdny </w:t>
      </w:r>
      <w:r w:rsidR="0087460B" w:rsidRPr="001F6A26">
        <w:t>po druhé injekci v rámci primovakcinace.</w:t>
      </w:r>
    </w:p>
    <w:p w14:paraId="0B60A179" w14:textId="77777777" w:rsidR="007B397F" w:rsidRPr="001F6A26" w:rsidRDefault="007B397F" w:rsidP="00765739"/>
    <w:p w14:paraId="151F440D" w14:textId="324F245D" w:rsidR="007B397F" w:rsidRPr="001F6A26" w:rsidRDefault="007B397F" w:rsidP="00EF7432">
      <w:r w:rsidRPr="001F6A26">
        <w:t xml:space="preserve">Trvání imunity: nejméně jeden rok po druhé injekci v rámci primovakcinace. </w:t>
      </w:r>
    </w:p>
    <w:p w14:paraId="2B7BA092" w14:textId="77777777" w:rsidR="00765739" w:rsidRPr="001F6A26" w:rsidRDefault="00765739" w:rsidP="00EF7432"/>
    <w:p w14:paraId="6DD29D58" w14:textId="2AE7BCA5" w:rsidR="007B397F" w:rsidRPr="001F6A26" w:rsidRDefault="007B397F" w:rsidP="00056663">
      <w:pPr>
        <w:ind w:left="0" w:firstLine="0"/>
      </w:pPr>
      <w:r w:rsidRPr="001F6A26">
        <w:t xml:space="preserve">Aktuálně dostupná čelenžní a sérologická data ukazují, že ochrana proti viru psinky, adenoviru a parvoviru* trvá 2 roky po primovakcinaci následované revakcinací po 1 roce. Každé rozhodnutí upravit vakcinační schéma tohoto veterinárního léčivého přípravku musí být provedeno na základě zvážení jednotlivých případů, s přihlédnutím k vakcinační historii psa a epizootické situaci. </w:t>
      </w:r>
    </w:p>
    <w:p w14:paraId="58C4F1FD" w14:textId="77777777" w:rsidR="00765739" w:rsidRPr="001F6A26" w:rsidRDefault="00765739" w:rsidP="00EF7432"/>
    <w:p w14:paraId="43EB1CA0" w14:textId="77777777" w:rsidR="007B397F" w:rsidRPr="001F6A26" w:rsidRDefault="007B397F" w:rsidP="00EF7432">
      <w:r w:rsidRPr="001F6A26">
        <w:t xml:space="preserve">*Ochrana byla prokázána proti psímu parvoviru typu 2a, 2b a 2c buď čelenží (typ 2b) nebo </w:t>
      </w:r>
    </w:p>
    <w:p w14:paraId="2DB5F015" w14:textId="77777777" w:rsidR="007B397F" w:rsidRPr="001F6A26" w:rsidRDefault="007B397F" w:rsidP="00EF7432">
      <w:r w:rsidRPr="001F6A26">
        <w:t>sérologicky (typ 2a a 2c).</w:t>
      </w:r>
    </w:p>
    <w:p w14:paraId="37C813D2" w14:textId="77777777" w:rsidR="007B397F" w:rsidRPr="001F6A26" w:rsidRDefault="007B397F" w:rsidP="00765739"/>
    <w:p w14:paraId="71809FB2" w14:textId="77777777" w:rsidR="00C66EC1" w:rsidRPr="001F6A26" w:rsidRDefault="00C66EC1" w:rsidP="00C66EC1">
      <w:r w:rsidRPr="001F6A26">
        <w:rPr>
          <w:b/>
        </w:rPr>
        <w:t>3.3</w:t>
      </w:r>
      <w:r w:rsidRPr="001F6A26">
        <w:rPr>
          <w:b/>
        </w:rPr>
        <w:tab/>
        <w:t>Kontraindikace</w:t>
      </w:r>
    </w:p>
    <w:p w14:paraId="11AD2FFD" w14:textId="720D1FF2" w:rsidR="007B397F" w:rsidRPr="001F6A26" w:rsidRDefault="007B397F" w:rsidP="00765739"/>
    <w:p w14:paraId="51144E1F" w14:textId="77777777" w:rsidR="007B397F" w:rsidRPr="001F6A26" w:rsidRDefault="007B397F" w:rsidP="00EF7432">
      <w:pPr>
        <w:ind w:left="0" w:firstLine="0"/>
      </w:pPr>
      <w:r w:rsidRPr="001F6A26">
        <w:t>Nejsou.</w:t>
      </w:r>
    </w:p>
    <w:p w14:paraId="1305E883" w14:textId="77777777" w:rsidR="007B397F" w:rsidRPr="001F6A26" w:rsidRDefault="007B397F" w:rsidP="00765739"/>
    <w:p w14:paraId="5E891A34" w14:textId="77777777" w:rsidR="00C17E7B" w:rsidRPr="001F6A26" w:rsidRDefault="00C17E7B" w:rsidP="00C17E7B">
      <w:pPr>
        <w:rPr>
          <w:b/>
        </w:rPr>
      </w:pPr>
      <w:r w:rsidRPr="001F6A26">
        <w:rPr>
          <w:b/>
        </w:rPr>
        <w:t>3.4</w:t>
      </w:r>
      <w:r w:rsidRPr="001F6A26">
        <w:rPr>
          <w:b/>
        </w:rPr>
        <w:tab/>
        <w:t>Zvláštní upozornění</w:t>
      </w:r>
    </w:p>
    <w:p w14:paraId="256031F9" w14:textId="77777777" w:rsidR="007B397F" w:rsidRPr="001F6A26" w:rsidRDefault="007B397F" w:rsidP="00765739"/>
    <w:p w14:paraId="7669D99F" w14:textId="77777777" w:rsidR="00FC332D" w:rsidRPr="001F6A26" w:rsidRDefault="00675BEB" w:rsidP="00765739">
      <w:r w:rsidRPr="001F6A26">
        <w:rPr>
          <w:szCs w:val="22"/>
        </w:rPr>
        <w:t>Vakcinovat pouze zdravá zvířata.</w:t>
      </w:r>
    </w:p>
    <w:p w14:paraId="55CEA37E" w14:textId="77777777" w:rsidR="007B397F" w:rsidRPr="001F6A26" w:rsidRDefault="007B397F" w:rsidP="00765739"/>
    <w:p w14:paraId="02AE8488" w14:textId="77777777" w:rsidR="006677E6" w:rsidRPr="001F6A26" w:rsidRDefault="006677E6" w:rsidP="006677E6">
      <w:r w:rsidRPr="001F6A26">
        <w:rPr>
          <w:b/>
        </w:rPr>
        <w:t>3.5</w:t>
      </w:r>
      <w:r w:rsidRPr="001F6A26">
        <w:rPr>
          <w:b/>
        </w:rPr>
        <w:tab/>
        <w:t>Zvláštní opatření pro použití</w:t>
      </w:r>
    </w:p>
    <w:p w14:paraId="39101F88" w14:textId="77777777" w:rsidR="007B397F" w:rsidRPr="001F6A26" w:rsidRDefault="007B397F" w:rsidP="00765739"/>
    <w:p w14:paraId="2D18DD09" w14:textId="77777777" w:rsidR="00BE02A3" w:rsidRPr="001F6A26" w:rsidRDefault="00BE02A3" w:rsidP="00BE02A3">
      <w:pPr>
        <w:rPr>
          <w:szCs w:val="22"/>
          <w:u w:val="single"/>
        </w:rPr>
      </w:pPr>
      <w:r w:rsidRPr="001F6A26">
        <w:rPr>
          <w:szCs w:val="22"/>
          <w:u w:val="single"/>
        </w:rPr>
        <w:t>Zvláštní opatření pro bezpečné použití u cílových druhů zvířat:</w:t>
      </w:r>
    </w:p>
    <w:p w14:paraId="39289790" w14:textId="77777777" w:rsidR="007B397F" w:rsidRPr="001F6A26" w:rsidRDefault="007B397F" w:rsidP="00EF7432">
      <w:pPr>
        <w:ind w:left="0" w:firstLine="0"/>
      </w:pPr>
      <w:r w:rsidRPr="001F6A26">
        <w:t xml:space="preserve">Dodržujte obvyklé aseptické postupy. </w:t>
      </w:r>
    </w:p>
    <w:p w14:paraId="654B3405" w14:textId="77777777" w:rsidR="007B397F" w:rsidRPr="001F6A26" w:rsidRDefault="007B397F" w:rsidP="00EF7432">
      <w:pPr>
        <w:ind w:left="0" w:firstLine="0"/>
      </w:pPr>
      <w:r w:rsidRPr="001F6A26">
        <w:t xml:space="preserve">Po vakcinaci se mohou živé CAV-2 a CPV vakcinační kmeny přechodně, bez nežádoucích účinků, rozšířit na zvířata, která jsou s vakcinovanými zvířaty v kontaktu. </w:t>
      </w:r>
    </w:p>
    <w:p w14:paraId="11179350" w14:textId="77777777" w:rsidR="007B397F" w:rsidRPr="001F6A26" w:rsidRDefault="007B397F" w:rsidP="00EF7432"/>
    <w:p w14:paraId="60567E77" w14:textId="77777777" w:rsidR="00C4130A" w:rsidRPr="001F6A26" w:rsidRDefault="00C4130A" w:rsidP="00C4130A">
      <w:pPr>
        <w:rPr>
          <w:szCs w:val="22"/>
          <w:u w:val="single"/>
        </w:rPr>
      </w:pPr>
      <w:r w:rsidRPr="001F6A26">
        <w:rPr>
          <w:szCs w:val="22"/>
          <w:u w:val="single"/>
        </w:rPr>
        <w:t>Zvláštní opatření pro osobu, která podává veterinární léčivý přípravek zvířatům:</w:t>
      </w:r>
    </w:p>
    <w:p w14:paraId="1EE0C82F" w14:textId="4988BC53" w:rsidR="007B397F" w:rsidRPr="001F6A26" w:rsidRDefault="007B397F" w:rsidP="00765739">
      <w:pPr>
        <w:autoSpaceDE w:val="0"/>
        <w:autoSpaceDN w:val="0"/>
        <w:adjustRightInd w:val="0"/>
        <w:ind w:left="0" w:firstLine="0"/>
      </w:pPr>
      <w:r w:rsidRPr="001F6A26">
        <w:t xml:space="preserve">V případě náhodného sebepoškození injekčně </w:t>
      </w:r>
      <w:r w:rsidR="00CA0E2B" w:rsidRPr="001F6A26">
        <w:t xml:space="preserve">podaným </w:t>
      </w:r>
      <w:r w:rsidRPr="001F6A26">
        <w:t xml:space="preserve">přípravkem, </w:t>
      </w:r>
      <w:r w:rsidRPr="001F6A26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1F6A26">
        <w:t>.</w:t>
      </w:r>
    </w:p>
    <w:p w14:paraId="4FFD72A2" w14:textId="77777777" w:rsidR="00C542BC" w:rsidRPr="001F6A26" w:rsidRDefault="00C542BC" w:rsidP="00765739">
      <w:pPr>
        <w:autoSpaceDE w:val="0"/>
        <w:autoSpaceDN w:val="0"/>
        <w:adjustRightInd w:val="0"/>
        <w:ind w:left="0" w:firstLine="0"/>
      </w:pPr>
    </w:p>
    <w:p w14:paraId="49DA715C" w14:textId="77777777" w:rsidR="00C542BC" w:rsidRPr="001F6A26" w:rsidRDefault="00C542BC" w:rsidP="00C542BC">
      <w:pPr>
        <w:rPr>
          <w:szCs w:val="22"/>
          <w:u w:val="single"/>
        </w:rPr>
      </w:pPr>
      <w:r w:rsidRPr="001F6A26">
        <w:rPr>
          <w:szCs w:val="22"/>
          <w:u w:val="single"/>
        </w:rPr>
        <w:t>Zvláštní opatření pro ochranu životního prostředí:</w:t>
      </w:r>
    </w:p>
    <w:p w14:paraId="1B3A9429" w14:textId="5F4C15AF" w:rsidR="00C542BC" w:rsidRPr="001F6A26" w:rsidRDefault="00C542BC" w:rsidP="00EF7432">
      <w:pPr>
        <w:ind w:left="0" w:firstLine="0"/>
        <w:rPr>
          <w:szCs w:val="22"/>
        </w:rPr>
      </w:pPr>
      <w:r w:rsidRPr="001F6A26">
        <w:t>Neuplatňuje se.</w:t>
      </w:r>
    </w:p>
    <w:p w14:paraId="306C7A7B" w14:textId="77777777" w:rsidR="007B397F" w:rsidRPr="001F6A26" w:rsidRDefault="007B397F" w:rsidP="00EF7432">
      <w:pPr>
        <w:rPr>
          <w:b/>
        </w:rPr>
      </w:pPr>
    </w:p>
    <w:p w14:paraId="0353E23B" w14:textId="77777777" w:rsidR="009C2E9E" w:rsidRPr="001F6A26" w:rsidRDefault="009C2E9E" w:rsidP="009C2E9E">
      <w:r w:rsidRPr="001F6A26">
        <w:rPr>
          <w:b/>
        </w:rPr>
        <w:t>3.6</w:t>
      </w:r>
      <w:r w:rsidRPr="001F6A26">
        <w:rPr>
          <w:b/>
        </w:rPr>
        <w:tab/>
        <w:t>Nežádoucí účinky</w:t>
      </w:r>
    </w:p>
    <w:p w14:paraId="3C04317F" w14:textId="77777777" w:rsidR="007B397F" w:rsidRPr="001F6A26" w:rsidRDefault="007B397F" w:rsidP="00EF7432">
      <w:pPr>
        <w:rPr>
          <w:b/>
        </w:rPr>
      </w:pPr>
    </w:p>
    <w:p w14:paraId="5DAF456C" w14:textId="77777777" w:rsidR="00A555A0" w:rsidRPr="001F6A26" w:rsidRDefault="00A555A0" w:rsidP="00A555A0">
      <w:pPr>
        <w:ind w:left="0" w:firstLine="0"/>
        <w:rPr>
          <w:szCs w:val="22"/>
        </w:rPr>
      </w:pPr>
      <w:r w:rsidRPr="001F6A26">
        <w:rPr>
          <w:szCs w:val="22"/>
        </w:rPr>
        <w:t>Psi:</w:t>
      </w:r>
    </w:p>
    <w:p w14:paraId="28072949" w14:textId="77777777" w:rsidR="00A555A0" w:rsidRPr="001F6A26" w:rsidRDefault="00A555A0" w:rsidP="00A555A0">
      <w:pPr>
        <w:ind w:left="0" w:firstLine="0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6"/>
      </w:tblGrid>
      <w:tr w:rsidR="00A555A0" w:rsidRPr="001F6A26" w14:paraId="23076388" w14:textId="77777777" w:rsidTr="00235C72">
        <w:tc>
          <w:tcPr>
            <w:tcW w:w="2263" w:type="pct"/>
          </w:tcPr>
          <w:p w14:paraId="35C7A252" w14:textId="77777777" w:rsidR="00A555A0" w:rsidRPr="001F6A26" w:rsidRDefault="00A555A0" w:rsidP="00235C72">
            <w:pPr>
              <w:spacing w:before="60" w:after="60"/>
              <w:rPr>
                <w:szCs w:val="22"/>
              </w:rPr>
            </w:pPr>
            <w:r w:rsidRPr="001F6A26">
              <w:t>Časté</w:t>
            </w:r>
          </w:p>
          <w:p w14:paraId="46AB0499" w14:textId="77777777" w:rsidR="00A555A0" w:rsidRPr="001F6A26" w:rsidRDefault="00A555A0" w:rsidP="00235C72">
            <w:pPr>
              <w:spacing w:before="60" w:after="60"/>
              <w:rPr>
                <w:szCs w:val="22"/>
              </w:rPr>
            </w:pPr>
            <w:r w:rsidRPr="001F6A26">
              <w:t>(1 až 10 zvířat / 100 ošetřených zvířat):</w:t>
            </w:r>
          </w:p>
        </w:tc>
        <w:tc>
          <w:tcPr>
            <w:tcW w:w="2737" w:type="pct"/>
          </w:tcPr>
          <w:p w14:paraId="29DC2F22" w14:textId="77777777" w:rsidR="00A555A0" w:rsidRPr="001F6A26" w:rsidRDefault="00A555A0" w:rsidP="00235C72">
            <w:pPr>
              <w:spacing w:before="60" w:after="60"/>
              <w:ind w:left="0" w:firstLine="0"/>
              <w:rPr>
                <w:szCs w:val="22"/>
              </w:rPr>
            </w:pPr>
            <w:r w:rsidRPr="001F6A26">
              <w:rPr>
                <w:szCs w:val="22"/>
              </w:rPr>
              <w:t>Otok</w:t>
            </w:r>
            <w:r w:rsidRPr="001F6A26">
              <w:rPr>
                <w:szCs w:val="22"/>
                <w:vertAlign w:val="superscript"/>
              </w:rPr>
              <w:t>1</w:t>
            </w:r>
            <w:r w:rsidRPr="001F6A26">
              <w:rPr>
                <w:szCs w:val="22"/>
              </w:rPr>
              <w:t xml:space="preserve"> v místě injekčního podání, svědivost v místě injekčního podání, bolest v místě injekčního podání. </w:t>
            </w:r>
          </w:p>
          <w:p w14:paraId="7F09051D" w14:textId="77777777" w:rsidR="00A555A0" w:rsidRPr="001F6A26" w:rsidRDefault="00A555A0" w:rsidP="00235C72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1F6A26">
              <w:rPr>
                <w:iCs/>
                <w:szCs w:val="22"/>
              </w:rPr>
              <w:t>Letargie</w:t>
            </w:r>
            <w:r w:rsidRPr="001F6A26">
              <w:rPr>
                <w:iCs/>
                <w:szCs w:val="22"/>
                <w:vertAlign w:val="superscript"/>
              </w:rPr>
              <w:t>2</w:t>
            </w:r>
          </w:p>
          <w:p w14:paraId="18161A9B" w14:textId="77777777" w:rsidR="00A555A0" w:rsidRPr="001F6A26" w:rsidRDefault="00A555A0" w:rsidP="00235C72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1F6A26">
              <w:rPr>
                <w:iCs/>
                <w:szCs w:val="22"/>
              </w:rPr>
              <w:t>Zvracení</w:t>
            </w:r>
            <w:r w:rsidRPr="001F6A26">
              <w:rPr>
                <w:iCs/>
                <w:szCs w:val="22"/>
                <w:vertAlign w:val="superscript"/>
              </w:rPr>
              <w:t>2</w:t>
            </w:r>
          </w:p>
        </w:tc>
      </w:tr>
      <w:tr w:rsidR="00A555A0" w:rsidRPr="001F6A26" w14:paraId="5CEBBEA2" w14:textId="77777777" w:rsidTr="00235C72">
        <w:tc>
          <w:tcPr>
            <w:tcW w:w="2263" w:type="pct"/>
          </w:tcPr>
          <w:p w14:paraId="6D822D39" w14:textId="77777777" w:rsidR="00A555A0" w:rsidRPr="001F6A26" w:rsidRDefault="00A555A0" w:rsidP="00235C72">
            <w:pPr>
              <w:spacing w:before="60" w:after="60"/>
              <w:rPr>
                <w:szCs w:val="22"/>
              </w:rPr>
            </w:pPr>
            <w:r w:rsidRPr="001F6A26">
              <w:t>Méně časté</w:t>
            </w:r>
          </w:p>
          <w:p w14:paraId="360DD539" w14:textId="77777777" w:rsidR="00A555A0" w:rsidRPr="001F6A26" w:rsidRDefault="00A555A0" w:rsidP="00235C72">
            <w:pPr>
              <w:spacing w:before="60" w:after="60"/>
              <w:rPr>
                <w:szCs w:val="22"/>
              </w:rPr>
            </w:pPr>
            <w:r w:rsidRPr="001F6A26">
              <w:t>(1 až 10 zvířat / 1 000 ošetřených zvířat):</w:t>
            </w:r>
          </w:p>
        </w:tc>
        <w:tc>
          <w:tcPr>
            <w:tcW w:w="2737" w:type="pct"/>
          </w:tcPr>
          <w:p w14:paraId="4BB9CCBD" w14:textId="77777777" w:rsidR="00A555A0" w:rsidRPr="001F6A26" w:rsidRDefault="00A555A0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rPr>
                <w:iCs/>
                <w:szCs w:val="22"/>
              </w:rPr>
              <w:t>Anorexie, polydipsie, hypertermie</w:t>
            </w:r>
          </w:p>
          <w:p w14:paraId="31F0511E" w14:textId="77777777" w:rsidR="00A555A0" w:rsidRPr="001F6A26" w:rsidRDefault="00A555A0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rPr>
                <w:iCs/>
                <w:szCs w:val="22"/>
              </w:rPr>
              <w:t>Průjem</w:t>
            </w:r>
          </w:p>
          <w:p w14:paraId="6B64B94C" w14:textId="77777777" w:rsidR="00A555A0" w:rsidRPr="001F6A26" w:rsidRDefault="00A555A0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rPr>
                <w:iCs/>
                <w:szCs w:val="22"/>
              </w:rPr>
              <w:t>Svalový třes</w:t>
            </w:r>
          </w:p>
          <w:p w14:paraId="12258ACE" w14:textId="77777777" w:rsidR="00A555A0" w:rsidRPr="001F6A26" w:rsidRDefault="00A555A0" w:rsidP="00235C72">
            <w:pPr>
              <w:spacing w:before="60" w:after="60"/>
              <w:rPr>
                <w:iCs/>
                <w:szCs w:val="22"/>
              </w:rPr>
            </w:pPr>
            <w:r w:rsidRPr="001F6A26">
              <w:rPr>
                <w:iCs/>
                <w:szCs w:val="22"/>
              </w:rPr>
              <w:t>Svalová slabost</w:t>
            </w:r>
          </w:p>
          <w:p w14:paraId="454AAD6B" w14:textId="66415344" w:rsidR="00A555A0" w:rsidRPr="001F6A26" w:rsidRDefault="00A555A0" w:rsidP="00235C72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1F6A26">
              <w:rPr>
                <w:iCs/>
                <w:szCs w:val="22"/>
              </w:rPr>
              <w:t>Zvýšená teplota v místě injekčního podání</w:t>
            </w:r>
            <w:r w:rsidR="001427C3" w:rsidRPr="001F6A26">
              <w:rPr>
                <w:iCs/>
                <w:szCs w:val="22"/>
              </w:rPr>
              <w:t>,</w:t>
            </w:r>
            <w:r w:rsidRPr="001F6A26">
              <w:rPr>
                <w:iCs/>
                <w:szCs w:val="22"/>
              </w:rPr>
              <w:t xml:space="preserve"> léze v místě injekčního podání</w:t>
            </w:r>
            <w:r w:rsidRPr="001F6A26">
              <w:rPr>
                <w:iCs/>
                <w:szCs w:val="22"/>
                <w:vertAlign w:val="superscript"/>
              </w:rPr>
              <w:t>3</w:t>
            </w:r>
          </w:p>
        </w:tc>
      </w:tr>
      <w:tr w:rsidR="00A555A0" w:rsidRPr="001F6A26" w14:paraId="398F97AD" w14:textId="77777777" w:rsidTr="00235C72">
        <w:tc>
          <w:tcPr>
            <w:tcW w:w="2263" w:type="pct"/>
          </w:tcPr>
          <w:p w14:paraId="5AFD21BE" w14:textId="77777777" w:rsidR="00A555A0" w:rsidRPr="001F6A26" w:rsidRDefault="00A555A0" w:rsidP="00235C72">
            <w:pPr>
              <w:spacing w:before="60" w:after="60"/>
              <w:rPr>
                <w:szCs w:val="22"/>
              </w:rPr>
            </w:pPr>
            <w:r w:rsidRPr="001F6A26">
              <w:t>Vzácné</w:t>
            </w:r>
          </w:p>
          <w:p w14:paraId="3C046E82" w14:textId="77777777" w:rsidR="00A555A0" w:rsidRPr="001F6A26" w:rsidRDefault="00A555A0" w:rsidP="00235C72">
            <w:pPr>
              <w:spacing w:before="60" w:after="60"/>
              <w:rPr>
                <w:szCs w:val="22"/>
              </w:rPr>
            </w:pPr>
            <w:r w:rsidRPr="001F6A26">
              <w:t>(1 až 10 zvířat / 10 000 ošetřených zvířat):</w:t>
            </w:r>
          </w:p>
        </w:tc>
        <w:tc>
          <w:tcPr>
            <w:tcW w:w="2737" w:type="pct"/>
          </w:tcPr>
          <w:p w14:paraId="11104E11" w14:textId="77777777" w:rsidR="00A555A0" w:rsidRPr="001F6A26" w:rsidRDefault="00A555A0" w:rsidP="00235C72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1F6A26">
              <w:rPr>
                <w:iCs/>
                <w:szCs w:val="22"/>
              </w:rPr>
              <w:t>Hypersenzitivní reakce (faciální otok, anafylaktický šok, kopřivka)</w:t>
            </w:r>
            <w:r w:rsidRPr="001F6A26">
              <w:rPr>
                <w:iCs/>
                <w:szCs w:val="22"/>
                <w:vertAlign w:val="superscript"/>
              </w:rPr>
              <w:t>4</w:t>
            </w:r>
          </w:p>
        </w:tc>
      </w:tr>
    </w:tbl>
    <w:p w14:paraId="602A65AA" w14:textId="77777777" w:rsidR="00CD54E2" w:rsidRPr="001F6A26" w:rsidRDefault="00CD54E2" w:rsidP="00765739">
      <w:pPr>
        <w:ind w:left="0" w:firstLine="0"/>
        <w:rPr>
          <w:szCs w:val="22"/>
        </w:rPr>
      </w:pPr>
    </w:p>
    <w:p w14:paraId="0A86878A" w14:textId="48F65D94" w:rsidR="00B17923" w:rsidRPr="001F6A26" w:rsidRDefault="00064D20" w:rsidP="00765739">
      <w:pPr>
        <w:ind w:left="0" w:firstLine="0"/>
        <w:rPr>
          <w:szCs w:val="22"/>
        </w:rPr>
      </w:pPr>
      <w:r w:rsidRPr="001F6A26">
        <w:rPr>
          <w:szCs w:val="22"/>
          <w:vertAlign w:val="superscript"/>
        </w:rPr>
        <w:t>1</w:t>
      </w:r>
      <w:r w:rsidRPr="001F6A26">
        <w:rPr>
          <w:szCs w:val="22"/>
        </w:rPr>
        <w:t xml:space="preserve"> Mírný (≤ 2cm), i</w:t>
      </w:r>
      <w:r w:rsidR="007B397F" w:rsidRPr="001F6A26">
        <w:rPr>
          <w:szCs w:val="22"/>
        </w:rPr>
        <w:t>hned po injekčním podání</w:t>
      </w:r>
      <w:r w:rsidRPr="001F6A26">
        <w:rPr>
          <w:szCs w:val="22"/>
        </w:rPr>
        <w:t>.</w:t>
      </w:r>
      <w:r w:rsidR="007B397F" w:rsidRPr="001F6A26">
        <w:rPr>
          <w:szCs w:val="22"/>
        </w:rPr>
        <w:t xml:space="preserve"> </w:t>
      </w:r>
      <w:r w:rsidRPr="001F6A26">
        <w:rPr>
          <w:szCs w:val="22"/>
        </w:rPr>
        <w:t>O</w:t>
      </w:r>
      <w:r w:rsidR="007B397F" w:rsidRPr="001F6A26">
        <w:rPr>
          <w:szCs w:val="22"/>
        </w:rPr>
        <w:t xml:space="preserve">bvykle vymizí během 1-6 dnů. </w:t>
      </w:r>
    </w:p>
    <w:p w14:paraId="4275661A" w14:textId="57323992" w:rsidR="00B17923" w:rsidRPr="001F6A26" w:rsidRDefault="00B17923" w:rsidP="00765739">
      <w:pPr>
        <w:ind w:left="0" w:firstLine="0"/>
        <w:rPr>
          <w:szCs w:val="22"/>
        </w:rPr>
      </w:pPr>
      <w:r w:rsidRPr="001F6A26">
        <w:rPr>
          <w:szCs w:val="22"/>
          <w:vertAlign w:val="superscript"/>
        </w:rPr>
        <w:t>2</w:t>
      </w:r>
      <w:r w:rsidRPr="001F6A26">
        <w:rPr>
          <w:szCs w:val="22"/>
        </w:rPr>
        <w:t xml:space="preserve"> P</w:t>
      </w:r>
      <w:r w:rsidR="007B397F" w:rsidRPr="001F6A26">
        <w:rPr>
          <w:szCs w:val="22"/>
        </w:rPr>
        <w:t xml:space="preserve">řechodná </w:t>
      </w:r>
    </w:p>
    <w:p w14:paraId="325EA7B4" w14:textId="1D83156D" w:rsidR="00B17923" w:rsidRPr="001F6A26" w:rsidRDefault="00B17923" w:rsidP="00765739">
      <w:pPr>
        <w:ind w:left="0" w:firstLine="0"/>
        <w:rPr>
          <w:szCs w:val="22"/>
        </w:rPr>
      </w:pPr>
      <w:r w:rsidRPr="001F6A26">
        <w:rPr>
          <w:szCs w:val="22"/>
          <w:vertAlign w:val="superscript"/>
        </w:rPr>
        <w:t>3</w:t>
      </w:r>
      <w:r w:rsidRPr="001F6A26">
        <w:rPr>
          <w:szCs w:val="22"/>
        </w:rPr>
        <w:t xml:space="preserve"> Kožn</w:t>
      </w:r>
      <w:r w:rsidR="00E44288" w:rsidRPr="001F6A26">
        <w:rPr>
          <w:szCs w:val="22"/>
        </w:rPr>
        <w:t>í</w:t>
      </w:r>
    </w:p>
    <w:p w14:paraId="2043C785" w14:textId="334A359D" w:rsidR="007B397F" w:rsidRPr="001F6A26" w:rsidRDefault="00B17923" w:rsidP="00EF7432">
      <w:pPr>
        <w:ind w:left="0" w:firstLine="0"/>
        <w:rPr>
          <w:szCs w:val="22"/>
        </w:rPr>
      </w:pPr>
      <w:r w:rsidRPr="001F6A26">
        <w:rPr>
          <w:szCs w:val="22"/>
          <w:vertAlign w:val="superscript"/>
        </w:rPr>
        <w:t>4</w:t>
      </w:r>
      <w:r w:rsidR="00E44288" w:rsidRPr="001F6A26">
        <w:rPr>
          <w:szCs w:val="22"/>
        </w:rPr>
        <w:t xml:space="preserve"> N</w:t>
      </w:r>
      <w:r w:rsidR="00675BEB" w:rsidRPr="001F6A26">
        <w:rPr>
          <w:szCs w:val="22"/>
        </w:rPr>
        <w:t xml:space="preserve">ěkteré mohou být život ohrožující. </w:t>
      </w:r>
      <w:r w:rsidR="00E44288" w:rsidRPr="001F6A26">
        <w:rPr>
          <w:szCs w:val="22"/>
        </w:rPr>
        <w:t>M</w:t>
      </w:r>
      <w:r w:rsidR="00675BEB" w:rsidRPr="001F6A26">
        <w:rPr>
          <w:szCs w:val="22"/>
        </w:rPr>
        <w:t>usí být rychle poskytnuta odpovídající symptomatická léčba.</w:t>
      </w:r>
      <w:r w:rsidR="007B397F" w:rsidRPr="001F6A26">
        <w:rPr>
          <w:szCs w:val="22"/>
        </w:rPr>
        <w:t xml:space="preserve"> </w:t>
      </w:r>
    </w:p>
    <w:p w14:paraId="634A0152" w14:textId="77777777" w:rsidR="00FC332D" w:rsidRPr="001F6A26" w:rsidRDefault="00FC332D" w:rsidP="00EF7432">
      <w:pPr>
        <w:ind w:left="0" w:firstLine="0"/>
        <w:rPr>
          <w:szCs w:val="22"/>
        </w:rPr>
      </w:pPr>
    </w:p>
    <w:p w14:paraId="1BB42235" w14:textId="477CD68B" w:rsidR="0037353E" w:rsidRPr="001F6A26" w:rsidRDefault="0037353E" w:rsidP="0037353E">
      <w:pPr>
        <w:ind w:left="0" w:firstLine="0"/>
      </w:pPr>
      <w:bookmarkStart w:id="1" w:name="_Hlk66891708"/>
      <w:r w:rsidRPr="001F6A26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Podrobné kontaktní údaje naleznete </w:t>
      </w:r>
      <w:r w:rsidR="001B07FD" w:rsidRPr="001F6A26">
        <w:t xml:space="preserve">v </w:t>
      </w:r>
      <w:r w:rsidRPr="001F6A26">
        <w:t>příbalové informaci.</w:t>
      </w:r>
    </w:p>
    <w:bookmarkEnd w:id="1"/>
    <w:p w14:paraId="37186A3F" w14:textId="77777777" w:rsidR="007B397F" w:rsidRPr="001F6A26" w:rsidRDefault="007B397F" w:rsidP="00765739">
      <w:pPr>
        <w:rPr>
          <w:b/>
        </w:rPr>
      </w:pPr>
    </w:p>
    <w:p w14:paraId="0A990BC7" w14:textId="77777777" w:rsidR="008A3F25" w:rsidRPr="001F6A26" w:rsidRDefault="008A3F25" w:rsidP="008A3F25">
      <w:r w:rsidRPr="001F6A26">
        <w:rPr>
          <w:b/>
        </w:rPr>
        <w:t>3.7</w:t>
      </w:r>
      <w:r w:rsidRPr="001F6A26">
        <w:rPr>
          <w:b/>
        </w:rPr>
        <w:tab/>
        <w:t>Použití v průběhu březosti, laktace nebo snášky</w:t>
      </w:r>
    </w:p>
    <w:p w14:paraId="3EB0BC51" w14:textId="41F2658C" w:rsidR="007B397F" w:rsidRPr="001F6A26" w:rsidRDefault="007B397F" w:rsidP="00765739"/>
    <w:p w14:paraId="205406DC" w14:textId="77777777" w:rsidR="007B397F" w:rsidRPr="001F6A26" w:rsidRDefault="007B397F" w:rsidP="00EF7432">
      <w:pPr>
        <w:ind w:left="0" w:firstLine="0"/>
      </w:pPr>
      <w:r w:rsidRPr="001F6A26">
        <w:t>Lze použít během březosti.</w:t>
      </w:r>
    </w:p>
    <w:p w14:paraId="5297EED4" w14:textId="77777777" w:rsidR="007B397F" w:rsidRPr="001F6A26" w:rsidRDefault="007B397F" w:rsidP="00765739"/>
    <w:p w14:paraId="5682992D" w14:textId="77777777" w:rsidR="00A863A1" w:rsidRPr="001F6A26" w:rsidRDefault="00A863A1" w:rsidP="00A863A1">
      <w:r w:rsidRPr="001F6A26">
        <w:rPr>
          <w:b/>
        </w:rPr>
        <w:t>3.8</w:t>
      </w:r>
      <w:r w:rsidRPr="001F6A26">
        <w:rPr>
          <w:b/>
        </w:rPr>
        <w:tab/>
        <w:t>Interakce s dalšími léčivými přípravky a další formy interakce</w:t>
      </w:r>
    </w:p>
    <w:p w14:paraId="2E52D8B1" w14:textId="77777777" w:rsidR="007B397F" w:rsidRPr="001F6A26" w:rsidRDefault="007B397F" w:rsidP="00765739"/>
    <w:p w14:paraId="3B4FC496" w14:textId="00FA0EF3" w:rsidR="007B397F" w:rsidRPr="001F6A26" w:rsidRDefault="00A863A1" w:rsidP="00EF7432">
      <w:pPr>
        <w:ind w:left="0" w:firstLine="0"/>
      </w:pPr>
      <w:r w:rsidRPr="001F6A26">
        <w:t>D</w:t>
      </w:r>
      <w:r w:rsidR="007B397F" w:rsidRPr="001F6A26">
        <w:t>ostupné údaje o bezpečnosti a účinnosti</w:t>
      </w:r>
      <w:r w:rsidR="00FD0353" w:rsidRPr="001F6A26">
        <w:t xml:space="preserve"> dokládají</w:t>
      </w:r>
      <w:r w:rsidR="007B397F" w:rsidRPr="001F6A26">
        <w:t>, že vakcín</w:t>
      </w:r>
      <w:r w:rsidR="00FD0353" w:rsidRPr="001F6A26">
        <w:t>u</w:t>
      </w:r>
      <w:r w:rsidR="007B397F" w:rsidRPr="001F6A26">
        <w:t xml:space="preserve"> </w:t>
      </w:r>
      <w:r w:rsidR="00FD0353" w:rsidRPr="001F6A26">
        <w:t xml:space="preserve">lze podávat </w:t>
      </w:r>
      <w:r w:rsidR="007B397F" w:rsidRPr="001F6A26">
        <w:t>s vakcínami Eurican LR, Eurican L</w:t>
      </w:r>
      <w:r w:rsidR="00FD0353" w:rsidRPr="001F6A26">
        <w:t>, Eurican Lmulti</w:t>
      </w:r>
      <w:r w:rsidR="007B397F" w:rsidRPr="001F6A26">
        <w:t xml:space="preserve"> nebo Eurican </w:t>
      </w:r>
      <w:r w:rsidR="00FD0353" w:rsidRPr="001F6A26">
        <w:t xml:space="preserve">L4 </w:t>
      </w:r>
      <w:r w:rsidR="007B397F" w:rsidRPr="001F6A26">
        <w:t xml:space="preserve">(použitými jako rozpouštědlo) pokud jsou dostupné. </w:t>
      </w:r>
    </w:p>
    <w:p w14:paraId="7E357080" w14:textId="759974F0" w:rsidR="007B397F" w:rsidRPr="001F6A26" w:rsidRDefault="001D61DD" w:rsidP="00EF7432">
      <w:pPr>
        <w:ind w:left="0" w:firstLine="0"/>
      </w:pPr>
      <w:r w:rsidRPr="001F6A26">
        <w:t>D</w:t>
      </w:r>
      <w:r w:rsidR="007B397F" w:rsidRPr="001F6A26">
        <w:t>ostupné údaje o bezpečnosti a účinnosti</w:t>
      </w:r>
      <w:r w:rsidRPr="001F6A26">
        <w:t xml:space="preserve"> dokládají</w:t>
      </w:r>
      <w:r w:rsidR="007B397F" w:rsidRPr="001F6A26">
        <w:t>, že vakcín</w:t>
      </w:r>
      <w:r w:rsidRPr="001F6A26">
        <w:t>u</w:t>
      </w:r>
      <w:r w:rsidR="007B397F" w:rsidRPr="001F6A26">
        <w:t xml:space="preserve"> </w:t>
      </w:r>
      <w:r w:rsidR="0000178B" w:rsidRPr="001F6A26">
        <w:t xml:space="preserve">lze podávat </w:t>
      </w:r>
      <w:r w:rsidR="007B397F" w:rsidRPr="001F6A26">
        <w:t>ve stejný den, ale</w:t>
      </w:r>
      <w:r w:rsidR="0000178B" w:rsidRPr="001F6A26">
        <w:t xml:space="preserve"> nemísit</w:t>
      </w:r>
      <w:r w:rsidR="007B397F" w:rsidRPr="001F6A26">
        <w:t xml:space="preserve"> s vakcínou Rabisin. </w:t>
      </w:r>
    </w:p>
    <w:p w14:paraId="6329DFAD" w14:textId="77777777" w:rsidR="007B397F" w:rsidRPr="001F6A26" w:rsidRDefault="007B397F" w:rsidP="00EF7432">
      <w:pPr>
        <w:ind w:left="0" w:firstLine="0"/>
      </w:pPr>
      <w:r w:rsidRPr="001F6A26">
        <w:t>Minimální věk pro vakcinaci v případě podání společně s</w:t>
      </w:r>
      <w:r w:rsidR="00A43C10" w:rsidRPr="001F6A26">
        <w:t> Boehringer Ingelheim</w:t>
      </w:r>
      <w:r w:rsidRPr="001F6A26">
        <w:t xml:space="preserve"> vakcínami obsahujícími vzteklinu je 12 týdnů věku. </w:t>
      </w:r>
    </w:p>
    <w:p w14:paraId="5876CF61" w14:textId="10ADE15A" w:rsidR="007B397F" w:rsidRPr="001F6A26" w:rsidRDefault="007B397F" w:rsidP="00EF7432">
      <w:pPr>
        <w:ind w:left="0" w:firstLine="0"/>
      </w:pPr>
      <w:r w:rsidRPr="001F6A26">
        <w:t xml:space="preserve">Pokud je vakcína </w:t>
      </w:r>
      <w:r w:rsidR="00A43C10" w:rsidRPr="001F6A26">
        <w:t>smíchána</w:t>
      </w:r>
      <w:r w:rsidRPr="001F6A26">
        <w:t xml:space="preserve"> s vakcínou Eurican LR, může se díky obsahu hydroxidu hlinitého v místě </w:t>
      </w:r>
      <w:r w:rsidR="004E1E09" w:rsidRPr="001F6A26">
        <w:t xml:space="preserve">injekčního </w:t>
      </w:r>
      <w:r w:rsidRPr="001F6A26">
        <w:t>podání přechodně objevit malý uzlík (o velikosti nejvýše 1,5 cm) a mírný otok (~4</w:t>
      </w:r>
      <w:r w:rsidR="00A43C10" w:rsidRPr="001F6A26">
        <w:t xml:space="preserve"> </w:t>
      </w:r>
      <w:r w:rsidRPr="001F6A26">
        <w:t>cm), který zpravidla vymizí během 1-4 dnů.</w:t>
      </w:r>
    </w:p>
    <w:p w14:paraId="65ACC5ED" w14:textId="2C526CFD" w:rsidR="00295353" w:rsidRPr="001F6A26" w:rsidRDefault="00295353" w:rsidP="00295353">
      <w:pPr>
        <w:ind w:left="0" w:firstLine="0"/>
      </w:pPr>
      <w:r w:rsidRPr="001F6A26">
        <w:t>Pokud je vakcína smíchána s vakcínou Eurican L4, může se v místě injekčního podání velmi často objevit otok (o velikosti méně než 6 cm), který vymizí během 8 dnů, často se může objevit anorexie a</w:t>
      </w:r>
      <w:r w:rsidR="001427C3" w:rsidRPr="001F6A26">
        <w:t> </w:t>
      </w:r>
      <w:r w:rsidRPr="001F6A26">
        <w:t>méně často může být pozorována vokalizace, tachykardie a tachypnoe. Pro přidaný inaktivovaný kmen Leptospira Australis u vakcíny Eurican L4 nejsou dostupné informace o bezpečnosti při použití u březích fen.</w:t>
      </w:r>
    </w:p>
    <w:p w14:paraId="60FEACC7" w14:textId="18D7AF05" w:rsidR="007B397F" w:rsidRPr="001F6A26" w:rsidRDefault="007B397F" w:rsidP="00EF7432">
      <w:pPr>
        <w:ind w:left="0" w:firstLine="0"/>
      </w:pPr>
      <w:r w:rsidRPr="001F6A26">
        <w:t xml:space="preserve">Nejsou dostupné informace o bezpečnosti a účinnosti této vakcíny, pokud </w:t>
      </w:r>
      <w:r w:rsidR="00AF7A73" w:rsidRPr="001F6A26">
        <w:t>se používá</w:t>
      </w:r>
      <w:r w:rsidRPr="001F6A26">
        <w:t xml:space="preserve"> zároveň s jiným veterinárním léčivým přípravkem, vyjma </w:t>
      </w:r>
      <w:r w:rsidR="007A45C1" w:rsidRPr="001F6A26">
        <w:t>výše zmíněných</w:t>
      </w:r>
      <w:r w:rsidR="007A45C1" w:rsidRPr="001F6A26">
        <w:rPr>
          <w:rFonts w:asciiTheme="minorHAnsi" w:hAnsiTheme="minorHAnsi" w:cstheme="minorHAnsi"/>
        </w:rPr>
        <w:t xml:space="preserve"> </w:t>
      </w:r>
      <w:r w:rsidRPr="001F6A26">
        <w:t>přípravků. Rozhodnutí o použití této vakcíny před nebo po jakémkoliv jiném veterinárním léčivém přípravku musí být provedeno na základě zvážení jednotlivých případů.</w:t>
      </w:r>
    </w:p>
    <w:p w14:paraId="253747C1" w14:textId="77777777" w:rsidR="007B397F" w:rsidRPr="001F6A26" w:rsidRDefault="007B397F" w:rsidP="00765739"/>
    <w:p w14:paraId="60269056" w14:textId="77777777" w:rsidR="005D116E" w:rsidRPr="001F6A26" w:rsidRDefault="005D116E" w:rsidP="005D116E">
      <w:pPr>
        <w:pStyle w:val="Style1"/>
      </w:pPr>
      <w:r w:rsidRPr="001F6A26">
        <w:t>3.9</w:t>
      </w:r>
      <w:r w:rsidRPr="001F6A26">
        <w:tab/>
        <w:t>Cesty podání a dávkování</w:t>
      </w:r>
    </w:p>
    <w:p w14:paraId="2A34B76E" w14:textId="77777777" w:rsidR="007B397F" w:rsidRPr="001F6A26" w:rsidRDefault="007B397F" w:rsidP="00765739"/>
    <w:p w14:paraId="436DC9D5" w14:textId="1BEB981F" w:rsidR="007B397F" w:rsidRPr="001F6A26" w:rsidRDefault="007B397F" w:rsidP="00EF7432">
      <w:pPr>
        <w:ind w:left="0" w:firstLine="0"/>
      </w:pPr>
      <w:r w:rsidRPr="001F6A26">
        <w:t xml:space="preserve">Asepticky rekonstituujte obsah lyofilizátu buď </w:t>
      </w:r>
      <w:r w:rsidR="005D116E" w:rsidRPr="001F6A26">
        <w:t>s</w:t>
      </w:r>
      <w:r w:rsidRPr="001F6A26">
        <w:t xml:space="preserve"> rozpouštědlem </w:t>
      </w:r>
      <w:r w:rsidR="005D116E" w:rsidRPr="001F6A26">
        <w:t xml:space="preserve">k Eurican DAP/DAPPi </w:t>
      </w:r>
      <w:r w:rsidRPr="001F6A26">
        <w:t>nebo s</w:t>
      </w:r>
      <w:r w:rsidR="006C754A" w:rsidRPr="001F6A26">
        <w:t> </w:t>
      </w:r>
      <w:r w:rsidRPr="001F6A26">
        <w:t xml:space="preserve">kompatibilní </w:t>
      </w:r>
      <w:r w:rsidR="00C41F0B" w:rsidRPr="001F6A26">
        <w:t>Boehringer Ingelheim</w:t>
      </w:r>
      <w:r w:rsidRPr="001F6A26">
        <w:t xml:space="preserve"> vakcínou (Eurican LR, Eurican L</w:t>
      </w:r>
      <w:r w:rsidR="006C754A" w:rsidRPr="001F6A26">
        <w:t>, Eurican Lmulti</w:t>
      </w:r>
      <w:r w:rsidRPr="001F6A26">
        <w:t xml:space="preserve"> nebo Eurican </w:t>
      </w:r>
      <w:r w:rsidR="006C754A" w:rsidRPr="001F6A26">
        <w:t>L4</w:t>
      </w:r>
      <w:r w:rsidRPr="001F6A26">
        <w:t xml:space="preserve">), pokud jsou dostupné. Před použitím dobře protřepejte. Celý obsah rekonstituované injekční lahvičky podejte jako jednu dávku. </w:t>
      </w:r>
    </w:p>
    <w:p w14:paraId="65E4C62B" w14:textId="77777777" w:rsidR="007B397F" w:rsidRPr="001F6A26" w:rsidRDefault="007B397F" w:rsidP="00EF7432">
      <w:pPr>
        <w:ind w:left="0" w:firstLine="0"/>
      </w:pPr>
    </w:p>
    <w:p w14:paraId="14935F01" w14:textId="77777777" w:rsidR="007B397F" w:rsidRPr="001F6A26" w:rsidRDefault="007B397F" w:rsidP="00EF7432">
      <w:pPr>
        <w:ind w:left="0" w:firstLine="0"/>
      </w:pPr>
      <w:r w:rsidRPr="001F6A26">
        <w:t xml:space="preserve">Rekonstituovaný obsah je opalescentní žlutá až oranžová suspenze. </w:t>
      </w:r>
    </w:p>
    <w:p w14:paraId="74B054BE" w14:textId="77777777" w:rsidR="007B397F" w:rsidRPr="001F6A26" w:rsidRDefault="007B397F" w:rsidP="00EF7432">
      <w:pPr>
        <w:ind w:left="0" w:firstLine="0"/>
      </w:pPr>
    </w:p>
    <w:p w14:paraId="2BB003BF" w14:textId="77777777" w:rsidR="007B397F" w:rsidRPr="001F6A26" w:rsidRDefault="007B397F" w:rsidP="00EF7432">
      <w:pPr>
        <w:ind w:left="0" w:firstLine="0"/>
      </w:pPr>
      <w:r w:rsidRPr="001F6A26">
        <w:t>Podejte dávku 1 ml subkutánně podle následujícího schématu:</w:t>
      </w:r>
    </w:p>
    <w:p w14:paraId="1A8C80A5" w14:textId="77777777" w:rsidR="007B397F" w:rsidRPr="001F6A26" w:rsidRDefault="007B397F" w:rsidP="00765739">
      <w:pPr>
        <w:ind w:left="0" w:firstLine="0"/>
      </w:pPr>
    </w:p>
    <w:p w14:paraId="18BC9328" w14:textId="47FA65D9" w:rsidR="007B397F" w:rsidRPr="001F6A26" w:rsidRDefault="00AD0826" w:rsidP="00EF7432">
      <w:pPr>
        <w:ind w:left="0" w:firstLine="0"/>
        <w:rPr>
          <w:b/>
        </w:rPr>
      </w:pPr>
      <w:r w:rsidRPr="001F6A26">
        <w:rPr>
          <w:bCs/>
          <w:u w:val="single"/>
        </w:rPr>
        <w:t>Primovakcinace:</w:t>
      </w:r>
      <w:r w:rsidRPr="001F6A26">
        <w:t xml:space="preserve"> </w:t>
      </w:r>
      <w:r w:rsidR="007B397F" w:rsidRPr="001F6A26">
        <w:t xml:space="preserve">Dvě injekce odděleně v intervalu 4 týdnů od 7 týdnů věku. </w:t>
      </w:r>
    </w:p>
    <w:p w14:paraId="1566328F" w14:textId="77777777" w:rsidR="007B397F" w:rsidRPr="001F6A26" w:rsidRDefault="007B397F" w:rsidP="00EF7432">
      <w:pPr>
        <w:ind w:left="0" w:firstLine="0"/>
      </w:pPr>
      <w:r w:rsidRPr="001F6A26">
        <w:t>V případě podání s </w:t>
      </w:r>
      <w:r w:rsidR="00A43C10" w:rsidRPr="001F6A26">
        <w:t xml:space="preserve">Boehringer Ingelheim </w:t>
      </w:r>
      <w:r w:rsidRPr="001F6A26">
        <w:t xml:space="preserve">vakcínami obsahujícími vzteklinu je minimální věk pro vakcinaci 12 týdnů. </w:t>
      </w:r>
    </w:p>
    <w:p w14:paraId="0CAE674D" w14:textId="77777777" w:rsidR="007B397F" w:rsidRPr="001F6A26" w:rsidRDefault="007B397F" w:rsidP="00EF7432">
      <w:pPr>
        <w:ind w:left="0" w:firstLine="0"/>
      </w:pPr>
    </w:p>
    <w:p w14:paraId="19BDB62A" w14:textId="6C220E05" w:rsidR="007B397F" w:rsidRPr="001F6A26" w:rsidRDefault="007B397F" w:rsidP="00EF7432">
      <w:pPr>
        <w:ind w:left="0" w:firstLine="0"/>
      </w:pPr>
      <w:r w:rsidRPr="001F6A26">
        <w:t>V případech, kdy jsou veterinárním lékařem předpokládány vysoké hladiny mateřských protilátek a</w:t>
      </w:r>
      <w:r w:rsidR="001427C3" w:rsidRPr="001F6A26">
        <w:t> </w:t>
      </w:r>
      <w:r w:rsidRPr="001F6A26">
        <w:t xml:space="preserve">primární vakcinace byla dokončena před 16 týdnem věku, je doporučena třetí injekce </w:t>
      </w:r>
      <w:r w:rsidR="007E75FD" w:rsidRPr="001F6A26">
        <w:t>Boehringer Ingelheim</w:t>
      </w:r>
      <w:r w:rsidRPr="001F6A26">
        <w:t xml:space="preserve"> vakcíny obsahující psinku, adenovirus a parvovirus od 16 týdne věku, nejdříve 3 týdny po druhé injekci.</w:t>
      </w:r>
    </w:p>
    <w:p w14:paraId="1E021DC9" w14:textId="77777777" w:rsidR="007B397F" w:rsidRPr="001F6A26" w:rsidRDefault="007B397F" w:rsidP="00EF7432">
      <w:pPr>
        <w:ind w:left="0" w:firstLine="0"/>
      </w:pPr>
    </w:p>
    <w:p w14:paraId="523D6828" w14:textId="77777777" w:rsidR="007B397F" w:rsidRPr="001F6A26" w:rsidRDefault="007B397F" w:rsidP="00EF7432">
      <w:pPr>
        <w:ind w:left="0" w:firstLine="0"/>
        <w:rPr>
          <w:b/>
        </w:rPr>
      </w:pPr>
      <w:r w:rsidRPr="001F6A26">
        <w:rPr>
          <w:bCs/>
          <w:u w:val="single"/>
        </w:rPr>
        <w:lastRenderedPageBreak/>
        <w:t xml:space="preserve">Revakcinace: </w:t>
      </w:r>
      <w:r w:rsidRPr="001F6A26">
        <w:t xml:space="preserve">Podejte jednu dávku 12 měsíců po dokončení primovakcinace. Psi by měli být revakcinováni jednou booster dávkou každoročně.  </w:t>
      </w:r>
    </w:p>
    <w:p w14:paraId="18D1B2F5" w14:textId="77777777" w:rsidR="007B397F" w:rsidRPr="001F6A26" w:rsidRDefault="007B397F" w:rsidP="00765739"/>
    <w:p w14:paraId="2DA80D5B" w14:textId="77777777" w:rsidR="00751C5D" w:rsidRPr="001F6A26" w:rsidRDefault="00751C5D" w:rsidP="00751C5D">
      <w:pPr>
        <w:pStyle w:val="Style1"/>
      </w:pPr>
      <w:r w:rsidRPr="001F6A26">
        <w:t>3.10</w:t>
      </w:r>
      <w:r w:rsidRPr="001F6A26">
        <w:tab/>
        <w:t xml:space="preserve">Příznaky předávkování (a kde je relevantní, první pomoc a antidota) </w:t>
      </w:r>
    </w:p>
    <w:p w14:paraId="6BE92F59" w14:textId="77777777" w:rsidR="007B397F" w:rsidRPr="001F6A26" w:rsidRDefault="007B397F" w:rsidP="00EF7432"/>
    <w:p w14:paraId="6BCA47BD" w14:textId="756BBD53" w:rsidR="007B397F" w:rsidRPr="001F6A26" w:rsidRDefault="007B397F" w:rsidP="00EF7432">
      <w:r w:rsidRPr="001F6A26">
        <w:t xml:space="preserve">Žádné nežádoucí účinky jiné než uvedené v bodě </w:t>
      </w:r>
      <w:r w:rsidR="006211BE" w:rsidRPr="001F6A26">
        <w:t>3</w:t>
      </w:r>
      <w:r w:rsidRPr="001F6A26">
        <w:t xml:space="preserve">.6 nebyly pozorovány po podání 10násobné </w:t>
      </w:r>
    </w:p>
    <w:p w14:paraId="4A2F18C4" w14:textId="77777777" w:rsidR="007B397F" w:rsidRPr="001F6A26" w:rsidRDefault="007B397F" w:rsidP="00EF7432">
      <w:r w:rsidRPr="001F6A26">
        <w:t xml:space="preserve">dávky lyofilizátu. </w:t>
      </w:r>
    </w:p>
    <w:p w14:paraId="0BD601D4" w14:textId="77777777" w:rsidR="007B397F" w:rsidRPr="001F6A26" w:rsidRDefault="007B397F" w:rsidP="00765739"/>
    <w:p w14:paraId="2D8C6FCB" w14:textId="77777777" w:rsidR="006211BE" w:rsidRPr="001F6A26" w:rsidRDefault="006211BE" w:rsidP="006211BE">
      <w:pPr>
        <w:pStyle w:val="Style1"/>
      </w:pPr>
      <w:r w:rsidRPr="001F6A26">
        <w:t>3.11</w:t>
      </w:r>
      <w:r w:rsidRPr="001F6A26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7FA98241" w14:textId="77777777" w:rsidR="006211BE" w:rsidRPr="001F6A26" w:rsidRDefault="006211BE" w:rsidP="006211BE"/>
    <w:p w14:paraId="24F6EAB5" w14:textId="77777777" w:rsidR="006211BE" w:rsidRPr="001F6A26" w:rsidRDefault="006211BE" w:rsidP="006211BE">
      <w:pPr>
        <w:rPr>
          <w:szCs w:val="22"/>
        </w:rPr>
      </w:pPr>
      <w:r w:rsidRPr="001F6A26">
        <w:t>Neuplatňuje se.</w:t>
      </w:r>
    </w:p>
    <w:p w14:paraId="2F96D53B" w14:textId="77777777" w:rsidR="006211BE" w:rsidRPr="001F6A26" w:rsidRDefault="006211BE" w:rsidP="006211BE"/>
    <w:p w14:paraId="487F0A1B" w14:textId="77777777" w:rsidR="006211BE" w:rsidRPr="001F6A26" w:rsidRDefault="006211BE" w:rsidP="006211BE">
      <w:r w:rsidRPr="001F6A26">
        <w:rPr>
          <w:b/>
        </w:rPr>
        <w:t>3.12</w:t>
      </w:r>
      <w:r w:rsidRPr="001F6A26">
        <w:rPr>
          <w:b/>
        </w:rPr>
        <w:tab/>
        <w:t>Ochranné lhůty</w:t>
      </w:r>
    </w:p>
    <w:p w14:paraId="4CB38733" w14:textId="77777777" w:rsidR="006211BE" w:rsidRPr="001F6A26" w:rsidRDefault="006211BE" w:rsidP="006211BE"/>
    <w:p w14:paraId="1E567DC1" w14:textId="77777777" w:rsidR="006211BE" w:rsidRPr="001F6A26" w:rsidRDefault="006211BE" w:rsidP="006211BE">
      <w:r w:rsidRPr="001F6A26">
        <w:t>Neuplatňuje se.</w:t>
      </w:r>
    </w:p>
    <w:p w14:paraId="365D9AD2" w14:textId="77777777" w:rsidR="00991461" w:rsidRPr="001F6A26" w:rsidRDefault="00991461" w:rsidP="006211BE"/>
    <w:p w14:paraId="5995F855" w14:textId="77777777" w:rsidR="007B397F" w:rsidRPr="001F6A26" w:rsidRDefault="007B397F" w:rsidP="00765739"/>
    <w:p w14:paraId="5A9AD1D5" w14:textId="77777777" w:rsidR="00F7027D" w:rsidRPr="001F6A26" w:rsidRDefault="00F7027D" w:rsidP="00F7027D">
      <w:pPr>
        <w:rPr>
          <w:b/>
        </w:rPr>
      </w:pPr>
      <w:r w:rsidRPr="001F6A26">
        <w:rPr>
          <w:b/>
        </w:rPr>
        <w:t>4.</w:t>
      </w:r>
      <w:r w:rsidRPr="001F6A26">
        <w:rPr>
          <w:b/>
        </w:rPr>
        <w:tab/>
        <w:t>IMUNOLOGICKÉ INFORMACE</w:t>
      </w:r>
    </w:p>
    <w:p w14:paraId="0070BBBD" w14:textId="77777777" w:rsidR="00F7027D" w:rsidRPr="001F6A26" w:rsidRDefault="00F7027D" w:rsidP="00F7027D">
      <w:pPr>
        <w:rPr>
          <w:b/>
        </w:rPr>
      </w:pPr>
    </w:p>
    <w:p w14:paraId="5614B70E" w14:textId="73F5572B" w:rsidR="007B397F" w:rsidRPr="001F6A26" w:rsidRDefault="00F7027D" w:rsidP="00EF7432">
      <w:r w:rsidRPr="001F6A26">
        <w:rPr>
          <w:b/>
        </w:rPr>
        <w:t>4.1</w:t>
      </w:r>
      <w:r w:rsidRPr="001F6A26">
        <w:rPr>
          <w:b/>
        </w:rPr>
        <w:tab/>
        <w:t xml:space="preserve">ATCvet kód: </w:t>
      </w:r>
      <w:r w:rsidR="007B397F" w:rsidRPr="001F6A26">
        <w:t>QI07AD04</w:t>
      </w:r>
    </w:p>
    <w:p w14:paraId="73BF7989" w14:textId="77777777" w:rsidR="007B397F" w:rsidRPr="001F6A26" w:rsidRDefault="007B397F" w:rsidP="00EF7432">
      <w:pPr>
        <w:ind w:left="0" w:firstLine="0"/>
      </w:pPr>
    </w:p>
    <w:p w14:paraId="13A67ABA" w14:textId="77777777" w:rsidR="007B397F" w:rsidRPr="001F6A26" w:rsidRDefault="007B397F" w:rsidP="00765739">
      <w:pPr>
        <w:ind w:left="0" w:firstLine="0"/>
      </w:pPr>
      <w:r w:rsidRPr="001F6A26">
        <w:t>Vakcína proti psince, adenovirovým infekcím (CAV-1 a CAV-2), parvoviróze a viru parainfluenzy psů typu 2.</w:t>
      </w:r>
    </w:p>
    <w:p w14:paraId="4E56EE6B" w14:textId="77777777" w:rsidR="00F6110D" w:rsidRPr="001F6A26" w:rsidRDefault="00F6110D" w:rsidP="00EF7432">
      <w:pPr>
        <w:ind w:left="0" w:firstLine="0"/>
      </w:pPr>
    </w:p>
    <w:p w14:paraId="74BEF215" w14:textId="261DF573" w:rsidR="007B397F" w:rsidRPr="001F6A26" w:rsidRDefault="007B397F" w:rsidP="00765739">
      <w:pPr>
        <w:ind w:left="0" w:firstLine="0"/>
      </w:pPr>
      <w:r w:rsidRPr="001F6A26">
        <w:t>Po podání vakcína u psů</w:t>
      </w:r>
      <w:r w:rsidR="007A627B" w:rsidRPr="001F6A26">
        <w:t xml:space="preserve"> navozuje</w:t>
      </w:r>
      <w:r w:rsidRPr="001F6A26">
        <w:t xml:space="preserve"> imunitní odpověď proti psince, adenovirovým infekcím (CAV-1 a CAV-2), parvoviróze a </w:t>
      </w:r>
      <w:r w:rsidR="00106655" w:rsidRPr="001F6A26">
        <w:t xml:space="preserve">respiračním infekcím způsobeným </w:t>
      </w:r>
      <w:r w:rsidRPr="001F6A26">
        <w:t>parainfluenz</w:t>
      </w:r>
      <w:r w:rsidR="00106655" w:rsidRPr="001F6A26">
        <w:t>ou</w:t>
      </w:r>
      <w:r w:rsidRPr="001F6A26">
        <w:t xml:space="preserve"> psů typu 2, což bylo prokázáno čelenží a přítomností protilátek.</w:t>
      </w:r>
    </w:p>
    <w:p w14:paraId="1D55D6B7" w14:textId="77777777" w:rsidR="00F6110D" w:rsidRPr="001F6A26" w:rsidRDefault="00F6110D" w:rsidP="00EF7432">
      <w:pPr>
        <w:ind w:left="0" w:firstLine="0"/>
      </w:pPr>
    </w:p>
    <w:p w14:paraId="5C59F887" w14:textId="77777777" w:rsidR="007B397F" w:rsidRPr="001F6A26" w:rsidRDefault="007B397F" w:rsidP="00765739">
      <w:pPr>
        <w:ind w:left="0" w:firstLine="0"/>
        <w:rPr>
          <w:rFonts w:ascii="TimesNewRoman,Italic" w:hAnsi="TimesNewRoman,Italic"/>
          <w:szCs w:val="22"/>
        </w:rPr>
      </w:pPr>
    </w:p>
    <w:p w14:paraId="579B981D" w14:textId="428BF6E2" w:rsidR="007B397F" w:rsidRPr="001F6A26" w:rsidRDefault="006C36CA" w:rsidP="00765739">
      <w:pPr>
        <w:rPr>
          <w:b/>
        </w:rPr>
      </w:pPr>
      <w:r w:rsidRPr="001F6A26">
        <w:rPr>
          <w:b/>
        </w:rPr>
        <w:t>5.</w:t>
      </w:r>
      <w:r w:rsidRPr="001F6A26">
        <w:rPr>
          <w:b/>
        </w:rPr>
        <w:tab/>
        <w:t>FARMACEUTICKÉ ÚDAJE</w:t>
      </w:r>
    </w:p>
    <w:p w14:paraId="7100CC43" w14:textId="77777777" w:rsidR="007B397F" w:rsidRPr="001F6A26" w:rsidRDefault="007B397F" w:rsidP="00765739">
      <w:pPr>
        <w:rPr>
          <w:b/>
        </w:rPr>
      </w:pPr>
    </w:p>
    <w:p w14:paraId="119BA414" w14:textId="77777777" w:rsidR="005840E3" w:rsidRPr="001F6A26" w:rsidRDefault="005840E3" w:rsidP="005840E3">
      <w:pPr>
        <w:pStyle w:val="Style1"/>
      </w:pPr>
      <w:r w:rsidRPr="001F6A26">
        <w:t>5.1</w:t>
      </w:r>
      <w:r w:rsidRPr="001F6A26">
        <w:tab/>
        <w:t>Hlavní inkompatibility</w:t>
      </w:r>
    </w:p>
    <w:p w14:paraId="5E222351" w14:textId="77777777" w:rsidR="007B397F" w:rsidRPr="001F6A26" w:rsidRDefault="007B397F" w:rsidP="00765739"/>
    <w:p w14:paraId="5EB1BEAE" w14:textId="23EACE17" w:rsidR="007B397F" w:rsidRPr="001F6A26" w:rsidRDefault="007B397F" w:rsidP="00EF7432">
      <w:pPr>
        <w:ind w:left="0" w:firstLine="0"/>
      </w:pPr>
      <w:r w:rsidRPr="001F6A26">
        <w:t xml:space="preserve">Nemísit s jiným veterinárním léčivým přípravkem, vyjma rozpouštědla </w:t>
      </w:r>
      <w:r w:rsidR="002C3B63" w:rsidRPr="001F6A26">
        <w:t xml:space="preserve">pro Eurican DAP/DAPPi </w:t>
      </w:r>
      <w:r w:rsidRPr="001F6A26">
        <w:t xml:space="preserve">dodaného pro použití s veterinárním léčivým přípravkem </w:t>
      </w:r>
      <w:r w:rsidR="002C3B63" w:rsidRPr="001F6A26">
        <w:t xml:space="preserve">a vyjma těch, které jsou uvedeny v bodě </w:t>
      </w:r>
      <w:r w:rsidR="00332D1B" w:rsidRPr="001F6A26">
        <w:t>3.8 výše</w:t>
      </w:r>
      <w:r w:rsidRPr="001F6A26">
        <w:t>.</w:t>
      </w:r>
    </w:p>
    <w:p w14:paraId="63ECF466" w14:textId="77777777" w:rsidR="007B397F" w:rsidRPr="001F6A26" w:rsidRDefault="007B397F" w:rsidP="00765739"/>
    <w:p w14:paraId="7AAD476F" w14:textId="77777777" w:rsidR="00755744" w:rsidRPr="001F6A26" w:rsidRDefault="00755744" w:rsidP="00755744">
      <w:pPr>
        <w:pStyle w:val="Style1"/>
      </w:pPr>
      <w:r w:rsidRPr="001F6A26">
        <w:t>5.2</w:t>
      </w:r>
      <w:r w:rsidRPr="001F6A26">
        <w:tab/>
        <w:t>Doba použitelnosti</w:t>
      </w:r>
    </w:p>
    <w:p w14:paraId="1468C912" w14:textId="28F9AF59" w:rsidR="007B397F" w:rsidRPr="001F6A26" w:rsidRDefault="007B397F" w:rsidP="00765739"/>
    <w:p w14:paraId="12C4C682" w14:textId="77777777" w:rsidR="007B397F" w:rsidRPr="001F6A26" w:rsidRDefault="007B397F" w:rsidP="00765739">
      <w:pPr>
        <w:ind w:right="-318"/>
      </w:pPr>
      <w:r w:rsidRPr="001F6A26">
        <w:t>Doba použitelnosti veterinárního léčivého přípravku v neporušeném obalu: 2 roky</w:t>
      </w:r>
      <w:r w:rsidR="002A6A5D" w:rsidRPr="001F6A26">
        <w:t>.</w:t>
      </w:r>
    </w:p>
    <w:p w14:paraId="17A98940" w14:textId="74119E52" w:rsidR="00227527" w:rsidRPr="001F6A26" w:rsidRDefault="00227527" w:rsidP="00EF7432">
      <w:pPr>
        <w:ind w:right="-318"/>
      </w:pPr>
      <w:r w:rsidRPr="001F6A26">
        <w:t>Doba použitelnosti rozpouštědla v neporušeném obalu: 3 roky.</w:t>
      </w:r>
    </w:p>
    <w:p w14:paraId="22001BF5" w14:textId="77777777" w:rsidR="007B397F" w:rsidRPr="001F6A26" w:rsidRDefault="007B397F" w:rsidP="00EF7432">
      <w:pPr>
        <w:ind w:right="-318"/>
      </w:pPr>
      <w:r w:rsidRPr="001F6A26">
        <w:t>Doba použitelnosti po rekonstituci podle návodu: spotřebujte ihned.</w:t>
      </w:r>
    </w:p>
    <w:p w14:paraId="793D385A" w14:textId="77777777" w:rsidR="007B397F" w:rsidRPr="001F6A26" w:rsidRDefault="007B397F" w:rsidP="00765739">
      <w:pPr>
        <w:ind w:right="-318"/>
      </w:pPr>
    </w:p>
    <w:p w14:paraId="4CF1415D" w14:textId="77777777" w:rsidR="002C3B63" w:rsidRPr="001F6A26" w:rsidRDefault="002C3B63" w:rsidP="002C3B63">
      <w:pPr>
        <w:ind w:right="-318"/>
      </w:pPr>
      <w:r w:rsidRPr="001F6A26">
        <w:rPr>
          <w:b/>
        </w:rPr>
        <w:t>5.3</w:t>
      </w:r>
      <w:r w:rsidRPr="001F6A26">
        <w:rPr>
          <w:b/>
        </w:rPr>
        <w:tab/>
        <w:t>Zvláštní opatření pro uchovávání</w:t>
      </w:r>
    </w:p>
    <w:p w14:paraId="0DFB492B" w14:textId="77777777" w:rsidR="007B397F" w:rsidRPr="001F6A26" w:rsidRDefault="007B397F" w:rsidP="00765739">
      <w:pPr>
        <w:ind w:right="-318"/>
      </w:pPr>
    </w:p>
    <w:p w14:paraId="73DE9E96" w14:textId="77777777" w:rsidR="00C639C6" w:rsidRPr="001F6A26" w:rsidRDefault="00C639C6" w:rsidP="00765739">
      <w:pPr>
        <w:ind w:right="-318"/>
      </w:pPr>
      <w:r w:rsidRPr="001F6A26">
        <w:t>Lyofilizát a rozpouštědlo:</w:t>
      </w:r>
    </w:p>
    <w:p w14:paraId="7C329FD4" w14:textId="01F0FF95" w:rsidR="007B397F" w:rsidRPr="001F6A26" w:rsidRDefault="007B397F" w:rsidP="00765739">
      <w:pPr>
        <w:ind w:right="-318"/>
      </w:pPr>
      <w:r w:rsidRPr="001F6A26">
        <w:t>Uchovávejte a přepravujte chlazené (2</w:t>
      </w:r>
      <w:r w:rsidRPr="001F6A26">
        <w:sym w:font="Symbol" w:char="F0B0"/>
      </w:r>
      <w:r w:rsidRPr="001F6A26">
        <w:t>C </w:t>
      </w:r>
      <w:r w:rsidR="001F52F3" w:rsidRPr="001F6A26">
        <w:t>-</w:t>
      </w:r>
      <w:r w:rsidRPr="001F6A26">
        <w:t> 8</w:t>
      </w:r>
      <w:r w:rsidRPr="001F6A26">
        <w:sym w:font="Symbol" w:char="F0B0"/>
      </w:r>
      <w:r w:rsidRPr="001F6A26">
        <w:t>C).</w:t>
      </w:r>
    </w:p>
    <w:p w14:paraId="3D2A8479" w14:textId="77777777" w:rsidR="007B397F" w:rsidRPr="001F6A26" w:rsidRDefault="007B397F" w:rsidP="00765739">
      <w:pPr>
        <w:ind w:right="-318"/>
      </w:pPr>
      <w:r w:rsidRPr="001F6A26">
        <w:t>Chraňte před světlem.</w:t>
      </w:r>
    </w:p>
    <w:p w14:paraId="2328E48F" w14:textId="77777777" w:rsidR="007B397F" w:rsidRPr="001F6A26" w:rsidRDefault="007B397F" w:rsidP="00765739">
      <w:pPr>
        <w:ind w:right="-318"/>
      </w:pPr>
      <w:r w:rsidRPr="001F6A26">
        <w:t>Chraňte před mrazem.</w:t>
      </w:r>
    </w:p>
    <w:p w14:paraId="72D50A2D" w14:textId="77777777" w:rsidR="007B397F" w:rsidRPr="001F6A26" w:rsidRDefault="007B397F" w:rsidP="00765739">
      <w:pPr>
        <w:ind w:left="0" w:right="-318" w:firstLine="0"/>
      </w:pPr>
    </w:p>
    <w:p w14:paraId="1C9C3E04" w14:textId="77777777" w:rsidR="001F52F3" w:rsidRPr="001F6A26" w:rsidRDefault="001F52F3" w:rsidP="001F52F3">
      <w:pPr>
        <w:pStyle w:val="Style1"/>
      </w:pPr>
      <w:r w:rsidRPr="001F6A26">
        <w:t>5.4</w:t>
      </w:r>
      <w:r w:rsidRPr="001F6A26">
        <w:tab/>
        <w:t>Druh a složení vnitřního obalu</w:t>
      </w:r>
    </w:p>
    <w:p w14:paraId="47BE4C3F" w14:textId="77777777" w:rsidR="007B397F" w:rsidRPr="001F6A26" w:rsidRDefault="007B397F" w:rsidP="00765739"/>
    <w:p w14:paraId="4561DAA9" w14:textId="5CA236A5" w:rsidR="007B397F" w:rsidRPr="001F6A26" w:rsidRDefault="002A6A5D" w:rsidP="00EF7432">
      <w:pPr>
        <w:ind w:left="0" w:firstLine="0"/>
      </w:pPr>
      <w:r w:rsidRPr="001F6A26">
        <w:t xml:space="preserve">Vnitřní obal: </w:t>
      </w:r>
      <w:r w:rsidR="007B397F" w:rsidRPr="001F6A26">
        <w:t xml:space="preserve">Injekční lahvičky ze skla typu I s chlorobutylovou </w:t>
      </w:r>
      <w:r w:rsidRPr="001F6A26">
        <w:t xml:space="preserve">gumovou </w:t>
      </w:r>
      <w:r w:rsidR="007B397F" w:rsidRPr="001F6A26">
        <w:t xml:space="preserve">zátkou uzavřené hliníkovou pertlí. </w:t>
      </w:r>
    </w:p>
    <w:p w14:paraId="560E5617" w14:textId="77777777" w:rsidR="007B397F" w:rsidRPr="001F6A26" w:rsidRDefault="007B397F" w:rsidP="00765739"/>
    <w:p w14:paraId="7F09A23E" w14:textId="77777777" w:rsidR="002A6A5D" w:rsidRPr="001F6A26" w:rsidRDefault="002A6A5D" w:rsidP="00765739">
      <w:r w:rsidRPr="001F6A26">
        <w:lastRenderedPageBreak/>
        <w:t>Vnější obal:</w:t>
      </w:r>
    </w:p>
    <w:p w14:paraId="2FA22853" w14:textId="77777777" w:rsidR="007B397F" w:rsidRPr="001F6A26" w:rsidRDefault="007B397F" w:rsidP="00765739">
      <w:r w:rsidRPr="001F6A26">
        <w:t xml:space="preserve">Plastová krabička s 10 injekčními lahvičkami lyofilizátu (1 dávka) a 10 injekčními lahvičkami </w:t>
      </w:r>
    </w:p>
    <w:p w14:paraId="7AF1BF1B" w14:textId="77777777" w:rsidR="007B397F" w:rsidRPr="001F6A26" w:rsidRDefault="007B397F" w:rsidP="00765739">
      <w:r w:rsidRPr="001F6A26">
        <w:t>rozpouštědla (1ml).</w:t>
      </w:r>
    </w:p>
    <w:p w14:paraId="273D6F8A" w14:textId="77777777" w:rsidR="007B397F" w:rsidRPr="001F6A26" w:rsidRDefault="007B397F" w:rsidP="00765739">
      <w:r w:rsidRPr="001F6A26">
        <w:t xml:space="preserve">Plastová krabička s 50 injekčními lahvičkami lyofilizátu (1 dávka) a 50 injekčními lahvičkami </w:t>
      </w:r>
    </w:p>
    <w:p w14:paraId="7AECB701" w14:textId="77777777" w:rsidR="007B397F" w:rsidRPr="001F6A26" w:rsidRDefault="007B397F" w:rsidP="00765739">
      <w:r w:rsidRPr="001F6A26">
        <w:t>rozpouštědla (1ml).</w:t>
      </w:r>
    </w:p>
    <w:p w14:paraId="3036C403" w14:textId="56174FE7" w:rsidR="007B397F" w:rsidRPr="001F6A26" w:rsidRDefault="007B397F" w:rsidP="00EF7432">
      <w:pPr>
        <w:ind w:left="0" w:firstLine="0"/>
      </w:pPr>
      <w:r w:rsidRPr="001F6A26">
        <w:t>Plastová krabička se 100 injekčními lahvičkami lyofilizátu (1 dávka) a 100 injekčními lahvičkami rozpouštědla (1ml).</w:t>
      </w:r>
    </w:p>
    <w:p w14:paraId="639244B0" w14:textId="77777777" w:rsidR="0054048C" w:rsidRPr="001F6A26" w:rsidRDefault="0054048C" w:rsidP="00765739"/>
    <w:p w14:paraId="231871EE" w14:textId="77777777" w:rsidR="0054048C" w:rsidRPr="001F6A26" w:rsidRDefault="0054048C" w:rsidP="0054048C">
      <w:r w:rsidRPr="001F6A26">
        <w:t>Plastová krabička s 10 injekčními lahvičkami lyofilizátu (1 dávka).</w:t>
      </w:r>
    </w:p>
    <w:p w14:paraId="7BD77EDD" w14:textId="77777777" w:rsidR="0054048C" w:rsidRPr="001F6A26" w:rsidRDefault="0054048C" w:rsidP="0054048C">
      <w:r w:rsidRPr="001F6A26">
        <w:t>Plastová krabička s 50 injekčními lahvičkami lyofilizátu (1 dávka).</w:t>
      </w:r>
    </w:p>
    <w:p w14:paraId="17F3A4E5" w14:textId="0B3E9BBB" w:rsidR="007F40A0" w:rsidRPr="001F6A26" w:rsidRDefault="007F40A0" w:rsidP="0054048C">
      <w:r w:rsidRPr="001F6A26">
        <w:t>Plastová krabička s 100 injekčními lahvičkami lyofilizátu (1 dávka).</w:t>
      </w:r>
    </w:p>
    <w:p w14:paraId="152AE876" w14:textId="77777777" w:rsidR="0054048C" w:rsidRPr="001F6A26" w:rsidRDefault="0054048C" w:rsidP="0054048C"/>
    <w:p w14:paraId="2A24BA3B" w14:textId="77777777" w:rsidR="0054048C" w:rsidRPr="001F6A26" w:rsidRDefault="0054048C" w:rsidP="0054048C">
      <w:r w:rsidRPr="001F6A26">
        <w:t>Plastová krabička s 10 injekčními lahvičkami rozpouštědla (1 ml).</w:t>
      </w:r>
    </w:p>
    <w:p w14:paraId="5E092839" w14:textId="77777777" w:rsidR="0054048C" w:rsidRPr="001F6A26" w:rsidRDefault="0054048C" w:rsidP="0054048C">
      <w:r w:rsidRPr="001F6A26">
        <w:t>Plastová krabička s 50 injekčními lahvičkami rozpouštědla (1 ml).</w:t>
      </w:r>
    </w:p>
    <w:p w14:paraId="512C7287" w14:textId="648BB1E6" w:rsidR="0054048C" w:rsidRPr="001F6A26" w:rsidRDefault="007F40A0" w:rsidP="007F40A0">
      <w:r w:rsidRPr="001F6A26">
        <w:t>Plastová krabička s 100 injekčními lahvičkami rozpouštědla (1 ml).</w:t>
      </w:r>
    </w:p>
    <w:p w14:paraId="400A68E1" w14:textId="77777777" w:rsidR="007B397F" w:rsidRPr="001F6A26" w:rsidRDefault="007B397F" w:rsidP="00765739"/>
    <w:p w14:paraId="6A6645A5" w14:textId="77777777" w:rsidR="007B397F" w:rsidRPr="001F6A26" w:rsidRDefault="007B397F" w:rsidP="00765739">
      <w:r w:rsidRPr="001F6A26">
        <w:t>Na trhu nemusí být všechny velikosti balení.</w:t>
      </w:r>
    </w:p>
    <w:p w14:paraId="708AB6D6" w14:textId="77777777" w:rsidR="007B397F" w:rsidRPr="001F6A26" w:rsidRDefault="007B397F" w:rsidP="00765739">
      <w:pPr>
        <w:ind w:right="-318"/>
      </w:pPr>
    </w:p>
    <w:p w14:paraId="35270DFC" w14:textId="77777777" w:rsidR="00680F7F" w:rsidRPr="001F6A26" w:rsidRDefault="00680F7F" w:rsidP="00680F7F">
      <w:pPr>
        <w:pStyle w:val="Style1"/>
      </w:pPr>
      <w:r w:rsidRPr="001F6A26">
        <w:t>5.5</w:t>
      </w:r>
      <w:r w:rsidRPr="001F6A26">
        <w:tab/>
        <w:t>Zvláštní opatření pro likvidaci nepoužitých veterinárních léčivých přípravků nebo odpadů, které pochází z těchto přípravků</w:t>
      </w:r>
    </w:p>
    <w:p w14:paraId="37D945A1" w14:textId="77777777" w:rsidR="007B397F" w:rsidRPr="001F6A26" w:rsidRDefault="007B397F" w:rsidP="00765739">
      <w:pPr>
        <w:ind w:right="-318"/>
      </w:pPr>
    </w:p>
    <w:p w14:paraId="788BAB2F" w14:textId="77777777" w:rsidR="005867B2" w:rsidRPr="001F6A26" w:rsidRDefault="005867B2" w:rsidP="005867B2">
      <w:pPr>
        <w:rPr>
          <w:szCs w:val="22"/>
        </w:rPr>
      </w:pPr>
      <w:r w:rsidRPr="001F6A26">
        <w:t>Léčivé přípravky se nesmí likvidovat prostřednictvím odpadní vody či domovního odpadu.</w:t>
      </w:r>
    </w:p>
    <w:p w14:paraId="21332EED" w14:textId="77777777" w:rsidR="005867B2" w:rsidRPr="001F6A26" w:rsidRDefault="005867B2" w:rsidP="005867B2">
      <w:pPr>
        <w:rPr>
          <w:szCs w:val="22"/>
        </w:rPr>
      </w:pPr>
    </w:p>
    <w:p w14:paraId="439BEF86" w14:textId="77777777" w:rsidR="005867B2" w:rsidRPr="001F6A26" w:rsidRDefault="005867B2" w:rsidP="005867B2">
      <w:pPr>
        <w:ind w:left="0" w:firstLine="0"/>
      </w:pPr>
      <w:r w:rsidRPr="001F6A26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D77C026" w14:textId="77777777" w:rsidR="00C65E67" w:rsidRPr="001F6A26" w:rsidRDefault="00C65E67" w:rsidP="005867B2">
      <w:pPr>
        <w:ind w:left="0" w:firstLine="0"/>
      </w:pPr>
    </w:p>
    <w:p w14:paraId="328277CD" w14:textId="77777777" w:rsidR="007B397F" w:rsidRPr="001F6A26" w:rsidRDefault="007B397F" w:rsidP="00765739">
      <w:pPr>
        <w:ind w:left="0" w:firstLine="0"/>
      </w:pPr>
    </w:p>
    <w:p w14:paraId="10AA02DF" w14:textId="77777777" w:rsidR="00113AF3" w:rsidRPr="001F6A26" w:rsidRDefault="00113AF3" w:rsidP="00113AF3">
      <w:pPr>
        <w:pStyle w:val="Style1"/>
      </w:pPr>
      <w:r w:rsidRPr="001F6A26">
        <w:t>6.</w:t>
      </w:r>
      <w:r w:rsidRPr="001F6A26">
        <w:tab/>
        <w:t>JMÉNO DRŽITELE ROZHODNUTÍ O REGISTRACI</w:t>
      </w:r>
    </w:p>
    <w:p w14:paraId="523AAED1" w14:textId="3C793E15" w:rsidR="007B397F" w:rsidRPr="001F6A26" w:rsidRDefault="007B397F" w:rsidP="00765739">
      <w:pPr>
        <w:rPr>
          <w:b/>
        </w:rPr>
      </w:pPr>
    </w:p>
    <w:p w14:paraId="3C517730" w14:textId="77777777" w:rsidR="007E75FD" w:rsidRPr="001F6A26" w:rsidRDefault="007E75FD" w:rsidP="00765739">
      <w:pPr>
        <w:ind w:right="-318"/>
        <w:rPr>
          <w:bCs/>
        </w:rPr>
      </w:pPr>
      <w:r w:rsidRPr="001F6A26">
        <w:rPr>
          <w:bCs/>
        </w:rPr>
        <w:t>Boehringer Ingelheim Animal Health France SCS</w:t>
      </w:r>
    </w:p>
    <w:p w14:paraId="1CD87F05" w14:textId="77777777" w:rsidR="00C65E67" w:rsidRPr="001F6A26" w:rsidRDefault="00C65E67" w:rsidP="00765739">
      <w:pPr>
        <w:ind w:right="-318"/>
        <w:rPr>
          <w:bCs/>
        </w:rPr>
      </w:pPr>
    </w:p>
    <w:p w14:paraId="36F49632" w14:textId="77777777" w:rsidR="007B397F" w:rsidRPr="001F6A26" w:rsidRDefault="007B397F" w:rsidP="00765739">
      <w:pPr>
        <w:ind w:right="-318"/>
      </w:pPr>
    </w:p>
    <w:p w14:paraId="6032C96A" w14:textId="2E96D725" w:rsidR="007B397F" w:rsidRPr="001F6A26" w:rsidRDefault="00D925CA" w:rsidP="00765739">
      <w:pPr>
        <w:ind w:right="-318"/>
        <w:rPr>
          <w:b/>
          <w:caps/>
        </w:rPr>
      </w:pPr>
      <w:r w:rsidRPr="001F6A26">
        <w:rPr>
          <w:b/>
        </w:rPr>
        <w:t>7</w:t>
      </w:r>
      <w:r w:rsidR="007B397F" w:rsidRPr="001F6A26">
        <w:rPr>
          <w:b/>
        </w:rPr>
        <w:t>.</w:t>
      </w:r>
      <w:r w:rsidR="007B397F" w:rsidRPr="001F6A26">
        <w:tab/>
      </w:r>
      <w:r w:rsidR="007B397F" w:rsidRPr="001F6A26">
        <w:rPr>
          <w:b/>
          <w:caps/>
        </w:rPr>
        <w:t>Registrační číslo(a)</w:t>
      </w:r>
    </w:p>
    <w:p w14:paraId="1765CBC4" w14:textId="77777777" w:rsidR="007B397F" w:rsidRPr="001F6A26" w:rsidRDefault="007B397F" w:rsidP="00765739">
      <w:pPr>
        <w:ind w:right="-318"/>
        <w:rPr>
          <w:b/>
          <w:caps/>
        </w:rPr>
      </w:pPr>
    </w:p>
    <w:p w14:paraId="3746D307" w14:textId="77777777" w:rsidR="007B397F" w:rsidRPr="001F6A26" w:rsidRDefault="007B397F" w:rsidP="00765739">
      <w:pPr>
        <w:ind w:right="-318"/>
        <w:rPr>
          <w:caps/>
        </w:rPr>
      </w:pPr>
      <w:r w:rsidRPr="001F6A26">
        <w:rPr>
          <w:caps/>
        </w:rPr>
        <w:t>97/012/16-C</w:t>
      </w:r>
    </w:p>
    <w:p w14:paraId="20F710A0" w14:textId="77777777" w:rsidR="00D925CA" w:rsidRPr="001F6A26" w:rsidRDefault="00D925CA" w:rsidP="00765739">
      <w:pPr>
        <w:ind w:right="-318"/>
        <w:rPr>
          <w:caps/>
        </w:rPr>
      </w:pPr>
    </w:p>
    <w:p w14:paraId="331A8F8E" w14:textId="77777777" w:rsidR="007B397F" w:rsidRPr="001F6A26" w:rsidRDefault="007B397F" w:rsidP="00765739">
      <w:pPr>
        <w:ind w:right="-318"/>
        <w:rPr>
          <w:b/>
          <w:caps/>
        </w:rPr>
      </w:pPr>
    </w:p>
    <w:p w14:paraId="111FFAB7" w14:textId="77777777" w:rsidR="00C63609" w:rsidRPr="001F6A26" w:rsidRDefault="00C63609" w:rsidP="00C63609">
      <w:pPr>
        <w:ind w:right="-318"/>
        <w:rPr>
          <w:b/>
          <w:caps/>
        </w:rPr>
      </w:pPr>
      <w:r w:rsidRPr="001F6A26">
        <w:rPr>
          <w:b/>
          <w:caps/>
        </w:rPr>
        <w:t>8.</w:t>
      </w:r>
      <w:r w:rsidRPr="001F6A26">
        <w:rPr>
          <w:b/>
          <w:caps/>
        </w:rPr>
        <w:tab/>
        <w:t>DATUM PRVNÍ REGISTRACE</w:t>
      </w:r>
    </w:p>
    <w:p w14:paraId="7426E7A5" w14:textId="77777777" w:rsidR="007B397F" w:rsidRPr="001F6A26" w:rsidRDefault="007B397F" w:rsidP="00765739">
      <w:pPr>
        <w:ind w:right="-318"/>
        <w:rPr>
          <w:b/>
          <w:caps/>
        </w:rPr>
      </w:pPr>
    </w:p>
    <w:p w14:paraId="1391A466" w14:textId="5E06EEF2" w:rsidR="007B397F" w:rsidRPr="001F6A26" w:rsidRDefault="00482052" w:rsidP="00765739">
      <w:pPr>
        <w:rPr>
          <w:szCs w:val="22"/>
        </w:rPr>
      </w:pPr>
      <w:r w:rsidRPr="001F6A26">
        <w:rPr>
          <w:szCs w:val="22"/>
        </w:rPr>
        <w:t xml:space="preserve">Datum </w:t>
      </w:r>
      <w:r w:rsidR="00C63609" w:rsidRPr="001F6A26">
        <w:rPr>
          <w:szCs w:val="22"/>
        </w:rPr>
        <w:t xml:space="preserve">první </w:t>
      </w:r>
      <w:r w:rsidRPr="001F6A26">
        <w:rPr>
          <w:szCs w:val="22"/>
        </w:rPr>
        <w:t>registrace: 0</w:t>
      </w:r>
      <w:r w:rsidR="007B397F" w:rsidRPr="001F6A26">
        <w:rPr>
          <w:szCs w:val="22"/>
        </w:rPr>
        <w:t>8</w:t>
      </w:r>
      <w:r w:rsidR="00C63609" w:rsidRPr="001F6A26">
        <w:rPr>
          <w:szCs w:val="22"/>
        </w:rPr>
        <w:t>/</w:t>
      </w:r>
      <w:r w:rsidRPr="001F6A26">
        <w:rPr>
          <w:szCs w:val="22"/>
        </w:rPr>
        <w:t>0</w:t>
      </w:r>
      <w:r w:rsidR="007B397F" w:rsidRPr="001F6A26">
        <w:rPr>
          <w:szCs w:val="22"/>
        </w:rPr>
        <w:t>4</w:t>
      </w:r>
      <w:r w:rsidR="00C63609" w:rsidRPr="001F6A26">
        <w:rPr>
          <w:szCs w:val="22"/>
        </w:rPr>
        <w:t>/</w:t>
      </w:r>
      <w:r w:rsidR="007B397F" w:rsidRPr="001F6A26">
        <w:rPr>
          <w:szCs w:val="22"/>
        </w:rPr>
        <w:t>2016</w:t>
      </w:r>
    </w:p>
    <w:p w14:paraId="6FB2F4D9" w14:textId="77777777" w:rsidR="00C65E67" w:rsidRPr="001F6A26" w:rsidRDefault="00C65E67" w:rsidP="00765739">
      <w:pPr>
        <w:rPr>
          <w:szCs w:val="22"/>
        </w:rPr>
      </w:pPr>
    </w:p>
    <w:p w14:paraId="5AF944E3" w14:textId="77777777" w:rsidR="007B397F" w:rsidRPr="001F6A26" w:rsidRDefault="007B397F" w:rsidP="00765739">
      <w:pPr>
        <w:ind w:right="-318"/>
      </w:pPr>
    </w:p>
    <w:p w14:paraId="5C7C2CC8" w14:textId="77777777" w:rsidR="00824117" w:rsidRPr="001F6A26" w:rsidRDefault="00824117" w:rsidP="00824117">
      <w:pPr>
        <w:ind w:right="-318"/>
        <w:rPr>
          <w:b/>
        </w:rPr>
      </w:pPr>
      <w:r w:rsidRPr="001F6A26">
        <w:rPr>
          <w:b/>
        </w:rPr>
        <w:t>9.</w:t>
      </w:r>
      <w:r w:rsidRPr="001F6A26">
        <w:rPr>
          <w:b/>
        </w:rPr>
        <w:tab/>
        <w:t>DATUM POSLEDNÍ AKTUALIZACE SOUHRNU ÚDAJŮ O PŘÍPRAVKU</w:t>
      </w:r>
    </w:p>
    <w:p w14:paraId="23D1EB6B" w14:textId="77777777" w:rsidR="007B397F" w:rsidRPr="001F6A26" w:rsidRDefault="007B397F" w:rsidP="00765739">
      <w:pPr>
        <w:ind w:right="-318"/>
        <w:rPr>
          <w:b/>
        </w:rPr>
      </w:pPr>
    </w:p>
    <w:p w14:paraId="2A15469F" w14:textId="6121CDD0" w:rsidR="00C65E67" w:rsidRPr="001F6A26" w:rsidRDefault="00306BD4" w:rsidP="00765739">
      <w:pPr>
        <w:ind w:right="-318"/>
      </w:pPr>
      <w:r w:rsidRPr="001F6A26">
        <w:t>02</w:t>
      </w:r>
      <w:r w:rsidR="00F952F2" w:rsidRPr="001F6A26">
        <w:t>/2024</w:t>
      </w:r>
    </w:p>
    <w:p w14:paraId="0CCB10DE" w14:textId="77777777" w:rsidR="00C65E67" w:rsidRPr="001F6A26" w:rsidRDefault="00C65E67" w:rsidP="00765739">
      <w:pPr>
        <w:ind w:right="-318"/>
      </w:pPr>
    </w:p>
    <w:p w14:paraId="2D09FA39" w14:textId="77777777" w:rsidR="007B397F" w:rsidRPr="001F6A26" w:rsidRDefault="007B397F" w:rsidP="00765739">
      <w:pPr>
        <w:ind w:right="-318"/>
        <w:rPr>
          <w:b/>
        </w:rPr>
      </w:pPr>
    </w:p>
    <w:p w14:paraId="63D1CDE6" w14:textId="77777777" w:rsidR="00955266" w:rsidRPr="001F6A26" w:rsidRDefault="00955266" w:rsidP="00955266">
      <w:pPr>
        <w:pStyle w:val="Style1"/>
      </w:pPr>
      <w:r w:rsidRPr="001F6A26">
        <w:t>10.</w:t>
      </w:r>
      <w:r w:rsidRPr="001F6A26">
        <w:tab/>
        <w:t>KLASIFIKACE VETERINÁRNÍCH LÉČIVÝCH PŘÍPRAVKŮ</w:t>
      </w:r>
    </w:p>
    <w:p w14:paraId="43438026" w14:textId="77777777" w:rsidR="00955266" w:rsidRPr="001F6A26" w:rsidRDefault="00955266" w:rsidP="001D4ED7">
      <w:pPr>
        <w:numPr>
          <w:ilvl w:val="12"/>
          <w:numId w:val="0"/>
        </w:numPr>
      </w:pPr>
    </w:p>
    <w:p w14:paraId="557F7566" w14:textId="4C571167" w:rsidR="001D4ED7" w:rsidRPr="001F6A26" w:rsidRDefault="001D4ED7" w:rsidP="001D4ED7">
      <w:pPr>
        <w:numPr>
          <w:ilvl w:val="12"/>
          <w:numId w:val="0"/>
        </w:numPr>
        <w:rPr>
          <w:szCs w:val="22"/>
        </w:rPr>
      </w:pPr>
      <w:r w:rsidRPr="001F6A26">
        <w:t>Veterinární léčivý přípravek je vydáván pouze na předpis.</w:t>
      </w:r>
    </w:p>
    <w:p w14:paraId="15C7A672" w14:textId="77777777" w:rsidR="001D4ED7" w:rsidRPr="001F6A26" w:rsidRDefault="001D4ED7" w:rsidP="001D4ED7">
      <w:pPr>
        <w:ind w:right="-318"/>
        <w:rPr>
          <w:szCs w:val="22"/>
        </w:rPr>
      </w:pPr>
    </w:p>
    <w:p w14:paraId="27491578" w14:textId="15856BB8" w:rsidR="001D4ED7" w:rsidRPr="001F6A26" w:rsidRDefault="001D4ED7" w:rsidP="001D4ED7">
      <w:pPr>
        <w:ind w:left="0" w:right="-318" w:firstLine="0"/>
        <w:rPr>
          <w:i/>
          <w:szCs w:val="22"/>
        </w:rPr>
      </w:pPr>
      <w:bookmarkStart w:id="2" w:name="_Hlk73467306"/>
      <w:r w:rsidRPr="001F6A26">
        <w:t xml:space="preserve">Podrobné informace o tomto veterinárním léčivém přípravku jsou k dispozici v databázi přípravků Unie </w:t>
      </w:r>
      <w:r w:rsidRPr="001F6A26">
        <w:rPr>
          <w:szCs w:val="22"/>
        </w:rPr>
        <w:t>(</w:t>
      </w:r>
      <w:hyperlink r:id="rId11" w:history="1">
        <w:r w:rsidRPr="001F6A26">
          <w:rPr>
            <w:rStyle w:val="Hypertextovodkaz"/>
            <w:szCs w:val="22"/>
          </w:rPr>
          <w:t>https://medicines.health.europa.eu/veterinary</w:t>
        </w:r>
      </w:hyperlink>
      <w:r w:rsidRPr="001F6A26">
        <w:rPr>
          <w:szCs w:val="22"/>
        </w:rPr>
        <w:t>)</w:t>
      </w:r>
      <w:r w:rsidRPr="001F6A26">
        <w:rPr>
          <w:i/>
          <w:szCs w:val="22"/>
        </w:rPr>
        <w:t>.</w:t>
      </w:r>
    </w:p>
    <w:p w14:paraId="7D49A04F" w14:textId="476EEF29" w:rsidR="007B397F" w:rsidRPr="001F6A26" w:rsidRDefault="00F952F2" w:rsidP="00EF7432">
      <w:pPr>
        <w:ind w:left="0" w:right="-318" w:firstLine="0"/>
        <w:rPr>
          <w:bCs/>
        </w:rPr>
      </w:pPr>
      <w:bookmarkStart w:id="3" w:name="_Hlk148432335"/>
      <w:r w:rsidRPr="001F6A26">
        <w:rPr>
          <w:szCs w:val="22"/>
        </w:rPr>
        <w:t>Podrobné informace o tomto veterinárním léčivém přípravku naleznete také v národní databázi (</w:t>
      </w:r>
      <w:hyperlink r:id="rId12" w:history="1">
        <w:r w:rsidRPr="001F6A26">
          <w:rPr>
            <w:rStyle w:val="Hypertextovodkaz"/>
            <w:szCs w:val="22"/>
          </w:rPr>
          <w:t>https://www.uskvbl.cz</w:t>
        </w:r>
      </w:hyperlink>
      <w:r w:rsidRPr="001F6A26">
        <w:rPr>
          <w:szCs w:val="22"/>
        </w:rPr>
        <w:t>).</w:t>
      </w:r>
      <w:bookmarkEnd w:id="2"/>
      <w:bookmarkEnd w:id="3"/>
    </w:p>
    <w:p w14:paraId="2D93E68A" w14:textId="77777777" w:rsidR="00990659" w:rsidRPr="001F6A26" w:rsidRDefault="00990659">
      <w:bookmarkStart w:id="4" w:name="_GoBack"/>
      <w:bookmarkEnd w:id="4"/>
    </w:p>
    <w:sectPr w:rsidR="00990659" w:rsidRPr="001F6A26" w:rsidSect="006F70E5">
      <w:footerReference w:type="defaul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BF605" w14:textId="77777777" w:rsidR="00331C6C" w:rsidRDefault="00331C6C">
      <w:r>
        <w:separator/>
      </w:r>
    </w:p>
  </w:endnote>
  <w:endnote w:type="continuationSeparator" w:id="0">
    <w:p w14:paraId="1B33552E" w14:textId="77777777" w:rsidR="00331C6C" w:rsidRDefault="0033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18291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6BAAD65" w14:textId="77777777" w:rsidR="00990659" w:rsidRDefault="000636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6F70E5">
      <w:instrText xml:space="preserve"> PAGE  \* MERGEFORMAT </w:instrText>
    </w:r>
    <w:r>
      <w:fldChar w:fldCharType="separate"/>
    </w:r>
    <w:r w:rsidR="001F6A26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152D8" w14:textId="77777777" w:rsidR="00990659" w:rsidRDefault="00990659">
    <w:pPr>
      <w:pStyle w:val="Zpat"/>
      <w:tabs>
        <w:tab w:val="clear" w:pos="8930"/>
        <w:tab w:val="right" w:pos="8931"/>
      </w:tabs>
    </w:pPr>
  </w:p>
  <w:p w14:paraId="4E33EAA1" w14:textId="77777777" w:rsidR="00990659" w:rsidRDefault="000636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6F70E5">
      <w:instrText xml:space="preserve"> PAGE  \* MERGEFORMAT </w:instrText>
    </w:r>
    <w:r>
      <w:fldChar w:fldCharType="separate"/>
    </w:r>
    <w:r w:rsidR="001F6A2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F44B3" w14:textId="77777777" w:rsidR="00331C6C" w:rsidRDefault="00331C6C">
      <w:r>
        <w:separator/>
      </w:r>
    </w:p>
  </w:footnote>
  <w:footnote w:type="continuationSeparator" w:id="0">
    <w:p w14:paraId="7F99DB4E" w14:textId="77777777" w:rsidR="00331C6C" w:rsidRDefault="0033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29B2AD8"/>
    <w:multiLevelType w:val="hybridMultilevel"/>
    <w:tmpl w:val="C0F892BA"/>
    <w:lvl w:ilvl="0" w:tplc="07A825E6">
      <w:start w:val="4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30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9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82534"/>
    <w:rsid w:val="0000178B"/>
    <w:rsid w:val="00014F34"/>
    <w:rsid w:val="00056663"/>
    <w:rsid w:val="0006161A"/>
    <w:rsid w:val="00063601"/>
    <w:rsid w:val="00064D20"/>
    <w:rsid w:val="00073D2D"/>
    <w:rsid w:val="000868BA"/>
    <w:rsid w:val="00096551"/>
    <w:rsid w:val="000C76A2"/>
    <w:rsid w:val="00106655"/>
    <w:rsid w:val="00113AF3"/>
    <w:rsid w:val="001252C7"/>
    <w:rsid w:val="001427C3"/>
    <w:rsid w:val="00152EDC"/>
    <w:rsid w:val="001B07FD"/>
    <w:rsid w:val="001D32D2"/>
    <w:rsid w:val="001D4ED7"/>
    <w:rsid w:val="001D61DD"/>
    <w:rsid w:val="001D7E5E"/>
    <w:rsid w:val="001F52F3"/>
    <w:rsid w:val="001F6A26"/>
    <w:rsid w:val="00227527"/>
    <w:rsid w:val="00236540"/>
    <w:rsid w:val="00257701"/>
    <w:rsid w:val="0028312A"/>
    <w:rsid w:val="00295353"/>
    <w:rsid w:val="002A0BAF"/>
    <w:rsid w:val="002A6A5D"/>
    <w:rsid w:val="002C3B63"/>
    <w:rsid w:val="00306BD4"/>
    <w:rsid w:val="003177B4"/>
    <w:rsid w:val="003205FE"/>
    <w:rsid w:val="00331C6C"/>
    <w:rsid w:val="00332D1B"/>
    <w:rsid w:val="0034060F"/>
    <w:rsid w:val="0037353E"/>
    <w:rsid w:val="003B110C"/>
    <w:rsid w:val="00482052"/>
    <w:rsid w:val="004D37D5"/>
    <w:rsid w:val="004E1E09"/>
    <w:rsid w:val="0054048C"/>
    <w:rsid w:val="00580FD9"/>
    <w:rsid w:val="005840E3"/>
    <w:rsid w:val="005867B2"/>
    <w:rsid w:val="005D116E"/>
    <w:rsid w:val="006211BE"/>
    <w:rsid w:val="006677E6"/>
    <w:rsid w:val="00675BEB"/>
    <w:rsid w:val="00680F7F"/>
    <w:rsid w:val="006B4CE3"/>
    <w:rsid w:val="006C36CA"/>
    <w:rsid w:val="006C754A"/>
    <w:rsid w:val="006F25A5"/>
    <w:rsid w:val="006F70E5"/>
    <w:rsid w:val="00713A2A"/>
    <w:rsid w:val="00727553"/>
    <w:rsid w:val="00751C5D"/>
    <w:rsid w:val="00755744"/>
    <w:rsid w:val="00765739"/>
    <w:rsid w:val="007A45C1"/>
    <w:rsid w:val="007A627B"/>
    <w:rsid w:val="007B0A61"/>
    <w:rsid w:val="007B397F"/>
    <w:rsid w:val="007E6930"/>
    <w:rsid w:val="007E75FD"/>
    <w:rsid w:val="007F40A0"/>
    <w:rsid w:val="00824117"/>
    <w:rsid w:val="00842667"/>
    <w:rsid w:val="0087460B"/>
    <w:rsid w:val="008A3F25"/>
    <w:rsid w:val="008C7B66"/>
    <w:rsid w:val="008E0FEF"/>
    <w:rsid w:val="00924B97"/>
    <w:rsid w:val="00952A1E"/>
    <w:rsid w:val="00955266"/>
    <w:rsid w:val="00973A1F"/>
    <w:rsid w:val="009742AD"/>
    <w:rsid w:val="00990659"/>
    <w:rsid w:val="00991461"/>
    <w:rsid w:val="009C2E9E"/>
    <w:rsid w:val="009D2DA7"/>
    <w:rsid w:val="00A07F4E"/>
    <w:rsid w:val="00A43C10"/>
    <w:rsid w:val="00A555A0"/>
    <w:rsid w:val="00A74BFF"/>
    <w:rsid w:val="00A82534"/>
    <w:rsid w:val="00A863A1"/>
    <w:rsid w:val="00A90943"/>
    <w:rsid w:val="00AD0826"/>
    <w:rsid w:val="00AD7649"/>
    <w:rsid w:val="00AF7A73"/>
    <w:rsid w:val="00B161D9"/>
    <w:rsid w:val="00B17923"/>
    <w:rsid w:val="00B610C0"/>
    <w:rsid w:val="00BC3A81"/>
    <w:rsid w:val="00BE02A3"/>
    <w:rsid w:val="00BF73B2"/>
    <w:rsid w:val="00C17E7B"/>
    <w:rsid w:val="00C4130A"/>
    <w:rsid w:val="00C41F0B"/>
    <w:rsid w:val="00C542BC"/>
    <w:rsid w:val="00C63609"/>
    <w:rsid w:val="00C639C6"/>
    <w:rsid w:val="00C65E67"/>
    <w:rsid w:val="00C66EC1"/>
    <w:rsid w:val="00CA0E2B"/>
    <w:rsid w:val="00CB569C"/>
    <w:rsid w:val="00CD54E2"/>
    <w:rsid w:val="00D6310C"/>
    <w:rsid w:val="00D925CA"/>
    <w:rsid w:val="00DC1BD0"/>
    <w:rsid w:val="00E44288"/>
    <w:rsid w:val="00E47F64"/>
    <w:rsid w:val="00E51FE8"/>
    <w:rsid w:val="00E71162"/>
    <w:rsid w:val="00EF7432"/>
    <w:rsid w:val="00F6110D"/>
    <w:rsid w:val="00F7027D"/>
    <w:rsid w:val="00F77E25"/>
    <w:rsid w:val="00F833BE"/>
    <w:rsid w:val="00F952F2"/>
    <w:rsid w:val="00FC332D"/>
    <w:rsid w:val="00FD0353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E2198"/>
  <w15:chartTrackingRefBased/>
  <w15:docId w15:val="{54AC3C67-889C-4377-9496-ABDC1AF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0A0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6F70E5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6F70E5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6F70E5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6F70E5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6F70E5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6F70E5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F70E5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6F70E5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6F70E5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F70E5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6F70E5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6F70E5"/>
    <w:pPr>
      <w:ind w:left="1760"/>
    </w:pPr>
  </w:style>
  <w:style w:type="character" w:styleId="Odkaznavysvtlivky">
    <w:name w:val="endnote reference"/>
    <w:rsid w:val="006F70E5"/>
    <w:rPr>
      <w:vertAlign w:val="superscript"/>
    </w:rPr>
  </w:style>
  <w:style w:type="character" w:styleId="Znakapoznpodarou">
    <w:name w:val="footnote reference"/>
    <w:rsid w:val="006F70E5"/>
    <w:rPr>
      <w:vertAlign w:val="superscript"/>
    </w:rPr>
  </w:style>
  <w:style w:type="paragraph" w:styleId="Textpoznpodarou">
    <w:name w:val="footnote text"/>
    <w:basedOn w:val="Normln"/>
    <w:rsid w:val="006F70E5"/>
    <w:pPr>
      <w:jc w:val="both"/>
    </w:pPr>
    <w:rPr>
      <w:sz w:val="20"/>
    </w:rPr>
  </w:style>
  <w:style w:type="paragraph" w:styleId="Zkladntext">
    <w:name w:val="Body Text"/>
    <w:basedOn w:val="Normln"/>
    <w:rsid w:val="006F70E5"/>
    <w:pPr>
      <w:jc w:val="both"/>
    </w:pPr>
  </w:style>
  <w:style w:type="paragraph" w:styleId="Textvbloku">
    <w:name w:val="Block Text"/>
    <w:basedOn w:val="Normln"/>
    <w:rsid w:val="006F70E5"/>
    <w:pPr>
      <w:ind w:left="2268" w:right="1711"/>
    </w:pPr>
    <w:rPr>
      <w:b/>
    </w:rPr>
  </w:style>
  <w:style w:type="paragraph" w:styleId="Zkladntext2">
    <w:name w:val="Body Text 2"/>
    <w:basedOn w:val="Normln"/>
    <w:rsid w:val="006F70E5"/>
    <w:rPr>
      <w:b/>
    </w:rPr>
  </w:style>
  <w:style w:type="paragraph" w:styleId="Zkladntext3">
    <w:name w:val="Body Text 3"/>
    <w:basedOn w:val="Normln"/>
    <w:rsid w:val="006F70E5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6F70E5"/>
  </w:style>
  <w:style w:type="character" w:styleId="Odkaznakoment">
    <w:name w:val="annotation reference"/>
    <w:rsid w:val="006F70E5"/>
    <w:rPr>
      <w:sz w:val="16"/>
    </w:rPr>
  </w:style>
  <w:style w:type="paragraph" w:styleId="Zkladntextodsazen2">
    <w:name w:val="Body Text Indent 2"/>
    <w:basedOn w:val="Normln"/>
    <w:rsid w:val="006F70E5"/>
    <w:pPr>
      <w:jc w:val="both"/>
    </w:pPr>
    <w:rPr>
      <w:b/>
    </w:rPr>
  </w:style>
  <w:style w:type="paragraph" w:styleId="Textkomente">
    <w:name w:val="annotation text"/>
    <w:basedOn w:val="Normln"/>
    <w:link w:val="TextkomenteChar"/>
    <w:rsid w:val="006F70E5"/>
    <w:rPr>
      <w:sz w:val="20"/>
    </w:rPr>
  </w:style>
  <w:style w:type="paragraph" w:styleId="Zkladntextodsazen3">
    <w:name w:val="Body Text Indent 3"/>
    <w:basedOn w:val="Normln"/>
    <w:rsid w:val="006F70E5"/>
  </w:style>
  <w:style w:type="paragraph" w:customStyle="1" w:styleId="Bullet">
    <w:name w:val="Bullet"/>
    <w:basedOn w:val="Normln"/>
    <w:rsid w:val="006F70E5"/>
    <w:pPr>
      <w:numPr>
        <w:numId w:val="2"/>
      </w:numPr>
    </w:pPr>
  </w:style>
  <w:style w:type="paragraph" w:styleId="Textbubliny">
    <w:name w:val="Balloon Text"/>
    <w:basedOn w:val="Normln"/>
    <w:rsid w:val="006F70E5"/>
    <w:rPr>
      <w:rFonts w:ascii="Tahoma" w:hAnsi="Tahoma" w:cs="Tahoma"/>
      <w:sz w:val="16"/>
      <w:szCs w:val="16"/>
    </w:rPr>
  </w:style>
  <w:style w:type="character" w:styleId="Hypertextovodkaz">
    <w:name w:val="Hyperlink"/>
    <w:rsid w:val="006F70E5"/>
    <w:rPr>
      <w:color w:val="0000FF"/>
      <w:u w:val="single"/>
    </w:rPr>
  </w:style>
  <w:style w:type="paragraph" w:customStyle="1" w:styleId="AHeader1">
    <w:name w:val="AHeader 1"/>
    <w:basedOn w:val="Normln"/>
    <w:rsid w:val="006F70E5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6F70E5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6F70E5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6F70E5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6F70E5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6F70E5"/>
    <w:rPr>
      <w:color w:val="800080"/>
      <w:u w:val="single"/>
    </w:rPr>
  </w:style>
  <w:style w:type="paragraph" w:styleId="Revize">
    <w:name w:val="Revision"/>
    <w:hidden/>
    <w:rsid w:val="006F25A5"/>
    <w:rPr>
      <w:sz w:val="22"/>
      <w:lang w:eastAsia="en-US"/>
    </w:rPr>
  </w:style>
  <w:style w:type="paragraph" w:customStyle="1" w:styleId="Style1">
    <w:name w:val="Style1"/>
    <w:basedOn w:val="Normln"/>
    <w:qFormat/>
    <w:rsid w:val="00B610C0"/>
    <w:pPr>
      <w:tabs>
        <w:tab w:val="left" w:pos="0"/>
      </w:tabs>
    </w:pPr>
    <w:rPr>
      <w:b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52F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rsid w:val="007E693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7E6930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rsid w:val="007E693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8" ma:contentTypeDescription="Create a new document." ma:contentTypeScope="" ma:versionID="8e5d7993d92a303c6e13a26c75795761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c02cca512385a7dca18f499b01166a9e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49EE5456-1930-409D-B30A-DAC80E6DD5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136E154-D9BD-4D1D-B257-F43C79EDE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ED53C-5D24-4D0C-A333-A37B438D1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5A239-C948-44F8-A2BA-0F77E2A69D02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1498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Eurican DAPPI</vt:lpstr>
    </vt:vector>
  </TitlesOfParts>
  <Company>Translation Centre</Company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Eurican DAPPI</dc:title>
  <dc:subject>General-EMEA/182460/2007</dc:subject>
  <dc:creator>Wojtylová Jana</dc:creator>
  <cp:keywords/>
  <cp:lastModifiedBy>Nepejchalová Leona</cp:lastModifiedBy>
  <cp:revision>13</cp:revision>
  <cp:lastPrinted>2021-02-12T13:17:00Z</cp:lastPrinted>
  <dcterms:created xsi:type="dcterms:W3CDTF">2023-11-06T13:16:00Z</dcterms:created>
  <dcterms:modified xsi:type="dcterms:W3CDTF">2024-03-08T12:03:00Z</dcterms:modified>
  <cp:contentStatus>end of procedure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Authorization Procedure">
    <vt:lpwstr>MRP</vt:lpwstr>
  </property>
  <property fmtid="{D5CDD505-2E9C-101B-9397-08002B2CF9AE}" pid="35" name="Last approved">
    <vt:lpwstr>last approved</vt:lpwstr>
  </property>
  <property fmtid="{D5CDD505-2E9C-101B-9397-08002B2CF9AE}" pid="36" name="Procedure number">
    <vt:lpwstr>001-FR/V/0306/001/R/001</vt:lpwstr>
  </property>
  <property fmtid="{D5CDD505-2E9C-101B-9397-08002B2CF9AE}" pid="37" name="Mode">
    <vt:lpwstr>clean</vt:lpwstr>
  </property>
  <property fmtid="{D5CDD505-2E9C-101B-9397-08002B2CF9AE}" pid="38" name="Multiline">
    <vt:lpwstr>EU Renewal FR/V/0305/001/R/001</vt:lpwstr>
  </property>
  <property fmtid="{D5CDD505-2E9C-101B-9397-08002B2CF9AE}" pid="39" name="Procedure type">
    <vt:lpwstr>Renewal</vt:lpwstr>
  </property>
  <property fmtid="{D5CDD505-2E9C-101B-9397-08002B2CF9AE}" pid="40" name="Active substance">
    <vt:lpwstr>Attenuated Canine Distemper virus, Adenovirus, Parvovirus, Parainfluenza </vt:lpwstr>
  </property>
  <property fmtid="{D5CDD505-2E9C-101B-9397-08002B2CF9AE}" pid="41" name="Document type">
    <vt:lpwstr>SPC</vt:lpwstr>
  </property>
  <property fmtid="{D5CDD505-2E9C-101B-9397-08002B2CF9AE}" pid="42" name="MediaServiceImageTags">
    <vt:lpwstr/>
  </property>
</Properties>
</file>