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7" w:rsidRDefault="00ED7A77" w:rsidP="007D312F"/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>
      <w:pPr>
        <w:ind w:right="113"/>
      </w:pPr>
    </w:p>
    <w:p w:rsidR="00ED7A77" w:rsidRDefault="00ED7A77" w:rsidP="007D312F"/>
    <w:p w:rsidR="00ED7A77" w:rsidRDefault="00ED7A77" w:rsidP="007D312F"/>
    <w:p w:rsidR="00ED7A77" w:rsidRDefault="00ED7A77" w:rsidP="007D312F"/>
    <w:p w:rsidR="00ED7A77" w:rsidRDefault="00ED7A77" w:rsidP="007D312F"/>
    <w:p w:rsidR="00ED7A77" w:rsidRDefault="00ED7A77" w:rsidP="007D312F">
      <w:pPr>
        <w:ind w:right="113"/>
        <w:jc w:val="center"/>
      </w:pPr>
      <w:r>
        <w:rPr>
          <w:b/>
          <w:bCs/>
        </w:rPr>
        <w:t xml:space="preserve"> PŘÍBALOVÁ INFORMACE</w:t>
      </w:r>
    </w:p>
    <w:p w:rsidR="00ED7A77" w:rsidRPr="007D312F" w:rsidRDefault="00ED7A77" w:rsidP="007D312F">
      <w:pPr>
        <w:jc w:val="center"/>
      </w:pPr>
      <w:r>
        <w:br w:type="page"/>
      </w:r>
      <w:r>
        <w:rPr>
          <w:b/>
          <w:bCs/>
        </w:rPr>
        <w:lastRenderedPageBreak/>
        <w:t>PŘÍBALOVÁ INFORMACE</w:t>
      </w:r>
    </w:p>
    <w:p w:rsidR="00ED7A77" w:rsidRPr="00FA408C" w:rsidRDefault="00ED7A77" w:rsidP="007D312F">
      <w:pPr>
        <w:jc w:val="center"/>
        <w:rPr>
          <w:b/>
          <w:bCs/>
        </w:rPr>
      </w:pPr>
      <w:r>
        <w:rPr>
          <w:b/>
          <w:bCs/>
          <w:caps/>
        </w:rPr>
        <w:t xml:space="preserve">BIOSUIS </w:t>
      </w:r>
      <w:r w:rsidRPr="00FA408C">
        <w:rPr>
          <w:b/>
          <w:bCs/>
          <w:caps/>
        </w:rPr>
        <w:t>R</w:t>
      </w:r>
      <w:r w:rsidRPr="00FA408C">
        <w:rPr>
          <w:b/>
          <w:bCs/>
        </w:rPr>
        <w:t>espi E</w:t>
      </w:r>
    </w:p>
    <w:p w:rsidR="00ED7A77" w:rsidRDefault="00ED7A77" w:rsidP="00DE5496">
      <w:pPr>
        <w:tabs>
          <w:tab w:val="left" w:pos="3295"/>
        </w:tabs>
        <w:jc w:val="center"/>
      </w:pPr>
      <w:r w:rsidRPr="00FA408C">
        <w:t xml:space="preserve">Injekční emulze pro </w:t>
      </w:r>
      <w:r>
        <w:t>prasata</w:t>
      </w: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JMÉNO A ADRESA DRŽITELE ROZHODNUTÍ O REGISTRACI A DRŽITELE POVOLENÍ K VÝROBĚ ODPOVĚDNÉHO ZA UVOLNĚNÍ ŠARŽE, POKUD SE NESHODUJE</w:t>
      </w:r>
    </w:p>
    <w:p w:rsidR="00ED7A77" w:rsidRDefault="00ED7A77" w:rsidP="007D312F"/>
    <w:p w:rsidR="00A6189A" w:rsidRPr="00AE0429" w:rsidRDefault="00A6189A" w:rsidP="00A6189A">
      <w:pPr>
        <w:pStyle w:val="spc1"/>
        <w:rPr>
          <w:b w:val="0"/>
          <w:iCs/>
          <w:szCs w:val="22"/>
          <w:u w:val="single"/>
          <w:lang w:val="cs-CZ"/>
        </w:rPr>
      </w:pPr>
      <w:r w:rsidRPr="00AE0429">
        <w:rPr>
          <w:b w:val="0"/>
          <w:iCs/>
          <w:szCs w:val="22"/>
          <w:u w:val="single"/>
          <w:lang w:val="cs-CZ"/>
        </w:rPr>
        <w:t>Držitel rozhodnutí o registraci a výrobce odpovědný za uvolnění šarže:</w:t>
      </w:r>
    </w:p>
    <w:p w:rsidR="00ED7A77" w:rsidRPr="00FA408C" w:rsidRDefault="00ED7A77" w:rsidP="007D312F">
      <w:pPr>
        <w:pStyle w:val="Zkladntext3"/>
        <w:rPr>
          <w:b w:val="0"/>
          <w:bCs w:val="0"/>
        </w:rPr>
      </w:pPr>
      <w:r w:rsidRPr="00FA408C">
        <w:rPr>
          <w:b w:val="0"/>
          <w:bCs w:val="0"/>
        </w:rPr>
        <w:t>Bioveta, a. s.</w:t>
      </w:r>
    </w:p>
    <w:p w:rsidR="00ED7A77" w:rsidRPr="00FA408C" w:rsidRDefault="00ED7A77" w:rsidP="007D312F">
      <w:pPr>
        <w:pStyle w:val="Zkladntext3"/>
        <w:rPr>
          <w:b w:val="0"/>
          <w:bCs w:val="0"/>
        </w:rPr>
      </w:pPr>
      <w:r w:rsidRPr="00FA408C">
        <w:rPr>
          <w:b w:val="0"/>
          <w:bCs w:val="0"/>
        </w:rPr>
        <w:t>Komenského 212, 683 23 Ivanovice na Hané, Česká republika</w:t>
      </w:r>
    </w:p>
    <w:p w:rsidR="00ED7A77" w:rsidRPr="00FA408C" w:rsidRDefault="00ED7A77" w:rsidP="007D312F">
      <w:pPr>
        <w:ind w:right="-318"/>
        <w:rPr>
          <w:lang w:val="lv-LV"/>
        </w:rPr>
      </w:pPr>
      <w:r w:rsidRPr="00FA408C">
        <w:rPr>
          <w:lang w:val="lv-LV"/>
        </w:rPr>
        <w:t>tel. 420 517 318 500</w:t>
      </w:r>
    </w:p>
    <w:p w:rsidR="00ED7A77" w:rsidRPr="00FA408C" w:rsidRDefault="00ED7A77" w:rsidP="007D312F">
      <w:pPr>
        <w:ind w:right="-318"/>
        <w:rPr>
          <w:lang w:val="lv-LV"/>
        </w:rPr>
      </w:pPr>
      <w:r w:rsidRPr="00FA408C">
        <w:rPr>
          <w:lang w:val="lv-LV"/>
        </w:rPr>
        <w:t>fax 420 517 318 319</w:t>
      </w:r>
    </w:p>
    <w:p w:rsidR="00ED7A77" w:rsidRPr="007D312F" w:rsidRDefault="00ED7A77" w:rsidP="007D312F">
      <w:pPr>
        <w:ind w:right="-318"/>
        <w:rPr>
          <w:lang w:val="lv-LV"/>
        </w:rPr>
      </w:pPr>
      <w:r w:rsidRPr="00FA408C">
        <w:rPr>
          <w:lang w:val="lv-LV"/>
        </w:rPr>
        <w:t xml:space="preserve">e-mail </w:t>
      </w:r>
      <w:hyperlink r:id="rId8" w:history="1">
        <w:r w:rsidR="006F24E1" w:rsidRPr="00381A9E">
          <w:rPr>
            <w:rStyle w:val="Hypertextovodkaz"/>
            <w:lang w:val="lv-LV"/>
          </w:rPr>
          <w:t>obchod@bioveta.cz</w:t>
        </w:r>
      </w:hyperlink>
    </w:p>
    <w:p w:rsidR="00ED7A77" w:rsidRDefault="00ED7A77" w:rsidP="007D312F"/>
    <w:p w:rsidR="00ED7A77" w:rsidRDefault="00ED7A77" w:rsidP="007D312F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NÁZEV VETERINÁRNÍHO LÉČIVÉHO PŘÍPRAVKU</w:t>
      </w:r>
    </w:p>
    <w:p w:rsidR="00ED7A77" w:rsidRDefault="00ED7A77" w:rsidP="007D312F">
      <w:pPr>
        <w:ind w:left="0" w:firstLine="0"/>
      </w:pPr>
    </w:p>
    <w:p w:rsidR="00ED7A77" w:rsidRDefault="00ED7A77">
      <w:pPr>
        <w:jc w:val="both"/>
      </w:pPr>
      <w:r w:rsidRPr="00FA408C">
        <w:rPr>
          <w:b/>
          <w:bCs/>
          <w:caps/>
        </w:rPr>
        <w:t>B</w:t>
      </w:r>
      <w:r>
        <w:rPr>
          <w:b/>
          <w:bCs/>
        </w:rPr>
        <w:t>IOSUIS</w:t>
      </w:r>
      <w:r w:rsidRPr="00FA408C">
        <w:rPr>
          <w:b/>
          <w:bCs/>
          <w:caps/>
        </w:rPr>
        <w:t xml:space="preserve"> R</w:t>
      </w:r>
      <w:r w:rsidRPr="00FA408C">
        <w:rPr>
          <w:b/>
          <w:bCs/>
        </w:rPr>
        <w:t>espi E</w:t>
      </w:r>
      <w:r>
        <w:rPr>
          <w:b/>
          <w:bCs/>
        </w:rPr>
        <w:t xml:space="preserve">, </w:t>
      </w:r>
      <w:r>
        <w:t>i</w:t>
      </w:r>
      <w:r w:rsidRPr="000826D4">
        <w:t>njekční emulze pro prasata</w:t>
      </w:r>
    </w:p>
    <w:p w:rsidR="00ED7A77" w:rsidRDefault="00ED7A77" w:rsidP="007D312F">
      <w:pPr>
        <w:rPr>
          <w:b/>
          <w:bCs/>
        </w:rPr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OBSAH LÉČIVÝCH A OSTATNÍCH LÁTEK</w:t>
      </w:r>
    </w:p>
    <w:p w:rsidR="00ED7A77" w:rsidRDefault="00ED7A77" w:rsidP="007D312F">
      <w:pPr>
        <w:rPr>
          <w:b/>
          <w:bCs/>
        </w:rPr>
      </w:pPr>
    </w:p>
    <w:p w:rsidR="00ED7A77" w:rsidRPr="00FA408C" w:rsidRDefault="00ED7A77" w:rsidP="007D312F">
      <w:pPr>
        <w:pStyle w:val="Zkladntext3"/>
        <w:rPr>
          <w:b w:val="0"/>
          <w:bCs w:val="0"/>
        </w:rPr>
      </w:pPr>
      <w:r w:rsidRPr="00FA408C">
        <w:rPr>
          <w:b w:val="0"/>
          <w:bCs w:val="0"/>
        </w:rPr>
        <w:t>1,0 ml vakcíny obsahuje</w:t>
      </w:r>
    </w:p>
    <w:p w:rsidR="00ED7A77" w:rsidRPr="00FA408C" w:rsidRDefault="00ED7A77" w:rsidP="007D312F">
      <w:pPr>
        <w:rPr>
          <w:b/>
          <w:bCs/>
        </w:rPr>
      </w:pPr>
      <w:r w:rsidRPr="00FA408C">
        <w:rPr>
          <w:b/>
          <w:bCs/>
        </w:rPr>
        <w:t>Léčivé látky:</w:t>
      </w:r>
    </w:p>
    <w:p w:rsidR="00ED7A77" w:rsidRPr="00FA408C" w:rsidRDefault="00ED7A77" w:rsidP="00410932">
      <w:pPr>
        <w:tabs>
          <w:tab w:val="left" w:pos="6946"/>
        </w:tabs>
        <w:jc w:val="both"/>
      </w:pPr>
      <w:r w:rsidRPr="00FA408C">
        <w:rPr>
          <w:i/>
          <w:iCs/>
        </w:rPr>
        <w:t>Actinobacillus pleuropneumoniae</w:t>
      </w:r>
      <w:r w:rsidRPr="00FA408C">
        <w:t xml:space="preserve"> sérovar 2</w:t>
      </w:r>
      <w:r w:rsidRPr="00FA408C">
        <w:tab/>
        <w:t>RP ≥ 1*</w:t>
      </w:r>
    </w:p>
    <w:p w:rsidR="00ED7A77" w:rsidRPr="00FA408C" w:rsidRDefault="00ED7A77" w:rsidP="00410932">
      <w:pPr>
        <w:tabs>
          <w:tab w:val="left" w:pos="6946"/>
        </w:tabs>
        <w:jc w:val="both"/>
        <w:rPr>
          <w:vertAlign w:val="superscript"/>
        </w:rPr>
      </w:pPr>
      <w:r w:rsidRPr="00FA408C">
        <w:rPr>
          <w:i/>
          <w:iCs/>
        </w:rPr>
        <w:t>Actinobacillus pleuropneumoniae</w:t>
      </w:r>
      <w:r w:rsidRPr="00FA408C">
        <w:t xml:space="preserve"> sérovary 9, 11</w:t>
      </w:r>
      <w:r>
        <w:tab/>
      </w:r>
      <w:r w:rsidRPr="00FA408C">
        <w:t>RP ≥ 1*</w:t>
      </w:r>
    </w:p>
    <w:p w:rsidR="00ED7A77" w:rsidRPr="00FA408C" w:rsidRDefault="00ED7A77" w:rsidP="00410932">
      <w:pPr>
        <w:tabs>
          <w:tab w:val="left" w:pos="6946"/>
        </w:tabs>
      </w:pPr>
      <w:r w:rsidRPr="00FA408C">
        <w:t xml:space="preserve">Apx I toxoid </w:t>
      </w:r>
      <w:r w:rsidRPr="00FA408C">
        <w:tab/>
        <w:t>RP ≥ 1*</w:t>
      </w:r>
    </w:p>
    <w:p w:rsidR="00ED7A77" w:rsidRPr="00FA408C" w:rsidRDefault="00ED7A77" w:rsidP="00410932">
      <w:pPr>
        <w:tabs>
          <w:tab w:val="left" w:pos="6946"/>
        </w:tabs>
      </w:pPr>
      <w:r>
        <w:t>Apx II toxoid</w:t>
      </w:r>
      <w:r>
        <w:tab/>
        <w:t>RP ≥ 1*</w:t>
      </w:r>
    </w:p>
    <w:p w:rsidR="00ED7A77" w:rsidRPr="00FA408C" w:rsidRDefault="00ED7A77" w:rsidP="00410932">
      <w:pPr>
        <w:tabs>
          <w:tab w:val="left" w:pos="6946"/>
        </w:tabs>
      </w:pPr>
      <w:r>
        <w:t>Apx III toxoid</w:t>
      </w:r>
      <w:r>
        <w:tab/>
        <w:t>RP ≥ 1*</w:t>
      </w:r>
    </w:p>
    <w:p w:rsidR="00ED7A77" w:rsidRPr="00FA408C" w:rsidRDefault="00ED7A77" w:rsidP="00410932">
      <w:pPr>
        <w:tabs>
          <w:tab w:val="left" w:pos="0"/>
          <w:tab w:val="left" w:pos="6946"/>
        </w:tabs>
        <w:jc w:val="both"/>
      </w:pPr>
      <w:r w:rsidRPr="00FA408C">
        <w:rPr>
          <w:i/>
          <w:iCs/>
        </w:rPr>
        <w:t>Erysipelothrix rhusiopathiae</w:t>
      </w:r>
      <w:r w:rsidRPr="00FA408C">
        <w:t xml:space="preserve"> (3</w:t>
      </w:r>
      <w:r>
        <w:t xml:space="preserve"> kmeny – typ 2, 1 kmen – typ 1)</w:t>
      </w:r>
      <w:r>
        <w:tab/>
      </w:r>
      <w:r w:rsidRPr="00FA408C">
        <w:t>RP ≥ 1*</w:t>
      </w:r>
    </w:p>
    <w:p w:rsidR="00ED7A77" w:rsidRPr="00FA408C" w:rsidRDefault="00ED7A77" w:rsidP="00410932">
      <w:pPr>
        <w:tabs>
          <w:tab w:val="left" w:pos="6946"/>
        </w:tabs>
      </w:pPr>
      <w:r w:rsidRPr="00FA408C">
        <w:rPr>
          <w:i/>
          <w:iCs/>
        </w:rPr>
        <w:t>Haemophilus parasuis</w:t>
      </w:r>
      <w:r w:rsidRPr="00FA408C">
        <w:t xml:space="preserve"> </w:t>
      </w:r>
      <w:r>
        <w:t>(</w:t>
      </w:r>
      <w:r w:rsidRPr="00F91B13">
        <w:t>sérovary 1,</w:t>
      </w:r>
      <w:r>
        <w:t xml:space="preserve"> </w:t>
      </w:r>
      <w:r w:rsidRPr="00F91B13">
        <w:t>5, 13</w:t>
      </w:r>
      <w:r>
        <w:t>)</w:t>
      </w:r>
      <w:r>
        <w:tab/>
      </w:r>
      <w:r w:rsidRPr="00FA408C">
        <w:t>RP ≥ 1*</w:t>
      </w:r>
    </w:p>
    <w:p w:rsidR="00ED7A77" w:rsidRDefault="00ED7A77" w:rsidP="007D312F">
      <w:pPr>
        <w:rPr>
          <w:b/>
          <w:bCs/>
        </w:rPr>
      </w:pPr>
    </w:p>
    <w:p w:rsidR="00ED7A77" w:rsidRDefault="00ED7A77" w:rsidP="00710068">
      <w:pPr>
        <w:widowControl w:val="0"/>
        <w:autoSpaceDE w:val="0"/>
        <w:autoSpaceDN w:val="0"/>
        <w:adjustRightInd w:val="0"/>
        <w:ind w:left="0" w:firstLine="0"/>
      </w:pPr>
      <w:r w:rsidRPr="00FA408C">
        <w:t xml:space="preserve">*RP = Relativní účinnost </w:t>
      </w:r>
      <w:r w:rsidR="00A80FE0">
        <w:t>(ELISA test</w:t>
      </w:r>
      <w:r>
        <w:t xml:space="preserve">) </w:t>
      </w:r>
      <w:r w:rsidRPr="00FA408C">
        <w:t xml:space="preserve">v porovnání s referenčním sérem získaným </w:t>
      </w:r>
      <w:r>
        <w:t>po vakcinaci myší</w:t>
      </w:r>
      <w:r w:rsidRPr="00FA408C">
        <w:t xml:space="preserve"> šarží</w:t>
      </w:r>
      <w:r>
        <w:t xml:space="preserve"> vakcíny</w:t>
      </w:r>
      <w:r w:rsidRPr="00FA408C">
        <w:t xml:space="preserve">, která vyhověla v čelenžním testu na </w:t>
      </w:r>
      <w:r>
        <w:t>cílovém druhu zvířat</w:t>
      </w:r>
    </w:p>
    <w:p w:rsidR="00A80FE0" w:rsidRDefault="00A80FE0" w:rsidP="00710068">
      <w:pPr>
        <w:widowControl w:val="0"/>
        <w:autoSpaceDE w:val="0"/>
        <w:autoSpaceDN w:val="0"/>
        <w:adjustRightInd w:val="0"/>
        <w:ind w:left="0" w:firstLine="0"/>
      </w:pPr>
    </w:p>
    <w:p w:rsidR="00A80FE0" w:rsidRPr="00A80FE0" w:rsidRDefault="00A80FE0" w:rsidP="00A80FE0">
      <w:pPr>
        <w:autoSpaceDE w:val="0"/>
        <w:autoSpaceDN w:val="0"/>
        <w:adjustRightInd w:val="0"/>
        <w:ind w:left="0" w:firstLine="0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Vzhled vakcíny: </w:t>
      </w:r>
      <w:r w:rsidRPr="00A80FE0">
        <w:rPr>
          <w:rFonts w:eastAsia="Calibri"/>
          <w:lang w:eastAsia="cs-CZ"/>
        </w:rPr>
        <w:t>Šedobílá mléčná tekutina se sed</w:t>
      </w:r>
      <w:r>
        <w:rPr>
          <w:rFonts w:eastAsia="Calibri"/>
          <w:lang w:eastAsia="cs-CZ"/>
        </w:rPr>
        <w:t xml:space="preserve">imentem, který se po roztřepání </w:t>
      </w:r>
      <w:r w:rsidRPr="00A80FE0">
        <w:rPr>
          <w:rFonts w:eastAsia="Calibri"/>
          <w:lang w:eastAsia="cs-CZ"/>
        </w:rPr>
        <w:t>homogenně rozptýlí</w:t>
      </w:r>
      <w:r>
        <w:rPr>
          <w:rFonts w:eastAsia="Calibri"/>
          <w:lang w:eastAsia="cs-CZ"/>
        </w:rPr>
        <w:t>.</w:t>
      </w:r>
    </w:p>
    <w:p w:rsidR="00ED7A77" w:rsidRPr="00FA408C" w:rsidRDefault="00ED7A77" w:rsidP="007D312F">
      <w:pPr>
        <w:rPr>
          <w:b/>
          <w:bCs/>
        </w:rPr>
      </w:pPr>
    </w:p>
    <w:p w:rsidR="00ED7A77" w:rsidRPr="00FA408C" w:rsidRDefault="00ED7A77" w:rsidP="007D312F">
      <w:pPr>
        <w:rPr>
          <w:b/>
          <w:bCs/>
        </w:rPr>
      </w:pPr>
      <w:r w:rsidRPr="00FA408C">
        <w:rPr>
          <w:b/>
          <w:bCs/>
        </w:rPr>
        <w:t>Adjuvans:</w:t>
      </w:r>
    </w:p>
    <w:p w:rsidR="00ED7A77" w:rsidRPr="00FA408C" w:rsidRDefault="00ED7A77" w:rsidP="00410932">
      <w:pPr>
        <w:tabs>
          <w:tab w:val="left" w:pos="0"/>
          <w:tab w:val="left" w:pos="6946"/>
        </w:tabs>
        <w:jc w:val="both"/>
      </w:pPr>
      <w:r>
        <w:t>Montanide ISA 35 VG</w:t>
      </w:r>
      <w:r>
        <w:tab/>
      </w:r>
      <w:r w:rsidRPr="00FA408C">
        <w:t>0,20 ml</w:t>
      </w:r>
    </w:p>
    <w:p w:rsidR="00ED7A77" w:rsidRPr="00FA408C" w:rsidRDefault="00ED7A77" w:rsidP="007D312F">
      <w:pPr>
        <w:ind w:left="0" w:firstLine="0"/>
        <w:rPr>
          <w:b/>
          <w:bCs/>
        </w:rPr>
      </w:pPr>
    </w:p>
    <w:p w:rsidR="00ED7A77" w:rsidRPr="00FA408C" w:rsidRDefault="00ED7A77" w:rsidP="007D312F">
      <w:pPr>
        <w:ind w:left="0" w:firstLine="0"/>
      </w:pPr>
      <w:r w:rsidRPr="00FA408C">
        <w:rPr>
          <w:b/>
          <w:bCs/>
        </w:rPr>
        <w:t>Excipiens:</w:t>
      </w:r>
    </w:p>
    <w:p w:rsidR="00ED7A77" w:rsidRPr="00FA408C" w:rsidRDefault="00ED7A77" w:rsidP="00410932">
      <w:pPr>
        <w:tabs>
          <w:tab w:val="left" w:pos="6946"/>
        </w:tabs>
      </w:pPr>
      <w:r>
        <w:t xml:space="preserve">Formaldehyd </w:t>
      </w:r>
      <w:r>
        <w:tab/>
        <w:t xml:space="preserve">max. </w:t>
      </w:r>
      <w:r w:rsidRPr="00FA408C">
        <w:t>1</w:t>
      </w:r>
      <w:r>
        <w:t>,1 mg</w:t>
      </w:r>
    </w:p>
    <w:p w:rsidR="00ED7A77" w:rsidRPr="00FA408C" w:rsidRDefault="00ED7A77" w:rsidP="00410932">
      <w:pPr>
        <w:tabs>
          <w:tab w:val="left" w:pos="6946"/>
        </w:tabs>
      </w:pPr>
      <w:r>
        <w:t>Thiomersal</w:t>
      </w:r>
      <w:r>
        <w:tab/>
      </w:r>
      <w:r w:rsidRPr="00FA408C">
        <w:t>0,085 – 0,115 mg</w:t>
      </w:r>
    </w:p>
    <w:p w:rsidR="00ED7A77" w:rsidRPr="00FA408C" w:rsidRDefault="00ED7A77" w:rsidP="003426AD">
      <w:pPr>
        <w:tabs>
          <w:tab w:val="left" w:pos="6946"/>
        </w:tabs>
      </w:pPr>
    </w:p>
    <w:p w:rsidR="00ED7A77" w:rsidRPr="00FA408C" w:rsidRDefault="00ED7A77" w:rsidP="003426AD">
      <w:pPr>
        <w:jc w:val="both"/>
      </w:pPr>
      <w:r w:rsidRPr="00FA408C">
        <w:tab/>
      </w:r>
    </w:p>
    <w:p w:rsidR="00ED7A77" w:rsidRDefault="00ED7A77" w:rsidP="003426AD">
      <w:pPr>
        <w:widowControl w:val="0"/>
        <w:autoSpaceDE w:val="0"/>
        <w:autoSpaceDN w:val="0"/>
        <w:adjustRightInd w:val="0"/>
        <w:ind w:left="0" w:firstLine="0"/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INDIKACE</w:t>
      </w:r>
    </w:p>
    <w:p w:rsidR="00ED7A77" w:rsidRDefault="00ED7A77" w:rsidP="007D312F">
      <w:pPr>
        <w:rPr>
          <w:b/>
          <w:bCs/>
        </w:rPr>
      </w:pPr>
    </w:p>
    <w:p w:rsidR="00ED7A77" w:rsidRPr="00FB60A3" w:rsidRDefault="00ED7A77" w:rsidP="00977DAA">
      <w:pPr>
        <w:ind w:left="0" w:firstLine="0"/>
      </w:pPr>
      <w:r w:rsidRPr="00FB60A3">
        <w:t xml:space="preserve">K aktivní a pasivní imunizaci </w:t>
      </w:r>
      <w:r w:rsidRPr="008108EC">
        <w:t>selat</w:t>
      </w:r>
      <w:r>
        <w:t xml:space="preserve"> </w:t>
      </w:r>
      <w:r w:rsidRPr="00FB60A3">
        <w:t xml:space="preserve">za účelem prevence infekce červenky, redukce infekce </w:t>
      </w:r>
      <w:r w:rsidRPr="008108EC">
        <w:rPr>
          <w:i/>
          <w:iCs/>
        </w:rPr>
        <w:t>Actinobacillus pleuropneumoniae</w:t>
      </w:r>
      <w:r w:rsidRPr="00FB60A3">
        <w:t xml:space="preserve"> a </w:t>
      </w:r>
      <w:r w:rsidRPr="008108EC">
        <w:rPr>
          <w:i/>
          <w:iCs/>
        </w:rPr>
        <w:t>Haemophilus parasuis</w:t>
      </w:r>
      <w:r w:rsidRPr="00FB60A3">
        <w:t xml:space="preserve"> (Glässerovy choroby) a</w:t>
      </w:r>
      <w:r>
        <w:t xml:space="preserve"> </w:t>
      </w:r>
      <w:r w:rsidRPr="00FB60A3">
        <w:t>snížení klinických příznaků způsobených těmito patogeny.</w:t>
      </w:r>
    </w:p>
    <w:p w:rsidR="00ED7A77" w:rsidRPr="00FB60A3" w:rsidRDefault="00ED7A77" w:rsidP="003426AD">
      <w:r w:rsidRPr="00FB60A3">
        <w:t>Nástup aktivní imunity: 21 dní po revakcinaci</w:t>
      </w:r>
    </w:p>
    <w:p w:rsidR="00ED7A77" w:rsidRPr="00FB60A3" w:rsidRDefault="00ED7A77" w:rsidP="003426AD">
      <w:r w:rsidRPr="00FB60A3">
        <w:t>Trvání aktivní imunity: 20 týdnů po revakcinaci</w:t>
      </w:r>
    </w:p>
    <w:p w:rsidR="00ED7A77" w:rsidRPr="00FB60A3" w:rsidRDefault="00ED7A77" w:rsidP="003426AD">
      <w:r w:rsidRPr="00FB60A3">
        <w:t>Trvání pasivní imunity: po dobu sání (tj. 3 týdny)</w:t>
      </w:r>
    </w:p>
    <w:p w:rsidR="00ED7A77" w:rsidRPr="00FB60A3" w:rsidRDefault="00ED7A77" w:rsidP="003426AD"/>
    <w:p w:rsidR="00ED7A77" w:rsidRPr="00FB60A3" w:rsidRDefault="00ED7A77" w:rsidP="003426AD">
      <w:r w:rsidRPr="00FB60A3">
        <w:t>K aktivní imunizaci prasnic za účelem prevence infekce červenky</w:t>
      </w:r>
    </w:p>
    <w:p w:rsidR="00ED7A77" w:rsidRPr="00FB60A3" w:rsidRDefault="00ED7A77" w:rsidP="003426AD">
      <w:r w:rsidRPr="00FB60A3">
        <w:t>Nástup imunity: 21 dní po revakcinaci</w:t>
      </w:r>
    </w:p>
    <w:p w:rsidR="00ED7A77" w:rsidRPr="00FB60A3" w:rsidRDefault="00ED7A77" w:rsidP="003426AD">
      <w:r w:rsidRPr="00FB60A3">
        <w:t>Trvání imunity: 6 měsíců po booster revakcinaci</w:t>
      </w:r>
    </w:p>
    <w:p w:rsidR="00ED7A77" w:rsidRDefault="00ED7A77" w:rsidP="003426AD">
      <w:pPr>
        <w:rPr>
          <w:b/>
          <w:bCs/>
        </w:rPr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lastRenderedPageBreak/>
        <w:t xml:space="preserve">5. </w:t>
      </w:r>
      <w:r>
        <w:rPr>
          <w:b/>
          <w:bCs/>
        </w:rPr>
        <w:tab/>
        <w:t>KONTRAINDIKACE</w:t>
      </w:r>
    </w:p>
    <w:p w:rsidR="00ED7A77" w:rsidRDefault="00ED7A77" w:rsidP="007D312F"/>
    <w:p w:rsidR="00ED7A77" w:rsidRPr="007D312F" w:rsidRDefault="00ED7A77" w:rsidP="007D312F">
      <w:pPr>
        <w:rPr>
          <w:snapToGrid w:val="0"/>
        </w:rPr>
      </w:pPr>
      <w:r w:rsidRPr="007D312F">
        <w:t xml:space="preserve">Nepoužívat při </w:t>
      </w:r>
      <w:r w:rsidRPr="007D312F">
        <w:rPr>
          <w:snapToGrid w:val="0"/>
        </w:rPr>
        <w:t>akutním nebo horečnatém onemocnění.</w:t>
      </w:r>
    </w:p>
    <w:p w:rsidR="00ED7A77" w:rsidRDefault="00ED7A77" w:rsidP="007D312F"/>
    <w:p w:rsidR="00ED7A77" w:rsidRDefault="00ED7A77" w:rsidP="007D312F">
      <w:r>
        <w:rPr>
          <w:b/>
          <w:bCs/>
        </w:rPr>
        <w:t>6.</w:t>
      </w:r>
      <w:r>
        <w:rPr>
          <w:b/>
          <w:bCs/>
        </w:rPr>
        <w:tab/>
        <w:t>NEŽÁDOUCÍ ÚČINKY</w:t>
      </w:r>
    </w:p>
    <w:p w:rsidR="00ED7A77" w:rsidRDefault="00ED7A77" w:rsidP="007D312F"/>
    <w:p w:rsidR="00344299" w:rsidRPr="00344299" w:rsidRDefault="00344299" w:rsidP="00344299">
      <w:pPr>
        <w:ind w:left="0" w:right="113" w:firstLine="0"/>
        <w:jc w:val="both"/>
      </w:pPr>
      <w:r w:rsidRPr="00344299">
        <w:t xml:space="preserve">Po aplikaci může často dojít k tremoru, apatii a somnolenci, která během 6 hodin odezní. </w:t>
      </w:r>
    </w:p>
    <w:p w:rsidR="00344299" w:rsidRPr="00344299" w:rsidRDefault="00344299" w:rsidP="00344299">
      <w:pPr>
        <w:ind w:left="0" w:right="113" w:firstLine="0"/>
        <w:jc w:val="both"/>
      </w:pPr>
      <w:r w:rsidRPr="00344299">
        <w:t xml:space="preserve">U prasat, která byla vakcinována bezprostředně po příjmu krmiva, se může objevit často nausea nebo vomitus. </w:t>
      </w:r>
    </w:p>
    <w:p w:rsidR="00344299" w:rsidRPr="00344299" w:rsidRDefault="00344299" w:rsidP="00344299">
      <w:pPr>
        <w:ind w:left="0" w:right="113" w:firstLine="0"/>
        <w:jc w:val="both"/>
      </w:pPr>
      <w:r w:rsidRPr="00344299">
        <w:t xml:space="preserve">V místě aplikace se může </w:t>
      </w:r>
      <w:r w:rsidR="00564167">
        <w:t>neobvykle</w:t>
      </w:r>
      <w:r w:rsidRPr="00344299">
        <w:t xml:space="preserve"> objevit otok (2-5 cm), který samovolně vymizí do 4 dnů.</w:t>
      </w:r>
    </w:p>
    <w:p w:rsidR="00344299" w:rsidRPr="00344299" w:rsidRDefault="00344299" w:rsidP="00344299">
      <w:pPr>
        <w:ind w:left="0" w:right="113" w:firstLine="0"/>
        <w:jc w:val="both"/>
      </w:pPr>
    </w:p>
    <w:p w:rsidR="00564167" w:rsidRPr="00564167" w:rsidRDefault="00564167" w:rsidP="00564167">
      <w:pPr>
        <w:ind w:left="0" w:firstLine="0"/>
      </w:pPr>
      <w:r w:rsidRPr="00564167">
        <w:t>Četnost nežádoucích účinků je charakterizována podle následujících pravidel:</w:t>
      </w:r>
    </w:p>
    <w:p w:rsidR="00564167" w:rsidRPr="00564167" w:rsidRDefault="00564167" w:rsidP="00564167">
      <w:r w:rsidRPr="00564167">
        <w:t>- velmi časté (nežádoucí účinky se projevily u více než 1 z 10 zvířat v průběhu jednoho ošetření)</w:t>
      </w:r>
    </w:p>
    <w:p w:rsidR="00564167" w:rsidRPr="00564167" w:rsidRDefault="00564167" w:rsidP="00564167">
      <w:r w:rsidRPr="00564167">
        <w:t>- časté (u více než 1, ale méně než 10 ze 100 zvířat)</w:t>
      </w:r>
    </w:p>
    <w:p w:rsidR="00564167" w:rsidRPr="00564167" w:rsidRDefault="00564167" w:rsidP="00564167">
      <w:r w:rsidRPr="00564167">
        <w:t>- neobvyklé (u více než 1, ale méně než 10 z 1000 zvířat)</w:t>
      </w:r>
    </w:p>
    <w:p w:rsidR="00564167" w:rsidRPr="00564167" w:rsidRDefault="00564167" w:rsidP="00564167">
      <w:r w:rsidRPr="00564167">
        <w:t>- vzácné (u více než 1, ale méně než 10 z 10000 zvířat)</w:t>
      </w:r>
    </w:p>
    <w:p w:rsidR="00564167" w:rsidRPr="00564167" w:rsidRDefault="00564167" w:rsidP="00564167">
      <w:r w:rsidRPr="00564167">
        <w:t>- velmi vzácné (u méně než 1 z 10000 zvířat, včetně ojedinělých hlášení).</w:t>
      </w:r>
    </w:p>
    <w:p w:rsidR="004215E6" w:rsidRDefault="004215E6" w:rsidP="003426AD">
      <w:pPr>
        <w:pStyle w:val="Zkladntext3"/>
        <w:ind w:left="0" w:firstLine="0"/>
        <w:rPr>
          <w:b w:val="0"/>
          <w:bCs w:val="0"/>
        </w:rPr>
      </w:pPr>
    </w:p>
    <w:p w:rsidR="00ED7A77" w:rsidRPr="00FA408C" w:rsidRDefault="00ED7A77" w:rsidP="003426AD">
      <w:pPr>
        <w:pStyle w:val="Zkladntext3"/>
        <w:ind w:left="0" w:firstLine="0"/>
        <w:rPr>
          <w:b w:val="0"/>
          <w:bCs w:val="0"/>
        </w:rPr>
      </w:pPr>
      <w:r>
        <w:rPr>
          <w:b w:val="0"/>
          <w:bCs w:val="0"/>
        </w:rPr>
        <w:t>Jestliže zaznamenáte jakékoliv závažné nežádoucí účinky či jiné reakce, které nejsou uvedeny v této příbalové informaci, oznamte to prosím vašemu veterinárnímu lékaři.</w:t>
      </w:r>
    </w:p>
    <w:p w:rsidR="00ED7A77" w:rsidRPr="00BF017E" w:rsidRDefault="00ED7A77" w:rsidP="00BF017E">
      <w:pPr>
        <w:pStyle w:val="Zkladntext3"/>
        <w:ind w:left="0" w:firstLine="0"/>
        <w:rPr>
          <w:b w:val="0"/>
          <w:bCs w:val="0"/>
        </w:rPr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CÍLOVÝ DRUH ZVÍŘAT</w:t>
      </w:r>
    </w:p>
    <w:p w:rsidR="00ED7A77" w:rsidRDefault="00ED7A77" w:rsidP="007D312F"/>
    <w:p w:rsidR="00ED7A77" w:rsidRPr="00FA408C" w:rsidRDefault="00ED7A77" w:rsidP="006970E4">
      <w:pPr>
        <w:tabs>
          <w:tab w:val="left" w:pos="3295"/>
        </w:tabs>
        <w:jc w:val="both"/>
      </w:pPr>
      <w:r>
        <w:t>Prasata (březí prasničky, prasnice, selata)</w:t>
      </w:r>
    </w:p>
    <w:p w:rsidR="00ED7A77" w:rsidRDefault="00ED7A77" w:rsidP="007D312F">
      <w:pPr>
        <w:rPr>
          <w:b/>
          <w:bCs/>
        </w:rPr>
      </w:pPr>
    </w:p>
    <w:p w:rsidR="00ED7A77" w:rsidRDefault="00ED7A77" w:rsidP="007D312F">
      <w:r>
        <w:rPr>
          <w:b/>
          <w:bCs/>
        </w:rPr>
        <w:t>8.</w:t>
      </w:r>
      <w:r>
        <w:rPr>
          <w:b/>
          <w:bCs/>
        </w:rPr>
        <w:tab/>
        <w:t>DÁVKOVÁNÍ PRO KAŽDÝ DRUH, CESTA(Y) A ZPŮSOB PODÁNÍ</w:t>
      </w:r>
    </w:p>
    <w:p w:rsidR="00ED7A77" w:rsidRDefault="00ED7A77" w:rsidP="007D312F"/>
    <w:p w:rsidR="00ED7A77" w:rsidRPr="00BF017E" w:rsidRDefault="00ED7A77" w:rsidP="00BF017E">
      <w:pPr>
        <w:ind w:left="0" w:firstLine="0"/>
      </w:pPr>
      <w:r w:rsidRPr="00BF017E">
        <w:t xml:space="preserve">Imunizace selat: </w:t>
      </w:r>
      <w:r w:rsidRPr="00BF017E">
        <w:tab/>
        <w:t xml:space="preserve">selata se vakcinují dávkou 1 ml i.m. </w:t>
      </w:r>
    </w:p>
    <w:p w:rsidR="00ED7A77" w:rsidRPr="00BF017E" w:rsidRDefault="00ED7A77" w:rsidP="00BF017E">
      <w:pPr>
        <w:ind w:left="0" w:firstLine="0"/>
      </w:pPr>
      <w:r w:rsidRPr="00BF017E">
        <w:tab/>
      </w:r>
      <w:r w:rsidRPr="00BF017E">
        <w:tab/>
      </w:r>
      <w:r>
        <w:tab/>
      </w:r>
      <w:r w:rsidRPr="00BF017E">
        <w:t>Primovakcinace od stáří 6 týdnů i.m.</w:t>
      </w:r>
    </w:p>
    <w:p w:rsidR="00ED7A77" w:rsidRPr="00BF017E" w:rsidRDefault="00ED7A77" w:rsidP="00BF017E">
      <w:pPr>
        <w:ind w:left="0" w:firstLine="0"/>
      </w:pPr>
      <w:r w:rsidRPr="00BF017E">
        <w:tab/>
      </w:r>
      <w:r w:rsidRPr="00BF017E">
        <w:tab/>
      </w:r>
      <w:r>
        <w:tab/>
      </w:r>
      <w:r w:rsidRPr="00BF017E">
        <w:t>Revakcinace za 3 týdny dávkou 1 ml i.m.</w:t>
      </w:r>
    </w:p>
    <w:p w:rsidR="00ED7A77" w:rsidRPr="00BF017E" w:rsidRDefault="00ED7A77" w:rsidP="00BF017E">
      <w:pPr>
        <w:ind w:left="0" w:firstLine="0"/>
      </w:pPr>
      <w:r w:rsidRPr="00BF017E">
        <w:t>Imunizace prasnic:</w:t>
      </w:r>
      <w:r>
        <w:tab/>
      </w:r>
      <w:r w:rsidRPr="00BF017E">
        <w:t>prasnice se vakcinují dávkou 2 ml i.m.</w:t>
      </w:r>
    </w:p>
    <w:p w:rsidR="00ED7A77" w:rsidRPr="00BF017E" w:rsidRDefault="00ED7A77" w:rsidP="00BF017E">
      <w:pPr>
        <w:ind w:left="0" w:firstLine="0"/>
      </w:pPr>
      <w:r w:rsidRPr="00BF017E">
        <w:t xml:space="preserve">  </w:t>
      </w:r>
      <w:r>
        <w:tab/>
      </w:r>
      <w:r>
        <w:tab/>
      </w:r>
      <w:r>
        <w:tab/>
      </w:r>
      <w:r w:rsidRPr="00BF017E">
        <w:t>Iniciální vakcinace – 6-5 týdnů před porodem. </w:t>
      </w:r>
    </w:p>
    <w:p w:rsidR="00ED7A77" w:rsidRPr="00BF017E" w:rsidRDefault="00ED7A77" w:rsidP="00BF017E">
      <w:pPr>
        <w:ind w:left="0" w:firstLine="0"/>
      </w:pPr>
      <w:r w:rsidRPr="00BF017E">
        <w:t xml:space="preserve">  </w:t>
      </w:r>
      <w:r>
        <w:tab/>
      </w:r>
      <w:r>
        <w:tab/>
      </w:r>
      <w:r>
        <w:tab/>
      </w:r>
      <w:r w:rsidRPr="00BF017E">
        <w:t xml:space="preserve">Revakcinace dávkou 2 ml i.m. za 2-3 týdny, nejpozději však 2 týdny před </w:t>
      </w:r>
      <w:r>
        <w:tab/>
      </w:r>
      <w:r>
        <w:tab/>
      </w:r>
      <w:r>
        <w:tab/>
      </w:r>
      <w:r w:rsidRPr="00BF017E">
        <w:t>porodem.</w:t>
      </w:r>
    </w:p>
    <w:p w:rsidR="00ED7A77" w:rsidRPr="00BF017E" w:rsidRDefault="00ED7A77" w:rsidP="00BF017E">
      <w:pPr>
        <w:ind w:left="0" w:firstLine="0"/>
      </w:pPr>
      <w:r w:rsidRPr="00BF017E">
        <w:t xml:space="preserve">  </w:t>
      </w:r>
      <w:r>
        <w:tab/>
      </w:r>
      <w:r>
        <w:tab/>
      </w:r>
      <w:r>
        <w:tab/>
        <w:t>Booster</w:t>
      </w:r>
      <w:r w:rsidRPr="00BF017E">
        <w:t xml:space="preserve"> revakcinace: provádí se pravidelně 3 až 2 týdny před každým dalším </w:t>
      </w:r>
      <w:r>
        <w:tab/>
      </w:r>
      <w:r>
        <w:tab/>
      </w:r>
      <w:r>
        <w:tab/>
      </w:r>
      <w:r w:rsidRPr="00BF017E">
        <w:t xml:space="preserve">porodem dávkou 2 ml i.m. </w:t>
      </w:r>
    </w:p>
    <w:p w:rsidR="00ED7A77" w:rsidRPr="00BF017E" w:rsidRDefault="00ED7A77" w:rsidP="00BF017E">
      <w:pPr>
        <w:ind w:left="0" w:firstLine="0"/>
      </w:pPr>
      <w:r w:rsidRPr="00BF017E">
        <w:t>V případě, že období mezi dvěma porody přesáhne 6 měsíců, je nezbytné provést znovu iniciální vakcinaci a revakcinaci.</w:t>
      </w:r>
    </w:p>
    <w:p w:rsidR="00ED7A77" w:rsidRPr="00BF017E" w:rsidRDefault="00ED7A77" w:rsidP="00BF017E">
      <w:pPr>
        <w:ind w:left="0" w:firstLine="0"/>
      </w:pPr>
    </w:p>
    <w:p w:rsidR="00ED7A77" w:rsidRPr="00BF017E" w:rsidRDefault="00ED7A77" w:rsidP="00BF017E">
      <w:pPr>
        <w:ind w:left="0" w:firstLine="0"/>
      </w:pPr>
      <w:r w:rsidRPr="00BF017E">
        <w:t xml:space="preserve">Způsob podání: </w:t>
      </w:r>
      <w:r w:rsidRPr="00BF017E">
        <w:tab/>
        <w:t>intramuskulárně, nejlépe do paraaurikulární krajiny.</w:t>
      </w:r>
    </w:p>
    <w:p w:rsidR="00ED7A77" w:rsidRDefault="00ED7A77" w:rsidP="007D312F">
      <w:pPr>
        <w:rPr>
          <w:b/>
          <w:bCs/>
        </w:rPr>
      </w:pPr>
    </w:p>
    <w:p w:rsidR="00ED7A77" w:rsidRDefault="00ED7A77" w:rsidP="007D312F">
      <w:r>
        <w:rPr>
          <w:b/>
          <w:bCs/>
        </w:rPr>
        <w:t>9.</w:t>
      </w:r>
      <w:r>
        <w:rPr>
          <w:b/>
          <w:bCs/>
        </w:rPr>
        <w:tab/>
      </w:r>
      <w:r w:rsidRPr="00410932">
        <w:rPr>
          <w:b/>
          <w:bCs/>
        </w:rPr>
        <w:t>POKYNY PRO SPRÁVNÉ PODÁNÍ</w:t>
      </w:r>
    </w:p>
    <w:p w:rsidR="00ED7A77" w:rsidRDefault="00ED7A77" w:rsidP="007D312F"/>
    <w:p w:rsidR="00ED7A77" w:rsidRPr="00410932" w:rsidRDefault="00ED7A77" w:rsidP="00410932">
      <w:r w:rsidRPr="00410932">
        <w:t xml:space="preserve">Před upotřebením </w:t>
      </w:r>
      <w:r>
        <w:t>je třeba</w:t>
      </w:r>
      <w:r w:rsidRPr="00410932">
        <w:t xml:space="preserve"> obsah lékovky vytemperovat na teplotu </w:t>
      </w:r>
      <w:r w:rsidRPr="00710068">
        <w:t>15 –25°C a řádně protřepat.</w:t>
      </w:r>
    </w:p>
    <w:p w:rsidR="00ED7A77" w:rsidRDefault="00ED7A77" w:rsidP="007D312F"/>
    <w:p w:rsidR="00ED7A77" w:rsidRDefault="00ED7A77" w:rsidP="007D312F">
      <w:r>
        <w:rPr>
          <w:b/>
          <w:bCs/>
        </w:rPr>
        <w:t>10.</w:t>
      </w:r>
      <w:r>
        <w:rPr>
          <w:b/>
          <w:bCs/>
        </w:rPr>
        <w:tab/>
        <w:t xml:space="preserve">OCHRANNÁ LHŮTA </w:t>
      </w:r>
    </w:p>
    <w:p w:rsidR="00ED7A77" w:rsidRDefault="00ED7A77" w:rsidP="007D312F"/>
    <w:p w:rsidR="00ED7A77" w:rsidRPr="006144C6" w:rsidRDefault="00ED7A77" w:rsidP="007D312F">
      <w:r w:rsidRPr="006144C6">
        <w:t>Bez ochranných lhůt.</w:t>
      </w:r>
    </w:p>
    <w:p w:rsidR="00ED7A77" w:rsidRDefault="00ED7A77" w:rsidP="007D312F"/>
    <w:p w:rsidR="00ED7A77" w:rsidRDefault="00ED7A77" w:rsidP="007D312F">
      <w:r>
        <w:rPr>
          <w:b/>
          <w:bCs/>
        </w:rPr>
        <w:t>11.</w:t>
      </w:r>
      <w:r>
        <w:rPr>
          <w:b/>
          <w:bCs/>
        </w:rPr>
        <w:tab/>
        <w:t>ZVLÁŠTNÍ OPATŘENÍ PRO UCHOVÁVÁNÍ</w:t>
      </w:r>
    </w:p>
    <w:p w:rsidR="00ED7A77" w:rsidRDefault="00ED7A77" w:rsidP="007D312F"/>
    <w:p w:rsidR="00ED7A77" w:rsidRPr="005777F9" w:rsidRDefault="00ED7A77" w:rsidP="005777F9">
      <w:pPr>
        <w:ind w:right="-318"/>
      </w:pPr>
      <w:r w:rsidRPr="005777F9">
        <w:t>Uchovávat mimo dosah dětí.</w:t>
      </w:r>
    </w:p>
    <w:p w:rsidR="00ED7A77" w:rsidRPr="00FA408C" w:rsidRDefault="00ED7A77" w:rsidP="006144C6">
      <w:pPr>
        <w:ind w:right="-318"/>
      </w:pPr>
      <w:r w:rsidRPr="00FA408C">
        <w:t>Uchovávejte v chladničce (2</w:t>
      </w:r>
      <w:r w:rsidRPr="00FA408C">
        <w:sym w:font="Symbol" w:char="F0B0"/>
      </w:r>
      <w:r w:rsidRPr="00FA408C">
        <w:t>C – 8</w:t>
      </w:r>
      <w:r w:rsidRPr="00FA408C">
        <w:sym w:font="Symbol" w:char="F0B0"/>
      </w:r>
      <w:r w:rsidRPr="00FA408C">
        <w:t>C).</w:t>
      </w:r>
    </w:p>
    <w:p w:rsidR="00ED7A77" w:rsidRDefault="00ED7A77" w:rsidP="006144C6">
      <w:pPr>
        <w:ind w:right="-318"/>
      </w:pPr>
      <w:r w:rsidRPr="00FA408C">
        <w:t>Chraňte před mrazem.</w:t>
      </w:r>
    </w:p>
    <w:p w:rsidR="00ED7A77" w:rsidRDefault="00ED7A77" w:rsidP="006144C6">
      <w:pPr>
        <w:ind w:right="-318"/>
      </w:pPr>
    </w:p>
    <w:p w:rsidR="00ED7A77" w:rsidRDefault="00ED7A77" w:rsidP="001E589B">
      <w:pPr>
        <w:ind w:left="0" w:right="-2" w:firstLine="0"/>
        <w:rPr>
          <w:noProof/>
        </w:rPr>
      </w:pPr>
      <w:r>
        <w:t>Nepoužívejte po uplynutí doby použitelnost uvedené na obalu.</w:t>
      </w:r>
    </w:p>
    <w:p w:rsidR="00ED7A77" w:rsidRPr="00FA408C" w:rsidRDefault="00ED7A77" w:rsidP="001E589B">
      <w:pPr>
        <w:ind w:right="-318"/>
      </w:pPr>
      <w:r w:rsidRPr="00FA408C">
        <w:t xml:space="preserve">Doba použitelnosti po prvním otevření vnitřního obalu: 10 hodin. </w:t>
      </w:r>
    </w:p>
    <w:p w:rsidR="00ED7A77" w:rsidRDefault="00ED7A77" w:rsidP="007D312F">
      <w:pPr>
        <w:ind w:left="0" w:right="-318" w:firstLine="0"/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ZVLÁŠTNÍ UPOZORNĚNÍ</w:t>
      </w:r>
    </w:p>
    <w:p w:rsidR="004215E6" w:rsidRDefault="004215E6" w:rsidP="007D312F">
      <w:pPr>
        <w:rPr>
          <w:b/>
          <w:bCs/>
        </w:rPr>
      </w:pPr>
    </w:p>
    <w:p w:rsidR="004215E6" w:rsidRPr="00947209" w:rsidRDefault="004215E6" w:rsidP="007D312F">
      <w:pPr>
        <w:rPr>
          <w:bCs/>
          <w:u w:val="single"/>
        </w:rPr>
      </w:pPr>
      <w:r w:rsidRPr="00947209">
        <w:rPr>
          <w:bCs/>
          <w:u w:val="single"/>
        </w:rPr>
        <w:t>Zvláštní upozornění pro každý cílový druh</w:t>
      </w:r>
      <w:r w:rsidR="00564167">
        <w:rPr>
          <w:bCs/>
          <w:u w:val="single"/>
        </w:rPr>
        <w:t>:</w:t>
      </w:r>
    </w:p>
    <w:p w:rsidR="004215E6" w:rsidRDefault="004215E6" w:rsidP="007D312F">
      <w:r w:rsidRPr="00FA408C">
        <w:t>Nejsou.</w:t>
      </w:r>
    </w:p>
    <w:p w:rsidR="004215E6" w:rsidRDefault="004215E6" w:rsidP="007D312F"/>
    <w:p w:rsidR="004215E6" w:rsidRPr="00947209" w:rsidRDefault="004215E6" w:rsidP="007D312F">
      <w:pPr>
        <w:rPr>
          <w:bCs/>
          <w:u w:val="single"/>
        </w:rPr>
      </w:pPr>
      <w:r w:rsidRPr="00947209">
        <w:rPr>
          <w:bCs/>
          <w:u w:val="single"/>
        </w:rPr>
        <w:t>Zvláštní opatření pro použití</w:t>
      </w:r>
      <w:r w:rsidR="00564167" w:rsidRPr="00947209">
        <w:rPr>
          <w:bCs/>
          <w:u w:val="single"/>
        </w:rPr>
        <w:t xml:space="preserve"> </w:t>
      </w:r>
      <w:r w:rsidR="00564167">
        <w:rPr>
          <w:bCs/>
          <w:u w:val="single"/>
        </w:rPr>
        <w:t>u zvířat:</w:t>
      </w:r>
    </w:p>
    <w:p w:rsidR="004215E6" w:rsidRDefault="004215E6" w:rsidP="007D312F">
      <w:r w:rsidRPr="00912AE3">
        <w:t>Vakcinujte pouze zdravá zvířata.</w:t>
      </w:r>
    </w:p>
    <w:p w:rsidR="004215E6" w:rsidRDefault="004215E6" w:rsidP="007D312F"/>
    <w:p w:rsidR="00564167" w:rsidRPr="00947209" w:rsidRDefault="00564167" w:rsidP="00564167">
      <w:pPr>
        <w:rPr>
          <w:u w:val="single"/>
        </w:rPr>
      </w:pPr>
      <w:r w:rsidRPr="00947209">
        <w:rPr>
          <w:bCs/>
          <w:u w:val="single"/>
        </w:rPr>
        <w:t>Zvláštní opatření určené osobám, které podávají veterinární léčivý přípravek zvířatům</w:t>
      </w:r>
      <w:r>
        <w:rPr>
          <w:bCs/>
          <w:u w:val="single"/>
        </w:rPr>
        <w:t>:</w:t>
      </w:r>
    </w:p>
    <w:p w:rsidR="00564167" w:rsidRDefault="00564167" w:rsidP="00564167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</w:rPr>
      </w:pPr>
      <w:r>
        <w:rPr>
          <w:rFonts w:ascii="Times New  Roman , serif ;" w:hAnsi="Times New  Roman , serif ;" w:cs="Times New  Roman , serif ;"/>
        </w:rPr>
        <w:t xml:space="preserve">V případě náhodného sebepoškození injekčně aplikovaným přípravkem </w:t>
      </w:r>
      <w:r>
        <w:rPr>
          <w:rFonts w:ascii="TimesNewRoman,Italic" w:hAnsi="TimesNewRoman,Italic" w:cs="TimesNewRoman,Italic"/>
        </w:rPr>
        <w:t>vyhledejte ihned lékařskou</w:t>
      </w:r>
    </w:p>
    <w:p w:rsidR="00564167" w:rsidRDefault="00564167" w:rsidP="00564167">
      <w:pPr>
        <w:autoSpaceDE w:val="0"/>
        <w:autoSpaceDN w:val="0"/>
        <w:adjustRightInd w:val="0"/>
        <w:jc w:val="both"/>
        <w:rPr>
          <w:rFonts w:ascii="Times New  Roman , serif ;" w:hAnsi="Times New  Roman , serif ;" w:cs="Times New  Roman , serif ;"/>
        </w:rPr>
      </w:pPr>
      <w:r>
        <w:rPr>
          <w:rFonts w:ascii="TimesNewRoman,Italic" w:hAnsi="TimesNewRoman,Italic" w:cs="TimesNewRoman,Italic"/>
        </w:rPr>
        <w:t>pomoc a ukažte příbalovou informaci nebo etiketu praktickému lékaři</w:t>
      </w:r>
      <w:r>
        <w:rPr>
          <w:rFonts w:ascii="Times New  Roman , serif ;" w:hAnsi="Times New  Roman , serif ;" w:cs="Times New  Roman , serif ;"/>
        </w:rPr>
        <w:t>.</w:t>
      </w:r>
    </w:p>
    <w:p w:rsidR="00564167" w:rsidRDefault="00564167" w:rsidP="00564167">
      <w:pPr>
        <w:autoSpaceDE w:val="0"/>
        <w:autoSpaceDN w:val="0"/>
        <w:adjustRightInd w:val="0"/>
        <w:ind w:left="0" w:firstLine="0"/>
        <w:jc w:val="both"/>
        <w:rPr>
          <w:rFonts w:ascii="TimesNewRoman,Italic" w:hAnsi="TimesNewRoman,Italic" w:cs="TimesNewRoman,Italic"/>
        </w:rPr>
      </w:pPr>
      <w:r>
        <w:rPr>
          <w:rFonts w:ascii="TimesNewRoman,Italic" w:hAnsi="TimesNewRoman,Italic" w:cs="TimesNewRoman,Italic"/>
        </w:rPr>
        <w:t>Tento přípravek obsahuje olejové adjuvans. Náhodná injekce/</w:t>
      </w:r>
      <w:r>
        <w:t>náhodné sebepoškození injekčně aplikovaným přípravkem</w:t>
      </w:r>
      <w:r>
        <w:rPr>
          <w:rFonts w:ascii="TimesNewRoman,Italic" w:hAnsi="TimesNewRoman,Italic" w:cs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</w:t>
      </w:r>
    </w:p>
    <w:p w:rsidR="00564167" w:rsidRDefault="00564167" w:rsidP="00564167">
      <w:pPr>
        <w:autoSpaceDE w:val="0"/>
        <w:autoSpaceDN w:val="0"/>
        <w:adjustRightInd w:val="0"/>
        <w:ind w:left="0" w:firstLine="0"/>
        <w:jc w:val="both"/>
        <w:rPr>
          <w:rFonts w:ascii="TimesNewRoman,Italic" w:hAnsi="TimesNewRoman,Italic" w:cs="TimesNewRoman,Italic"/>
        </w:rPr>
      </w:pPr>
      <w:r>
        <w:rPr>
          <w:rFonts w:ascii="TimesNewRoman,Italic" w:hAnsi="TimesNewRoman,Italic" w:cs="TimesNewRoman,Italic"/>
        </w:rPr>
        <w:t>Pokud u vás došlo k náhodné injekci přípravku, vyhledejte lékařskou pomoc, i když šlo jen o malé množství, a vezměte příbalovou informaci s sebou.</w:t>
      </w:r>
    </w:p>
    <w:p w:rsidR="00564167" w:rsidRDefault="00564167" w:rsidP="00564167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</w:rPr>
      </w:pPr>
      <w:r>
        <w:rPr>
          <w:rFonts w:ascii="TimesNewRoman,Italic" w:hAnsi="TimesNewRoman,Italic" w:cs="TimesNewRoman,Italic"/>
        </w:rPr>
        <w:t>Pokud bolest přetrvává více než 12 hodin po lékařské prohlídce, obraťte se na lékaře znovu.</w:t>
      </w:r>
    </w:p>
    <w:p w:rsidR="00564167" w:rsidRDefault="00564167" w:rsidP="007D312F">
      <w:pPr>
        <w:rPr>
          <w:bCs/>
          <w:u w:val="single"/>
        </w:rPr>
      </w:pPr>
    </w:p>
    <w:p w:rsidR="004215E6" w:rsidRPr="00947209" w:rsidRDefault="00564167" w:rsidP="007D312F">
      <w:pPr>
        <w:rPr>
          <w:u w:val="single"/>
        </w:rPr>
      </w:pPr>
      <w:r>
        <w:rPr>
          <w:bCs/>
          <w:u w:val="single"/>
        </w:rPr>
        <w:t>Březost:</w:t>
      </w:r>
    </w:p>
    <w:p w:rsidR="004215E6" w:rsidRPr="004215E6" w:rsidRDefault="004215E6" w:rsidP="004215E6">
      <w:r w:rsidRPr="004215E6">
        <w:t xml:space="preserve">Lze použít během březosti. </w:t>
      </w:r>
    </w:p>
    <w:p w:rsidR="004215E6" w:rsidRDefault="004215E6" w:rsidP="004215E6">
      <w:r w:rsidRPr="004215E6">
        <w:t>Vakcinace a revakcinace musí být ukončeny nejpozději 14 dní před očekávaným porodem.</w:t>
      </w:r>
    </w:p>
    <w:p w:rsidR="004215E6" w:rsidRDefault="004215E6" w:rsidP="004215E6"/>
    <w:p w:rsidR="004215E6" w:rsidRPr="00947209" w:rsidRDefault="004215E6" w:rsidP="004215E6">
      <w:pPr>
        <w:rPr>
          <w:u w:val="single"/>
        </w:rPr>
      </w:pPr>
      <w:r w:rsidRPr="00947209">
        <w:rPr>
          <w:bCs/>
          <w:u w:val="single"/>
        </w:rPr>
        <w:t>Interakce s dalšími léčivými přípravky a další formy interakce</w:t>
      </w:r>
      <w:r w:rsidR="00564167">
        <w:rPr>
          <w:bCs/>
          <w:u w:val="single"/>
        </w:rPr>
        <w:t>:</w:t>
      </w:r>
    </w:p>
    <w:p w:rsidR="00ED7A77" w:rsidRDefault="00ED7A77" w:rsidP="009B370E">
      <w:pPr>
        <w:ind w:left="0" w:firstLine="0"/>
        <w:jc w:val="both"/>
      </w:pPr>
      <w:r w:rsidRPr="00FA408C">
        <w:t xml:space="preserve">Nejsou dostupné informace o bezpečnosti a účinnosti této vakcíny, pokud je podávána zároveň s jiným veterinárním léčivým přípravkem. </w:t>
      </w:r>
      <w:r>
        <w:t>Rozhodnutí o použití této vakcíny před nebo po jakémkoliv jiném veterinárním léčivém přípravku musí být provedeno na základě zvážení jednotlivých případů.</w:t>
      </w:r>
    </w:p>
    <w:p w:rsidR="004215E6" w:rsidRDefault="004215E6" w:rsidP="00C51429">
      <w:pPr>
        <w:ind w:left="0" w:firstLine="0"/>
      </w:pPr>
    </w:p>
    <w:p w:rsidR="00ED7A77" w:rsidRPr="00947209" w:rsidRDefault="004215E6" w:rsidP="007D312F">
      <w:pPr>
        <w:rPr>
          <w:u w:val="single"/>
        </w:rPr>
      </w:pPr>
      <w:r w:rsidRPr="00947209">
        <w:rPr>
          <w:bCs/>
          <w:u w:val="single"/>
        </w:rPr>
        <w:t>Předávkování</w:t>
      </w:r>
      <w:r w:rsidR="00564167">
        <w:rPr>
          <w:bCs/>
          <w:u w:val="single"/>
        </w:rPr>
        <w:t>:</w:t>
      </w:r>
    </w:p>
    <w:p w:rsidR="00ED7A77" w:rsidRDefault="004215E6" w:rsidP="009B370E">
      <w:pPr>
        <w:ind w:left="0" w:firstLine="0"/>
        <w:jc w:val="both"/>
      </w:pPr>
      <w:r>
        <w:t>Po</w:t>
      </w:r>
      <w:r w:rsidRPr="00E47AF3">
        <w:t xml:space="preserve"> aplikaci dvojnásobné dávky vakcíny </w:t>
      </w:r>
      <w:r>
        <w:t>nebyly pozorovány jiné nežádoucí účinky než ty popsané v bodě 6.</w:t>
      </w:r>
    </w:p>
    <w:p w:rsidR="00C51429" w:rsidRDefault="00C51429" w:rsidP="009B370E">
      <w:pPr>
        <w:ind w:left="0" w:firstLine="0"/>
        <w:jc w:val="both"/>
      </w:pPr>
    </w:p>
    <w:p w:rsidR="00C51429" w:rsidRPr="00947209" w:rsidRDefault="00C51429" w:rsidP="00C51429">
      <w:pPr>
        <w:ind w:left="0" w:firstLine="0"/>
        <w:jc w:val="both"/>
        <w:rPr>
          <w:u w:val="single"/>
        </w:rPr>
      </w:pPr>
      <w:r w:rsidRPr="00947209">
        <w:rPr>
          <w:bCs/>
          <w:u w:val="single"/>
        </w:rPr>
        <w:t>Inkompatibility</w:t>
      </w:r>
      <w:r w:rsidR="00564167">
        <w:rPr>
          <w:bCs/>
          <w:u w:val="single"/>
        </w:rPr>
        <w:t>:</w:t>
      </w:r>
    </w:p>
    <w:p w:rsidR="00C51429" w:rsidRDefault="00C51429" w:rsidP="00C51429">
      <w:r>
        <w:t>Nemísit s jiným veterinárním léčivým přípravkem.</w:t>
      </w:r>
    </w:p>
    <w:p w:rsidR="00ED7A77" w:rsidRPr="00FA408C" w:rsidRDefault="00ED7A77" w:rsidP="009B370E">
      <w:pPr>
        <w:ind w:left="0" w:firstLine="0"/>
        <w:jc w:val="both"/>
      </w:pPr>
    </w:p>
    <w:p w:rsidR="00C51429" w:rsidRDefault="00C51429" w:rsidP="00947209">
      <w:pPr>
        <w:autoSpaceDE w:val="0"/>
        <w:autoSpaceDN w:val="0"/>
        <w:adjustRightInd w:val="0"/>
        <w:ind w:left="0" w:firstLine="0"/>
        <w:jc w:val="both"/>
        <w:rPr>
          <w:rFonts w:ascii="TimesNewRoman,Italic" w:hAnsi="TimesNewRoman,Italic" w:cs="TimesNewRoman,Italic"/>
        </w:rPr>
      </w:pPr>
    </w:p>
    <w:p w:rsidR="00ED7A77" w:rsidRDefault="00ED7A77" w:rsidP="00977DAA">
      <w:pPr>
        <w:autoSpaceDE w:val="0"/>
        <w:autoSpaceDN w:val="0"/>
        <w:adjustRightInd w:val="0"/>
        <w:ind w:left="0" w:firstLine="0"/>
        <w:jc w:val="both"/>
      </w:pPr>
    </w:p>
    <w:p w:rsidR="00ED7A77" w:rsidRDefault="00ED7A77" w:rsidP="007D312F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ZVLÁŠTNÍ OPATŘENÍ PRO ZNEŠKODŇOVÁNÍ NEPOUŽITÝCH PŘÍPRAVKŮ NEBO ODPADU, POKUD JE JICH TŘEBA</w:t>
      </w:r>
    </w:p>
    <w:p w:rsidR="00ED7A77" w:rsidRDefault="00ED7A77" w:rsidP="007D312F">
      <w:pPr>
        <w:ind w:right="-318"/>
      </w:pPr>
    </w:p>
    <w:p w:rsidR="00ED7A77" w:rsidRPr="00FA408C" w:rsidRDefault="00ED7A77" w:rsidP="003D4E80">
      <w:pPr>
        <w:ind w:left="0" w:firstLine="0"/>
      </w:pPr>
      <w:r w:rsidRPr="00FA408C">
        <w:t>Všechen nepoužitý veterinární léčivý přípravek nebo odpad, který pochází z tohoto přípravku, musí být likvidován podle místních právních předpisů.</w:t>
      </w:r>
    </w:p>
    <w:p w:rsidR="00ED7A77" w:rsidRDefault="00ED7A77" w:rsidP="007D312F">
      <w:pPr>
        <w:rPr>
          <w:b/>
          <w:bCs/>
        </w:rPr>
      </w:pPr>
    </w:p>
    <w:p w:rsidR="00ED7A77" w:rsidRDefault="00ED7A77" w:rsidP="007D312F">
      <w:r>
        <w:rPr>
          <w:b/>
          <w:bCs/>
        </w:rPr>
        <w:t>14.</w:t>
      </w:r>
      <w:r>
        <w:rPr>
          <w:b/>
          <w:bCs/>
        </w:rPr>
        <w:tab/>
        <w:t>DATUM POSLEDNÍ REVIZE PŘÍBALOVÉ INFORMACE</w:t>
      </w:r>
    </w:p>
    <w:p w:rsidR="00ED7A77" w:rsidRDefault="00ED7A77" w:rsidP="007D312F">
      <w:pPr>
        <w:ind w:right="-318"/>
      </w:pPr>
    </w:p>
    <w:p w:rsidR="00ED7A77" w:rsidRDefault="00E73FD5" w:rsidP="00443ABA">
      <w:pPr>
        <w:ind w:right="-318"/>
      </w:pPr>
      <w:r>
        <w:t xml:space="preserve">Září </w:t>
      </w:r>
      <w:r w:rsidR="00443ABA">
        <w:t>2016</w:t>
      </w:r>
      <w:bookmarkStart w:id="0" w:name="_GoBack"/>
      <w:bookmarkEnd w:id="0"/>
    </w:p>
    <w:p w:rsidR="00443ABA" w:rsidRDefault="00443ABA" w:rsidP="00443ABA">
      <w:pPr>
        <w:ind w:right="-318"/>
      </w:pPr>
    </w:p>
    <w:p w:rsidR="00ED7A77" w:rsidRDefault="00ED7A77" w:rsidP="007D312F">
      <w:r>
        <w:rPr>
          <w:b/>
          <w:bCs/>
        </w:rPr>
        <w:t>15.</w:t>
      </w:r>
      <w:r>
        <w:rPr>
          <w:b/>
          <w:bCs/>
        </w:rPr>
        <w:tab/>
        <w:t>DALŠÍ INFORMACE</w:t>
      </w:r>
    </w:p>
    <w:p w:rsidR="00ED7A77" w:rsidRDefault="00ED7A77" w:rsidP="007D312F"/>
    <w:p w:rsidR="00ED7A77" w:rsidRPr="00FA408C" w:rsidRDefault="00ED7A77" w:rsidP="001B28BF">
      <w:pPr>
        <w:ind w:left="0" w:firstLine="0"/>
        <w:jc w:val="both"/>
      </w:pPr>
      <w:r w:rsidRPr="00FA408C">
        <w:t>Vakcína je expedována</w:t>
      </w:r>
      <w:r>
        <w:t>:</w:t>
      </w:r>
    </w:p>
    <w:p w:rsidR="00ED7A77" w:rsidRPr="00FA408C" w:rsidRDefault="00ED7A77" w:rsidP="006B6B75">
      <w:pPr>
        <w:tabs>
          <w:tab w:val="left" w:pos="5954"/>
        </w:tabs>
        <w:ind w:left="0" w:firstLine="0"/>
        <w:jc w:val="both"/>
      </w:pPr>
      <w:r w:rsidRPr="00FA408C">
        <w:t xml:space="preserve">ve skleněných injekčních lékovkách hydrolytické třídy I: </w:t>
      </w:r>
      <w:r w:rsidRPr="00FA408C">
        <w:tab/>
        <w:t xml:space="preserve">10 ml lékovka o obsahu 10 ml </w:t>
      </w:r>
    </w:p>
    <w:p w:rsidR="00ED7A77" w:rsidRPr="00FA408C" w:rsidRDefault="00ED7A77" w:rsidP="006B6B75">
      <w:pPr>
        <w:tabs>
          <w:tab w:val="left" w:pos="5954"/>
        </w:tabs>
        <w:ind w:left="0" w:firstLine="0"/>
        <w:jc w:val="both"/>
      </w:pPr>
      <w:r w:rsidRPr="00FA408C">
        <w:t xml:space="preserve">ve skleněných injekčních lékovkách hydrolytické třídy II: </w:t>
      </w:r>
      <w:r w:rsidRPr="00FA408C">
        <w:tab/>
        <w:t xml:space="preserve">50 ml lékovka o obsahu 50 ml </w:t>
      </w:r>
    </w:p>
    <w:p w:rsidR="00ED7A77" w:rsidRDefault="00ED7A77" w:rsidP="006B6B75">
      <w:pPr>
        <w:tabs>
          <w:tab w:val="left" w:pos="5954"/>
        </w:tabs>
        <w:ind w:left="0" w:firstLine="0"/>
        <w:jc w:val="both"/>
      </w:pPr>
      <w:r w:rsidRPr="00FA408C">
        <w:tab/>
        <w:t>100 ml lékovka o obsahu 100 ml</w:t>
      </w:r>
      <w:r>
        <w:t xml:space="preserve"> </w:t>
      </w:r>
    </w:p>
    <w:p w:rsidR="00ED7A77" w:rsidRPr="00643780" w:rsidRDefault="00ED7A77" w:rsidP="006B6B75">
      <w:pPr>
        <w:tabs>
          <w:tab w:val="left" w:pos="5954"/>
        </w:tabs>
        <w:ind w:left="0" w:firstLine="0"/>
        <w:jc w:val="both"/>
      </w:pPr>
      <w:r w:rsidRPr="00FA408C">
        <w:t>v plastových injekčních lékovkách</w:t>
      </w:r>
      <w:r>
        <w:t xml:space="preserve">: </w:t>
      </w:r>
      <w:r>
        <w:tab/>
      </w:r>
      <w:r w:rsidRPr="00643780">
        <w:t>15 ml lékovka o obsahu 10 ml</w:t>
      </w:r>
    </w:p>
    <w:p w:rsidR="00ED7A77" w:rsidRPr="00643780" w:rsidRDefault="00ED7A77" w:rsidP="006B6B75">
      <w:pPr>
        <w:tabs>
          <w:tab w:val="left" w:pos="5954"/>
        </w:tabs>
        <w:ind w:left="0" w:firstLine="0"/>
        <w:jc w:val="both"/>
      </w:pPr>
      <w:r w:rsidRPr="00FA408C">
        <w:tab/>
      </w:r>
      <w:r w:rsidRPr="00643780">
        <w:t xml:space="preserve">60 ml lékovka o obsahu 50 ml </w:t>
      </w:r>
    </w:p>
    <w:p w:rsidR="00ED7A77" w:rsidRPr="00FA408C" w:rsidRDefault="00ED7A77" w:rsidP="006B6B75">
      <w:pPr>
        <w:tabs>
          <w:tab w:val="left" w:pos="5954"/>
        </w:tabs>
        <w:ind w:left="0" w:firstLine="0"/>
        <w:jc w:val="both"/>
      </w:pPr>
      <w:r w:rsidRPr="00FA408C">
        <w:tab/>
      </w:r>
      <w:r w:rsidRPr="00643780">
        <w:t>120 ml lékovka</w:t>
      </w:r>
      <w:r w:rsidRPr="00FA408C">
        <w:t xml:space="preserve"> o obsahu 100 ml</w:t>
      </w:r>
    </w:p>
    <w:p w:rsidR="00ED7A77" w:rsidRPr="00FA408C" w:rsidRDefault="00ED7A77" w:rsidP="006B6B75">
      <w:pPr>
        <w:tabs>
          <w:tab w:val="left" w:pos="5954"/>
        </w:tabs>
        <w:ind w:left="0" w:firstLine="0"/>
        <w:jc w:val="both"/>
      </w:pPr>
      <w:r w:rsidRPr="00FA408C">
        <w:lastRenderedPageBreak/>
        <w:t>v plastových lahvích</w:t>
      </w:r>
      <w:r>
        <w:t xml:space="preserve">: </w:t>
      </w:r>
      <w:r>
        <w:tab/>
      </w:r>
      <w:r w:rsidRPr="00FA408C">
        <w:t>250 ml láhev o obsahu 250 ml</w:t>
      </w:r>
    </w:p>
    <w:p w:rsidR="00ED7A77" w:rsidRDefault="00ED7A77" w:rsidP="001B28BF">
      <w:pPr>
        <w:ind w:left="0" w:firstLine="0"/>
        <w:jc w:val="both"/>
      </w:pPr>
    </w:p>
    <w:p w:rsidR="00ED7A77" w:rsidRPr="00FA408C" w:rsidRDefault="00ED7A77" w:rsidP="00710068">
      <w:pPr>
        <w:ind w:left="0" w:firstLine="0"/>
        <w:jc w:val="both"/>
      </w:pPr>
      <w:r w:rsidRPr="00FA408C">
        <w:t>Lékovky či lahve jsou uzavřeny vzduchotěsně pryžovými propichovacími zátkami, opatřeny hliníkovými pertlemi a umístěny v papírových kartonech</w:t>
      </w:r>
      <w:r>
        <w:t>, případně v plastové krabičce s víčkem s 10 jamkami</w:t>
      </w:r>
      <w:r w:rsidRPr="00FA408C">
        <w:t>.</w:t>
      </w:r>
    </w:p>
    <w:p w:rsidR="00ED7A77" w:rsidRPr="00FA408C" w:rsidRDefault="00ED7A77" w:rsidP="001B28BF">
      <w:pPr>
        <w:ind w:left="0" w:firstLine="0"/>
        <w:jc w:val="both"/>
      </w:pPr>
    </w:p>
    <w:p w:rsidR="00ED7A77" w:rsidRPr="00FA408C" w:rsidRDefault="00ED7A77" w:rsidP="001B28BF">
      <w:pPr>
        <w:pStyle w:val="Zkladntext3"/>
        <w:ind w:left="0" w:firstLine="0"/>
        <w:rPr>
          <w:b w:val="0"/>
          <w:bCs w:val="0"/>
        </w:rPr>
      </w:pPr>
      <w:r w:rsidRPr="00FA408C">
        <w:rPr>
          <w:b w:val="0"/>
          <w:bCs w:val="0"/>
        </w:rPr>
        <w:t>Příbalová informace je součástí každého balení.</w:t>
      </w:r>
    </w:p>
    <w:p w:rsidR="00ED7A77" w:rsidRPr="00FA408C" w:rsidRDefault="00ED7A77" w:rsidP="001B28BF">
      <w:pPr>
        <w:ind w:left="0" w:firstLine="0"/>
        <w:rPr>
          <w:b/>
          <w:bCs/>
        </w:rPr>
      </w:pPr>
      <w:r w:rsidRPr="00FA408C">
        <w:t>Balení: 1 x 10 ml, 10 x 10 ml, 1 x 50 ml,</w:t>
      </w:r>
      <w:r>
        <w:t xml:space="preserve"> </w:t>
      </w:r>
      <w:r w:rsidRPr="00FA408C">
        <w:t>1 x 100 ml,</w:t>
      </w:r>
      <w:r>
        <w:t xml:space="preserve"> </w:t>
      </w:r>
      <w:r w:rsidRPr="00FA408C">
        <w:t xml:space="preserve">1 x 250 ml </w:t>
      </w:r>
    </w:p>
    <w:p w:rsidR="00ED7A77" w:rsidRDefault="00ED7A77" w:rsidP="005777F9">
      <w:r>
        <w:t>Na trhu nemusí být všechny velikosti balení.</w:t>
      </w:r>
    </w:p>
    <w:p w:rsidR="00ED7A77" w:rsidRDefault="00ED7A77" w:rsidP="007D312F"/>
    <w:p w:rsidR="00ED7A77" w:rsidRDefault="00ED7A77" w:rsidP="005D2E23">
      <w:pPr>
        <w:ind w:right="566"/>
      </w:pPr>
      <w:r>
        <w:t>Pouze pro zvířata.</w:t>
      </w:r>
    </w:p>
    <w:p w:rsidR="00ED7A77" w:rsidRDefault="00ED7A77" w:rsidP="005D2E23">
      <w:pPr>
        <w:ind w:right="566"/>
      </w:pPr>
      <w:r>
        <w:t>Veterinární léčivý přípravek je vydáván pouze na předpis.</w:t>
      </w:r>
    </w:p>
    <w:p w:rsidR="00ED7A77" w:rsidRDefault="00ED7A77" w:rsidP="007D312F"/>
    <w:sectPr w:rsidR="00ED7A77" w:rsidSect="00106F2F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4E" w:rsidRDefault="009B5A4E" w:rsidP="00F0584E">
      <w:r>
        <w:separator/>
      </w:r>
    </w:p>
  </w:endnote>
  <w:endnote w:type="continuationSeparator" w:id="0">
    <w:p w:rsidR="009B5A4E" w:rsidRDefault="009B5A4E" w:rsidP="00F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77" w:rsidRPr="00F52264" w:rsidRDefault="00ED7A77">
    <w:pPr>
      <w:pStyle w:val="Zpat"/>
      <w:tabs>
        <w:tab w:val="clear" w:pos="8930"/>
        <w:tab w:val="right" w:pos="8931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77" w:rsidRDefault="00ED7A77">
    <w:pPr>
      <w:pStyle w:val="Zpat"/>
      <w:tabs>
        <w:tab w:val="clear" w:pos="8930"/>
        <w:tab w:val="right" w:pos="8931"/>
      </w:tabs>
      <w:rPr>
        <w:rFonts w:cs="Times New Roman"/>
      </w:rPr>
    </w:pPr>
  </w:p>
  <w:p w:rsidR="00ED7A77" w:rsidRDefault="00344299">
    <w:pPr>
      <w:pStyle w:val="Zpat"/>
      <w:tabs>
        <w:tab w:val="clear" w:pos="8930"/>
        <w:tab w:val="right" w:pos="8931"/>
      </w:tabs>
      <w:jc w:val="center"/>
      <w:rPr>
        <w:rFonts w:ascii="Times New Roman" w:hAnsi="Times New Roman" w:cs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73F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4E" w:rsidRDefault="009B5A4E" w:rsidP="00F0584E">
      <w:r>
        <w:separator/>
      </w:r>
    </w:p>
  </w:footnote>
  <w:footnote w:type="continuationSeparator" w:id="0">
    <w:p w:rsidR="009B5A4E" w:rsidRDefault="009B5A4E" w:rsidP="00F0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86EF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35332600"/>
    <w:multiLevelType w:val="hybridMultilevel"/>
    <w:tmpl w:val="B01EF76C"/>
    <w:lvl w:ilvl="0" w:tplc="B8C84B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1827DF"/>
    <w:multiLevelType w:val="hybridMultilevel"/>
    <w:tmpl w:val="C34A85C2"/>
    <w:lvl w:ilvl="0" w:tplc="BF40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15C1"/>
    <w:multiLevelType w:val="hybridMultilevel"/>
    <w:tmpl w:val="B4B65E02"/>
    <w:lvl w:ilvl="0" w:tplc="081A081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25E2D"/>
    <w:multiLevelType w:val="multilevel"/>
    <w:tmpl w:val="83B08A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17">
    <w:abstractNumId w:val="3"/>
  </w:num>
  <w:num w:numId="18">
    <w:abstractNumId w:val="2"/>
  </w:num>
  <w:num w:numId="19">
    <w:abstractNumId w:val="4"/>
  </w:num>
  <w:num w:numId="20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1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2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3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4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5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6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7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8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29">
    <w:abstractNumId w:val="3"/>
  </w:num>
  <w:num w:numId="30">
    <w:abstractNumId w:val="2"/>
  </w:num>
  <w:num w:numId="31">
    <w:abstractNumId w:val="4"/>
  </w:num>
  <w:num w:numId="32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3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4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5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6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7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8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39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40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41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42">
    <w:abstractNumId w:val="3"/>
  </w:num>
  <w:num w:numId="43">
    <w:abstractNumId w:val="2"/>
  </w:num>
  <w:num w:numId="44">
    <w:abstractNumId w:val="4"/>
  </w:num>
  <w:num w:numId="45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46">
    <w:abstractNumId w:val="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</w:lvl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12F"/>
    <w:rsid w:val="00011540"/>
    <w:rsid w:val="000253FF"/>
    <w:rsid w:val="000728DD"/>
    <w:rsid w:val="000826D4"/>
    <w:rsid w:val="000A016D"/>
    <w:rsid w:val="000C43BB"/>
    <w:rsid w:val="000E5EB4"/>
    <w:rsid w:val="000E77F1"/>
    <w:rsid w:val="00106F2F"/>
    <w:rsid w:val="001124AA"/>
    <w:rsid w:val="00113EEE"/>
    <w:rsid w:val="001671E6"/>
    <w:rsid w:val="00181CE0"/>
    <w:rsid w:val="00195299"/>
    <w:rsid w:val="001B28BF"/>
    <w:rsid w:val="001E53CD"/>
    <w:rsid w:val="001E589B"/>
    <w:rsid w:val="001F29C0"/>
    <w:rsid w:val="00242FCC"/>
    <w:rsid w:val="00267FE8"/>
    <w:rsid w:val="002A2EEB"/>
    <w:rsid w:val="002C5FC4"/>
    <w:rsid w:val="002D7558"/>
    <w:rsid w:val="002E1F24"/>
    <w:rsid w:val="002E595A"/>
    <w:rsid w:val="00302D74"/>
    <w:rsid w:val="003426AD"/>
    <w:rsid w:val="003426D5"/>
    <w:rsid w:val="00344299"/>
    <w:rsid w:val="003A08D3"/>
    <w:rsid w:val="003A1FC7"/>
    <w:rsid w:val="003B75C4"/>
    <w:rsid w:val="003D4E80"/>
    <w:rsid w:val="003F1532"/>
    <w:rsid w:val="003F28AF"/>
    <w:rsid w:val="003F76CB"/>
    <w:rsid w:val="00410932"/>
    <w:rsid w:val="004215E6"/>
    <w:rsid w:val="00422E4C"/>
    <w:rsid w:val="0042765C"/>
    <w:rsid w:val="00443ABA"/>
    <w:rsid w:val="004914D4"/>
    <w:rsid w:val="00492089"/>
    <w:rsid w:val="004E6B85"/>
    <w:rsid w:val="00562D2D"/>
    <w:rsid w:val="00564167"/>
    <w:rsid w:val="005777F9"/>
    <w:rsid w:val="00586189"/>
    <w:rsid w:val="005933E3"/>
    <w:rsid w:val="005A55DA"/>
    <w:rsid w:val="005A581B"/>
    <w:rsid w:val="005B11B2"/>
    <w:rsid w:val="005C2293"/>
    <w:rsid w:val="005D2E23"/>
    <w:rsid w:val="005E6B28"/>
    <w:rsid w:val="005E787B"/>
    <w:rsid w:val="005F41D7"/>
    <w:rsid w:val="006144C6"/>
    <w:rsid w:val="006337AE"/>
    <w:rsid w:val="00636D4D"/>
    <w:rsid w:val="00643780"/>
    <w:rsid w:val="00645E7E"/>
    <w:rsid w:val="006549F9"/>
    <w:rsid w:val="00672B99"/>
    <w:rsid w:val="00676036"/>
    <w:rsid w:val="006902FF"/>
    <w:rsid w:val="006970E4"/>
    <w:rsid w:val="006B40AE"/>
    <w:rsid w:val="006B41A9"/>
    <w:rsid w:val="006B6B75"/>
    <w:rsid w:val="006F24E1"/>
    <w:rsid w:val="00710068"/>
    <w:rsid w:val="0071463B"/>
    <w:rsid w:val="00730067"/>
    <w:rsid w:val="007A4191"/>
    <w:rsid w:val="007A7923"/>
    <w:rsid w:val="007B0BC7"/>
    <w:rsid w:val="007B6F1C"/>
    <w:rsid w:val="007D312F"/>
    <w:rsid w:val="008108EC"/>
    <w:rsid w:val="00813FC5"/>
    <w:rsid w:val="00843F24"/>
    <w:rsid w:val="00851779"/>
    <w:rsid w:val="008636B3"/>
    <w:rsid w:val="00865DB1"/>
    <w:rsid w:val="0088601F"/>
    <w:rsid w:val="008979F1"/>
    <w:rsid w:val="008B4813"/>
    <w:rsid w:val="008E0907"/>
    <w:rsid w:val="00901EBF"/>
    <w:rsid w:val="009103B2"/>
    <w:rsid w:val="0093421C"/>
    <w:rsid w:val="00937249"/>
    <w:rsid w:val="0093769C"/>
    <w:rsid w:val="00947209"/>
    <w:rsid w:val="00955797"/>
    <w:rsid w:val="00977DAA"/>
    <w:rsid w:val="009909FE"/>
    <w:rsid w:val="00996662"/>
    <w:rsid w:val="009A7421"/>
    <w:rsid w:val="009B370E"/>
    <w:rsid w:val="009B5A4E"/>
    <w:rsid w:val="009C6A57"/>
    <w:rsid w:val="009E0F24"/>
    <w:rsid w:val="009F181B"/>
    <w:rsid w:val="00A00F51"/>
    <w:rsid w:val="00A27A88"/>
    <w:rsid w:val="00A6189A"/>
    <w:rsid w:val="00A80FE0"/>
    <w:rsid w:val="00AB589C"/>
    <w:rsid w:val="00AE7FF6"/>
    <w:rsid w:val="00AF36BA"/>
    <w:rsid w:val="00B166CD"/>
    <w:rsid w:val="00B171D0"/>
    <w:rsid w:val="00B43D16"/>
    <w:rsid w:val="00B61C84"/>
    <w:rsid w:val="00B724E7"/>
    <w:rsid w:val="00BF017E"/>
    <w:rsid w:val="00C15E53"/>
    <w:rsid w:val="00C46551"/>
    <w:rsid w:val="00C51429"/>
    <w:rsid w:val="00CB0642"/>
    <w:rsid w:val="00CB3B3A"/>
    <w:rsid w:val="00CC28C3"/>
    <w:rsid w:val="00D33827"/>
    <w:rsid w:val="00D50643"/>
    <w:rsid w:val="00D5187C"/>
    <w:rsid w:val="00D83B05"/>
    <w:rsid w:val="00DA29B8"/>
    <w:rsid w:val="00DD1B24"/>
    <w:rsid w:val="00DE5496"/>
    <w:rsid w:val="00E40FD0"/>
    <w:rsid w:val="00E477F7"/>
    <w:rsid w:val="00E47AF3"/>
    <w:rsid w:val="00E73FD5"/>
    <w:rsid w:val="00E97299"/>
    <w:rsid w:val="00ED7A77"/>
    <w:rsid w:val="00EF32E8"/>
    <w:rsid w:val="00EF4955"/>
    <w:rsid w:val="00F0584E"/>
    <w:rsid w:val="00F22F62"/>
    <w:rsid w:val="00F52264"/>
    <w:rsid w:val="00F65035"/>
    <w:rsid w:val="00F73BB6"/>
    <w:rsid w:val="00F769C3"/>
    <w:rsid w:val="00F838E7"/>
    <w:rsid w:val="00F91B13"/>
    <w:rsid w:val="00FA408C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12F"/>
    <w:pPr>
      <w:ind w:left="567" w:hanging="56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A55DA"/>
    <w:pPr>
      <w:keepNext/>
      <w:numPr>
        <w:numId w:val="32"/>
      </w:numPr>
      <w:spacing w:before="240" w:after="120" w:line="360" w:lineRule="auto"/>
      <w:jc w:val="both"/>
      <w:outlineLvl w:val="0"/>
    </w:pPr>
    <w:rPr>
      <w:rFonts w:eastAsia="Calibri"/>
      <w:b/>
      <w:bCs/>
      <w:caps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5A55DA"/>
    <w:pPr>
      <w:keepNext/>
      <w:keepLines/>
      <w:numPr>
        <w:ilvl w:val="1"/>
        <w:numId w:val="32"/>
      </w:numPr>
      <w:spacing w:before="360" w:after="60" w:line="360" w:lineRule="auto"/>
      <w:jc w:val="both"/>
      <w:outlineLvl w:val="1"/>
    </w:pPr>
    <w:rPr>
      <w:b/>
      <w:bCs/>
      <w:color w:val="000000"/>
      <w:lang w:eastAsia="cs-CZ"/>
    </w:rPr>
  </w:style>
  <w:style w:type="paragraph" w:styleId="Nadpis3">
    <w:name w:val="heading 3"/>
    <w:aliases w:val="Nadpis 3-tabulky"/>
    <w:basedOn w:val="Normln"/>
    <w:next w:val="Normln"/>
    <w:link w:val="Nadpis3Char"/>
    <w:uiPriority w:val="99"/>
    <w:qFormat/>
    <w:rsid w:val="005A55DA"/>
    <w:pPr>
      <w:keepNext/>
      <w:keepLines/>
      <w:numPr>
        <w:ilvl w:val="2"/>
        <w:numId w:val="32"/>
      </w:numPr>
      <w:tabs>
        <w:tab w:val="left" w:pos="709"/>
      </w:tabs>
      <w:spacing w:before="200" w:after="60" w:line="360" w:lineRule="auto"/>
      <w:jc w:val="both"/>
      <w:outlineLvl w:val="2"/>
    </w:pPr>
    <w:rPr>
      <w:rFonts w:eastAsia="Calibri"/>
      <w:b/>
      <w:bCs/>
      <w:lang w:val="pl-PL"/>
    </w:rPr>
  </w:style>
  <w:style w:type="paragraph" w:styleId="Nadpis4">
    <w:name w:val="heading 4"/>
    <w:basedOn w:val="Normln"/>
    <w:next w:val="Normln"/>
    <w:link w:val="Nadpis4Char"/>
    <w:uiPriority w:val="99"/>
    <w:qFormat/>
    <w:rsid w:val="005A55DA"/>
    <w:pPr>
      <w:keepNext/>
      <w:keepLines/>
      <w:numPr>
        <w:ilvl w:val="3"/>
        <w:numId w:val="32"/>
      </w:numPr>
      <w:tabs>
        <w:tab w:val="left" w:pos="454"/>
      </w:tabs>
      <w:spacing w:before="200" w:after="60" w:line="360" w:lineRule="auto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5A55DA"/>
    <w:pPr>
      <w:keepNext/>
      <w:keepLines/>
      <w:numPr>
        <w:ilvl w:val="4"/>
        <w:numId w:val="32"/>
      </w:numPr>
      <w:spacing w:before="240" w:line="360" w:lineRule="auto"/>
      <w:jc w:val="both"/>
      <w:outlineLvl w:val="4"/>
    </w:pPr>
    <w:rPr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5A55DA"/>
    <w:pPr>
      <w:keepNext/>
      <w:keepLines/>
      <w:numPr>
        <w:ilvl w:val="5"/>
        <w:numId w:val="32"/>
      </w:numPr>
      <w:spacing w:before="120" w:line="360" w:lineRule="auto"/>
      <w:jc w:val="both"/>
      <w:outlineLvl w:val="5"/>
    </w:pPr>
    <w:rPr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5A55DA"/>
    <w:pPr>
      <w:keepNext/>
      <w:keepLines/>
      <w:numPr>
        <w:ilvl w:val="6"/>
        <w:numId w:val="32"/>
      </w:numPr>
      <w:spacing w:before="200" w:line="360" w:lineRule="auto"/>
      <w:jc w:val="both"/>
      <w:outlineLvl w:val="6"/>
    </w:pPr>
    <w:rPr>
      <w:rFonts w:ascii="Cambria" w:hAnsi="Cambria" w:cs="Cambria"/>
      <w:i/>
      <w:iCs/>
      <w:color w:val="40404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5A55DA"/>
    <w:pPr>
      <w:keepNext/>
      <w:keepLines/>
      <w:numPr>
        <w:ilvl w:val="7"/>
        <w:numId w:val="32"/>
      </w:numPr>
      <w:spacing w:before="200" w:line="360" w:lineRule="auto"/>
      <w:jc w:val="both"/>
      <w:outlineLvl w:val="7"/>
    </w:pPr>
    <w:rPr>
      <w:rFonts w:ascii="Cambria" w:hAnsi="Cambria" w:cs="Cambria"/>
      <w:color w:val="404040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rsid w:val="005A55DA"/>
    <w:pPr>
      <w:keepNext/>
      <w:keepLines/>
      <w:numPr>
        <w:ilvl w:val="8"/>
        <w:numId w:val="32"/>
      </w:numPr>
      <w:spacing w:before="200" w:line="360" w:lineRule="auto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55DA"/>
    <w:rPr>
      <w:rFonts w:ascii="Times New Roman" w:hAnsi="Times New Roman" w:cs="Times New Roman"/>
      <w:b/>
      <w:bCs/>
      <w:caps/>
      <w:sz w:val="24"/>
      <w:szCs w:val="24"/>
      <w:lang w:val="en-GB" w:eastAsia="en-GB"/>
    </w:rPr>
  </w:style>
  <w:style w:type="character" w:customStyle="1" w:styleId="Nadpis2Char">
    <w:name w:val="Nadpis 2 Char"/>
    <w:link w:val="Nadpis2"/>
    <w:uiPriority w:val="99"/>
    <w:locked/>
    <w:rsid w:val="009966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aliases w:val="Nadpis 3-tabulky Char"/>
    <w:link w:val="Nadpis3"/>
    <w:uiPriority w:val="99"/>
    <w:locked/>
    <w:rsid w:val="00996662"/>
    <w:rPr>
      <w:rFonts w:ascii="Times New Roman" w:hAnsi="Times New Roman" w:cs="Times New Roman"/>
      <w:b/>
      <w:bCs/>
      <w:sz w:val="22"/>
      <w:szCs w:val="22"/>
      <w:lang w:val="pl-PL" w:eastAsia="en-US"/>
    </w:rPr>
  </w:style>
  <w:style w:type="character" w:customStyle="1" w:styleId="Nadpis4Char">
    <w:name w:val="Nadpis 4 Char"/>
    <w:link w:val="Nadpis4"/>
    <w:uiPriority w:val="99"/>
    <w:locked/>
    <w:rsid w:val="00996662"/>
    <w:rPr>
      <w:rFonts w:ascii="Times New Roman" w:hAnsi="Times New Roman" w:cs="Times New Roman"/>
      <w:b/>
      <w:bCs/>
      <w:sz w:val="22"/>
      <w:szCs w:val="22"/>
      <w:lang w:val="en-GB" w:eastAsia="en-US"/>
    </w:rPr>
  </w:style>
  <w:style w:type="character" w:customStyle="1" w:styleId="Nadpis5Char">
    <w:name w:val="Nadpis 5 Char"/>
    <w:link w:val="Nadpis5"/>
    <w:uiPriority w:val="99"/>
    <w:locked/>
    <w:rsid w:val="00996662"/>
    <w:rPr>
      <w:rFonts w:ascii="Times New Roman" w:hAnsi="Times New Roman" w:cs="Times New Roman"/>
      <w:sz w:val="22"/>
      <w:szCs w:val="22"/>
      <w:lang w:val="en-GB" w:eastAsia="en-US"/>
    </w:rPr>
  </w:style>
  <w:style w:type="character" w:customStyle="1" w:styleId="Nadpis6Char">
    <w:name w:val="Nadpis 6 Char"/>
    <w:link w:val="Nadpis6"/>
    <w:uiPriority w:val="99"/>
    <w:locked/>
    <w:rsid w:val="00996662"/>
    <w:rPr>
      <w:rFonts w:ascii="Times New Roman" w:hAnsi="Times New Roman" w:cs="Times New Roman"/>
      <w:sz w:val="22"/>
      <w:szCs w:val="22"/>
      <w:lang w:val="en-GB" w:eastAsia="en-US"/>
    </w:rPr>
  </w:style>
  <w:style w:type="character" w:customStyle="1" w:styleId="Nadpis7Char">
    <w:name w:val="Nadpis 7 Char"/>
    <w:link w:val="Nadpis7"/>
    <w:uiPriority w:val="99"/>
    <w:semiHidden/>
    <w:locked/>
    <w:rsid w:val="00996662"/>
    <w:rPr>
      <w:rFonts w:ascii="Cambria" w:hAnsi="Cambria" w:cs="Cambria"/>
      <w:i/>
      <w:iCs/>
      <w:color w:val="404040"/>
      <w:sz w:val="22"/>
      <w:szCs w:val="22"/>
      <w:lang w:val="en-GB" w:eastAsia="en-US"/>
    </w:rPr>
  </w:style>
  <w:style w:type="character" w:customStyle="1" w:styleId="Nadpis8Char">
    <w:name w:val="Nadpis 8 Char"/>
    <w:link w:val="Nadpis8"/>
    <w:uiPriority w:val="99"/>
    <w:semiHidden/>
    <w:locked/>
    <w:rsid w:val="00996662"/>
    <w:rPr>
      <w:rFonts w:ascii="Cambria" w:hAnsi="Cambria" w:cs="Cambria"/>
      <w:color w:val="404040"/>
      <w:lang w:val="en-GB" w:eastAsia="en-US"/>
    </w:rPr>
  </w:style>
  <w:style w:type="character" w:customStyle="1" w:styleId="Nadpis9Char">
    <w:name w:val="Nadpis 9 Char"/>
    <w:link w:val="Nadpis9"/>
    <w:uiPriority w:val="99"/>
    <w:semiHidden/>
    <w:locked/>
    <w:rsid w:val="00996662"/>
    <w:rPr>
      <w:rFonts w:ascii="Cambria" w:hAnsi="Cambria" w:cs="Cambria"/>
      <w:i/>
      <w:iCs/>
      <w:color w:val="404040"/>
      <w:lang w:val="en-GB" w:eastAsia="en-US"/>
    </w:rPr>
  </w:style>
  <w:style w:type="paragraph" w:styleId="slovanseznam">
    <w:name w:val="List Number"/>
    <w:basedOn w:val="Normln"/>
    <w:uiPriority w:val="99"/>
    <w:semiHidden/>
    <w:rsid w:val="005E6B28"/>
    <w:pPr>
      <w:numPr>
        <w:numId w:val="2"/>
      </w:numPr>
      <w:spacing w:before="80" w:after="60" w:line="360" w:lineRule="auto"/>
      <w:jc w:val="both"/>
    </w:pPr>
    <w:rPr>
      <w:rFonts w:eastAsia="Calibri"/>
      <w:lang w:val="en-GB"/>
    </w:rPr>
  </w:style>
  <w:style w:type="paragraph" w:styleId="Podtitul">
    <w:name w:val="Subtitle"/>
    <w:aliases w:val="a,b,c"/>
    <w:basedOn w:val="Normln"/>
    <w:next w:val="Normln"/>
    <w:link w:val="PodtitulChar"/>
    <w:uiPriority w:val="99"/>
    <w:qFormat/>
    <w:rsid w:val="00996662"/>
    <w:pPr>
      <w:tabs>
        <w:tab w:val="left" w:pos="851"/>
      </w:tabs>
      <w:spacing w:before="80" w:after="60" w:line="360" w:lineRule="auto"/>
      <w:ind w:left="720" w:hanging="360"/>
      <w:jc w:val="both"/>
      <w:outlineLvl w:val="1"/>
    </w:pPr>
    <w:rPr>
      <w:lang w:val="pl-PL"/>
    </w:rPr>
  </w:style>
  <w:style w:type="character" w:customStyle="1" w:styleId="PodtitulChar">
    <w:name w:val="Podtitul Char"/>
    <w:aliases w:val="a Char,b Char,c Char"/>
    <w:link w:val="Podtitul"/>
    <w:uiPriority w:val="99"/>
    <w:locked/>
    <w:rsid w:val="00996662"/>
    <w:rPr>
      <w:rFonts w:ascii="Times New Roman" w:hAnsi="Times New Roman" w:cs="Times New Roman"/>
      <w:lang w:val="pl-PL" w:eastAsia="en-US"/>
    </w:rPr>
  </w:style>
  <w:style w:type="paragraph" w:styleId="Bezmezer">
    <w:name w:val="No Spacing"/>
    <w:aliases w:val="výpln tabulky"/>
    <w:basedOn w:val="slovanseznam"/>
    <w:link w:val="BezmezerChar"/>
    <w:uiPriority w:val="99"/>
    <w:qFormat/>
    <w:rsid w:val="00996662"/>
    <w:pPr>
      <w:numPr>
        <w:numId w:val="0"/>
      </w:numPr>
      <w:spacing w:after="0" w:line="240" w:lineRule="auto"/>
    </w:pPr>
  </w:style>
  <w:style w:type="paragraph" w:customStyle="1" w:styleId="odrky">
    <w:name w:val="odrážky"/>
    <w:basedOn w:val="Bezmezer"/>
    <w:link w:val="odrkyChar"/>
    <w:uiPriority w:val="99"/>
    <w:rsid w:val="00996662"/>
    <w:pPr>
      <w:spacing w:before="40" w:after="40"/>
      <w:ind w:left="720" w:hanging="360"/>
    </w:pPr>
  </w:style>
  <w:style w:type="character" w:styleId="Nzevknihy">
    <w:name w:val="Book Title"/>
    <w:aliases w:val="Názevtabulky"/>
    <w:uiPriority w:val="99"/>
    <w:qFormat/>
    <w:rsid w:val="00996662"/>
    <w:rPr>
      <w:rFonts w:ascii="Times New Roman" w:hAnsi="Times New Roman" w:cs="Times New Roman"/>
      <w:b/>
      <w:bCs/>
      <w:color w:val="auto"/>
      <w:spacing w:val="5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996662"/>
    <w:pPr>
      <w:spacing w:before="80" w:after="60" w:line="360" w:lineRule="auto"/>
      <w:ind w:left="720" w:firstLine="0"/>
      <w:jc w:val="both"/>
    </w:pPr>
    <w:rPr>
      <w:rFonts w:ascii="Calibri" w:eastAsia="Calibri" w:hAnsi="Calibri" w:cs="Calibri"/>
      <w:lang w:val="pl-PL"/>
    </w:rPr>
  </w:style>
  <w:style w:type="paragraph" w:styleId="Nadpisobsahu">
    <w:name w:val="TOC Heading"/>
    <w:basedOn w:val="Nadpis1"/>
    <w:next w:val="Normln"/>
    <w:uiPriority w:val="99"/>
    <w:qFormat/>
    <w:rsid w:val="00996662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  <w:lang w:val="pl-PL"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996662"/>
    <w:rPr>
      <w:sz w:val="22"/>
      <w:szCs w:val="22"/>
      <w:lang w:val="pl-PL" w:eastAsia="en-US"/>
    </w:rPr>
  </w:style>
  <w:style w:type="paragraph" w:customStyle="1" w:styleId="slovannadpis">
    <w:name w:val="číslovaný nadpis"/>
    <w:basedOn w:val="Odstavecseseznamem"/>
    <w:uiPriority w:val="99"/>
    <w:rsid w:val="00996662"/>
    <w:pPr>
      <w:ind w:left="360" w:hanging="360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odsazenodstavec">
    <w:name w:val="odsazený odstavec"/>
    <w:basedOn w:val="Odstavecseseznamem"/>
    <w:link w:val="odsazenodstavecChar"/>
    <w:uiPriority w:val="99"/>
    <w:rsid w:val="00996662"/>
    <w:pPr>
      <w:ind w:left="709"/>
    </w:pPr>
    <w:rPr>
      <w:rFonts w:ascii="Times New Roman" w:hAnsi="Times New Roman" w:cs="Times New Roman"/>
    </w:rPr>
  </w:style>
  <w:style w:type="character" w:customStyle="1" w:styleId="odsazenodstavecChar">
    <w:name w:val="odsazený odstavec Char"/>
    <w:link w:val="odsazenodstavec"/>
    <w:uiPriority w:val="99"/>
    <w:locked/>
    <w:rsid w:val="00996662"/>
    <w:rPr>
      <w:rFonts w:ascii="Times New Roman" w:hAnsi="Times New Roman" w:cs="Times New Roman"/>
      <w:sz w:val="22"/>
      <w:szCs w:val="22"/>
      <w:lang w:val="pl-PL"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96662"/>
    <w:pPr>
      <w:spacing w:before="80" w:after="60" w:line="360" w:lineRule="auto"/>
      <w:ind w:left="0" w:firstLine="0"/>
      <w:jc w:val="both"/>
    </w:pPr>
    <w:rPr>
      <w:rFonts w:eastAsia="Calibri"/>
      <w:i/>
      <w:iCs/>
      <w:color w:val="000000"/>
      <w:lang w:val="en-GB"/>
    </w:rPr>
  </w:style>
  <w:style w:type="character" w:customStyle="1" w:styleId="CittChar">
    <w:name w:val="Citát Char"/>
    <w:link w:val="Citt"/>
    <w:uiPriority w:val="99"/>
    <w:locked/>
    <w:rsid w:val="00996662"/>
    <w:rPr>
      <w:rFonts w:ascii="Times New Roman" w:hAnsi="Times New Roman" w:cs="Times New Roman"/>
      <w:i/>
      <w:iCs/>
      <w:color w:val="000000"/>
      <w:sz w:val="22"/>
      <w:szCs w:val="22"/>
      <w:lang w:val="en-GB" w:eastAsia="en-US"/>
    </w:rPr>
  </w:style>
  <w:style w:type="character" w:styleId="Siln">
    <w:name w:val="Strong"/>
    <w:uiPriority w:val="99"/>
    <w:qFormat/>
    <w:rsid w:val="00996662"/>
    <w:rPr>
      <w:b/>
      <w:bCs/>
    </w:rPr>
  </w:style>
  <w:style w:type="character" w:customStyle="1" w:styleId="BezmezerChar">
    <w:name w:val="Bez mezer Char"/>
    <w:aliases w:val="výpln tabulky Char"/>
    <w:link w:val="Bezmezer"/>
    <w:uiPriority w:val="99"/>
    <w:locked/>
    <w:rsid w:val="00996662"/>
    <w:rPr>
      <w:rFonts w:ascii="Times New Roman" w:hAnsi="Times New Roman" w:cs="Times New Roman"/>
      <w:sz w:val="22"/>
      <w:szCs w:val="22"/>
      <w:lang w:val="en-GB" w:eastAsia="en-US"/>
    </w:rPr>
  </w:style>
  <w:style w:type="character" w:styleId="Zdraznnintenzivn">
    <w:name w:val="Intense Emphasis"/>
    <w:uiPriority w:val="99"/>
    <w:qFormat/>
    <w:rsid w:val="00996662"/>
    <w:rPr>
      <w:b/>
      <w:bCs/>
      <w:i/>
      <w:iCs/>
      <w:color w:val="auto"/>
    </w:rPr>
  </w:style>
  <w:style w:type="character" w:customStyle="1" w:styleId="odrkyChar">
    <w:name w:val="odrážky Char"/>
    <w:link w:val="odrky"/>
    <w:uiPriority w:val="99"/>
    <w:locked/>
    <w:rsid w:val="00996662"/>
    <w:rPr>
      <w:rFonts w:ascii="Times New Roman" w:hAnsi="Times New Roman" w:cs="Times New Roman"/>
      <w:sz w:val="22"/>
      <w:szCs w:val="22"/>
      <w:lang w:val="en-GB" w:eastAsia="en-US"/>
    </w:rPr>
  </w:style>
  <w:style w:type="paragraph" w:styleId="Nzev">
    <w:name w:val="Title"/>
    <w:basedOn w:val="Normln"/>
    <w:link w:val="NzevChar"/>
    <w:uiPriority w:val="99"/>
    <w:qFormat/>
    <w:rsid w:val="00996662"/>
    <w:pPr>
      <w:spacing w:line="360" w:lineRule="auto"/>
      <w:ind w:left="0" w:firstLine="0"/>
      <w:jc w:val="center"/>
    </w:pPr>
    <w:rPr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locked/>
    <w:rsid w:val="00996662"/>
    <w:rPr>
      <w:rFonts w:ascii="Times New Roman" w:hAnsi="Times New Roman" w:cs="Times New Roman"/>
      <w:b/>
      <w:bCs/>
      <w:sz w:val="24"/>
      <w:szCs w:val="24"/>
    </w:rPr>
  </w:style>
  <w:style w:type="character" w:styleId="Zvraznn">
    <w:name w:val="Emphasis"/>
    <w:uiPriority w:val="99"/>
    <w:qFormat/>
    <w:rsid w:val="00996662"/>
    <w:rPr>
      <w:i/>
      <w:iCs/>
    </w:rPr>
  </w:style>
  <w:style w:type="paragraph" w:styleId="Titulek">
    <w:name w:val="caption"/>
    <w:basedOn w:val="Normln"/>
    <w:next w:val="Normln"/>
    <w:uiPriority w:val="99"/>
    <w:qFormat/>
    <w:rsid w:val="00996662"/>
    <w:pPr>
      <w:spacing w:before="200" w:after="120"/>
      <w:ind w:left="0" w:firstLine="0"/>
      <w:jc w:val="both"/>
    </w:pPr>
    <w:rPr>
      <w:rFonts w:eastAsia="Calibri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7D312F"/>
    <w:pPr>
      <w:tabs>
        <w:tab w:val="center" w:pos="4153"/>
        <w:tab w:val="right" w:pos="8306"/>
      </w:tabs>
    </w:pPr>
    <w:rPr>
      <w:rFonts w:ascii="Helvetica" w:hAnsi="Helvetica" w:cs="Helvetica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7D312F"/>
    <w:rPr>
      <w:rFonts w:ascii="Helvetica" w:hAnsi="Helvetica" w:cs="Helvetica"/>
      <w:lang w:eastAsia="en-US"/>
    </w:rPr>
  </w:style>
  <w:style w:type="paragraph" w:styleId="Zpat">
    <w:name w:val="footer"/>
    <w:basedOn w:val="Normln"/>
    <w:link w:val="ZpatChar"/>
    <w:uiPriority w:val="99"/>
    <w:rsid w:val="007D312F"/>
    <w:pPr>
      <w:tabs>
        <w:tab w:val="center" w:pos="4536"/>
        <w:tab w:val="center" w:pos="8930"/>
      </w:tabs>
    </w:pPr>
    <w:rPr>
      <w:rFonts w:ascii="Helvetica" w:hAnsi="Helvetica" w:cs="Helvetica"/>
      <w:sz w:val="16"/>
      <w:szCs w:val="16"/>
    </w:rPr>
  </w:style>
  <w:style w:type="character" w:customStyle="1" w:styleId="ZpatChar">
    <w:name w:val="Zápatí Char"/>
    <w:link w:val="Zpat"/>
    <w:uiPriority w:val="99"/>
    <w:locked/>
    <w:rsid w:val="007D312F"/>
    <w:rPr>
      <w:rFonts w:ascii="Helvetica" w:hAnsi="Helvetica" w:cs="Helvetica"/>
      <w:sz w:val="16"/>
      <w:szCs w:val="16"/>
      <w:lang w:eastAsia="en-US"/>
    </w:rPr>
  </w:style>
  <w:style w:type="character" w:styleId="Hypertextovodkaz">
    <w:name w:val="Hyperlink"/>
    <w:uiPriority w:val="99"/>
    <w:rsid w:val="007D312F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7D312F"/>
    <w:pPr>
      <w:ind w:right="113"/>
      <w:jc w:val="both"/>
    </w:pPr>
    <w:rPr>
      <w:b/>
      <w:bCs/>
    </w:rPr>
  </w:style>
  <w:style w:type="character" w:customStyle="1" w:styleId="Zkladntext3Char">
    <w:name w:val="Základní text 3 Char"/>
    <w:link w:val="Zkladntext3"/>
    <w:uiPriority w:val="99"/>
    <w:locked/>
    <w:rsid w:val="007D312F"/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BF01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BF017E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Header1">
    <w:name w:val="AHeader 1"/>
    <w:basedOn w:val="Normln"/>
    <w:uiPriority w:val="99"/>
    <w:rsid w:val="00410932"/>
    <w:pPr>
      <w:numPr>
        <w:numId w:val="47"/>
      </w:numPr>
      <w:spacing w:after="120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AHeader2">
    <w:name w:val="AHeader 2"/>
    <w:basedOn w:val="AHeader1"/>
    <w:uiPriority w:val="99"/>
    <w:rsid w:val="00410932"/>
    <w:pPr>
      <w:numPr>
        <w:ilvl w:val="1"/>
      </w:numPr>
      <w:tabs>
        <w:tab w:val="clear" w:pos="709"/>
        <w:tab w:val="num" w:pos="1440"/>
      </w:tabs>
      <w:ind w:left="1440" w:hanging="360"/>
    </w:pPr>
    <w:rPr>
      <w:sz w:val="22"/>
      <w:szCs w:val="22"/>
    </w:rPr>
  </w:style>
  <w:style w:type="paragraph" w:customStyle="1" w:styleId="AHeader3">
    <w:name w:val="AHeader 3"/>
    <w:basedOn w:val="AHeader2"/>
    <w:uiPriority w:val="99"/>
    <w:rsid w:val="00410932"/>
    <w:pPr>
      <w:numPr>
        <w:ilvl w:val="2"/>
      </w:numPr>
      <w:tabs>
        <w:tab w:val="clear" w:pos="1276"/>
        <w:tab w:val="num" w:pos="2160"/>
      </w:tabs>
      <w:ind w:left="2160" w:hanging="720"/>
    </w:pPr>
  </w:style>
  <w:style w:type="paragraph" w:customStyle="1" w:styleId="AHeader2abc">
    <w:name w:val="AHeader 2 abc"/>
    <w:basedOn w:val="AHeader3"/>
    <w:uiPriority w:val="99"/>
    <w:rsid w:val="00410932"/>
    <w:pPr>
      <w:numPr>
        <w:ilvl w:val="3"/>
      </w:numPr>
      <w:tabs>
        <w:tab w:val="clear" w:pos="1276"/>
        <w:tab w:val="num" w:pos="2880"/>
      </w:tabs>
      <w:ind w:left="2880" w:hanging="864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410932"/>
    <w:pPr>
      <w:numPr>
        <w:ilvl w:val="4"/>
      </w:numPr>
      <w:tabs>
        <w:tab w:val="clear" w:pos="1701"/>
        <w:tab w:val="num" w:pos="3600"/>
      </w:tabs>
      <w:ind w:left="3600" w:hanging="1008"/>
    </w:pPr>
  </w:style>
  <w:style w:type="paragraph" w:styleId="Textbubliny">
    <w:name w:val="Balloon Text"/>
    <w:basedOn w:val="Normln"/>
    <w:link w:val="TextbublinyChar"/>
    <w:uiPriority w:val="99"/>
    <w:semiHidden/>
    <w:rsid w:val="003F7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5177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pc1">
    <w:name w:val="spc1"/>
    <w:basedOn w:val="Normln"/>
    <w:rsid w:val="00A6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</w:pPr>
    <w:rPr>
      <w:rFonts w:eastAsia="MS Mincho"/>
      <w:b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biovet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USKVBL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pustova.hana</dc:creator>
  <cp:lastModifiedBy>Šťastná Hana</cp:lastModifiedBy>
  <cp:revision>4</cp:revision>
  <cp:lastPrinted>2016-09-21T07:51:00Z</cp:lastPrinted>
  <dcterms:created xsi:type="dcterms:W3CDTF">2016-08-26T08:04:00Z</dcterms:created>
  <dcterms:modified xsi:type="dcterms:W3CDTF">2016-09-21T07:51:00Z</dcterms:modified>
</cp:coreProperties>
</file>