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273FA6" w:rsidP="0029137E">
      <w:pPr>
        <w:pStyle w:val="Style1"/>
        <w:jc w:val="both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906BB1F" w14:textId="7B907336" w:rsidR="00C114FF" w:rsidRPr="00B41D57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Solacyl 1000 mg/g prášek pro podání v pitné vodě pro krůty</w:t>
      </w:r>
    </w:p>
    <w:p w14:paraId="7245778A" w14:textId="0CA84573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7CF77D" w14:textId="77777777" w:rsidR="0029137E" w:rsidRPr="00B41D57" w:rsidRDefault="0029137E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07DCD2" w14:textId="77777777" w:rsidR="00C114FF" w:rsidRPr="00B41D57" w:rsidRDefault="00273FA6" w:rsidP="0029137E">
      <w:pPr>
        <w:pStyle w:val="Style1"/>
        <w:jc w:val="both"/>
      </w:pPr>
      <w:r w:rsidRPr="00B41D57">
        <w:t>2.</w:t>
      </w:r>
      <w:r w:rsidRPr="00B41D57">
        <w:tab/>
        <w:t>KVALITATIVNÍ A KVANTITATIVNÍ SLOŽENÍ</w:t>
      </w:r>
    </w:p>
    <w:p w14:paraId="44D747D4" w14:textId="77777777" w:rsidR="00322B2C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EB6D61" w14:textId="7FE0241A" w:rsidR="00322B2C" w:rsidRDefault="00322B2C" w:rsidP="0029137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bookmarkStart w:id="0" w:name="_Hlk106045034"/>
      <w:r>
        <w:rPr>
          <w:szCs w:val="22"/>
          <w:u w:val="single"/>
        </w:rPr>
        <w:t>K</w:t>
      </w:r>
      <w:r w:rsidRPr="00D644BA">
        <w:rPr>
          <w:szCs w:val="22"/>
          <w:u w:val="single"/>
        </w:rPr>
        <w:t>aždý</w:t>
      </w:r>
      <w:bookmarkEnd w:id="0"/>
      <w:r w:rsidRPr="00EA3740">
        <w:rPr>
          <w:szCs w:val="22"/>
          <w:u w:val="single"/>
        </w:rPr>
        <w:t xml:space="preserve"> g obsahuje:</w:t>
      </w:r>
    </w:p>
    <w:p w14:paraId="54D5E797" w14:textId="77777777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668A2BBB" w14:textId="7D10EA0B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41D57">
        <w:rPr>
          <w:b/>
          <w:szCs w:val="22"/>
        </w:rPr>
        <w:t>Léčivá látka:</w:t>
      </w:r>
    </w:p>
    <w:p w14:paraId="5EA1DA77" w14:textId="4DD55AC0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bCs/>
          <w:iCs/>
          <w:szCs w:val="22"/>
        </w:rPr>
      </w:pPr>
      <w:bookmarkStart w:id="1" w:name="_Hlk106045187"/>
      <w:r w:rsidRPr="00EA3740">
        <w:rPr>
          <w:szCs w:val="22"/>
        </w:rPr>
        <w:t xml:space="preserve">Natrii </w:t>
      </w:r>
      <w:proofErr w:type="spellStart"/>
      <w:r w:rsidRPr="00EA3740">
        <w:rPr>
          <w:szCs w:val="22"/>
        </w:rPr>
        <w:t>salicylas</w:t>
      </w:r>
      <w:bookmarkEnd w:id="1"/>
      <w:proofErr w:type="spellEnd"/>
      <w:r w:rsidRPr="00EA3740">
        <w:rPr>
          <w:szCs w:val="22"/>
        </w:rPr>
        <w:t xml:space="preserve"> 1000 mg,</w:t>
      </w:r>
      <w:r w:rsidR="00D875DB">
        <w:rPr>
          <w:iCs/>
          <w:szCs w:val="22"/>
        </w:rPr>
        <w:t xml:space="preserve"> </w:t>
      </w:r>
      <w:bookmarkStart w:id="2" w:name="_Hlk142469818"/>
      <w:r w:rsidR="00D875DB">
        <w:rPr>
          <w:iCs/>
          <w:szCs w:val="22"/>
        </w:rPr>
        <w:t xml:space="preserve">odpovídá </w:t>
      </w:r>
      <w:proofErr w:type="spellStart"/>
      <w:r w:rsidR="00D875DB">
        <w:rPr>
          <w:iCs/>
          <w:szCs w:val="22"/>
        </w:rPr>
        <w:t>acidum</w:t>
      </w:r>
      <w:proofErr w:type="spellEnd"/>
      <w:r w:rsidR="00D875DB">
        <w:rPr>
          <w:iCs/>
          <w:szCs w:val="22"/>
        </w:rPr>
        <w:t xml:space="preserve"> </w:t>
      </w:r>
      <w:proofErr w:type="spellStart"/>
      <w:r w:rsidR="00D875DB">
        <w:rPr>
          <w:iCs/>
          <w:szCs w:val="22"/>
        </w:rPr>
        <w:t>salicylicum</w:t>
      </w:r>
      <w:proofErr w:type="spellEnd"/>
      <w:r w:rsidR="00345C11" w:rsidRPr="00F51548">
        <w:rPr>
          <w:iCs/>
          <w:szCs w:val="22"/>
        </w:rPr>
        <w:t xml:space="preserve"> 862,6 mg </w:t>
      </w:r>
      <w:bookmarkEnd w:id="2"/>
    </w:p>
    <w:p w14:paraId="13C45036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50ACE5" w14:textId="0AEE9B91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Bílé až bělavé vločky.</w:t>
      </w:r>
    </w:p>
    <w:p w14:paraId="2E6CA329" w14:textId="0B2F3E6B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7A57B4" w14:textId="77777777" w:rsidR="0029137E" w:rsidRPr="00B41D57" w:rsidRDefault="0029137E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BC19A3" w14:textId="77777777" w:rsidR="00C114FF" w:rsidRPr="00B41D57" w:rsidRDefault="00273FA6" w:rsidP="0029137E">
      <w:pPr>
        <w:pStyle w:val="Style1"/>
        <w:jc w:val="both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F656C7B" w14:textId="77777777" w:rsidR="00C114FF" w:rsidRPr="00B41D57" w:rsidRDefault="00273FA6" w:rsidP="0029137E">
      <w:pPr>
        <w:pStyle w:val="Style1"/>
        <w:jc w:val="both"/>
      </w:pPr>
      <w:r w:rsidRPr="00B41D57">
        <w:t>3.1</w:t>
      </w:r>
      <w:r w:rsidRPr="00B41D57">
        <w:tab/>
        <w:t>Cílové druhy zvířat</w:t>
      </w:r>
    </w:p>
    <w:p w14:paraId="621C5904" w14:textId="77777777" w:rsidR="00322B2C" w:rsidRDefault="00322B2C" w:rsidP="0029137E">
      <w:pPr>
        <w:pStyle w:val="Style1"/>
        <w:jc w:val="both"/>
      </w:pPr>
    </w:p>
    <w:p w14:paraId="748FCB49" w14:textId="41BD0A6D" w:rsidR="00322B2C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Krůty.</w:t>
      </w:r>
    </w:p>
    <w:p w14:paraId="0C45CAFF" w14:textId="77777777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F6CD1" w14:textId="7140E84A" w:rsidR="00C114FF" w:rsidRPr="00B41D57" w:rsidRDefault="00273FA6" w:rsidP="0029137E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2E1B36" w14:textId="457C992C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Symptomatická léčba zánětlivých onemocnění dýchacích cest, v případě potřeby též v kombinaci s</w:t>
      </w:r>
      <w:r w:rsidR="0029137E">
        <w:rPr>
          <w:szCs w:val="22"/>
        </w:rPr>
        <w:t> </w:t>
      </w:r>
      <w:r w:rsidRPr="00EA3740">
        <w:rPr>
          <w:szCs w:val="22"/>
        </w:rPr>
        <w:t>příslušnou protiinfekční léčbou.</w:t>
      </w:r>
    </w:p>
    <w:p w14:paraId="45A9E78C" w14:textId="77777777" w:rsidR="00E86CEE" w:rsidRPr="00B41D57" w:rsidRDefault="00E86CEE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B41D57" w:rsidRDefault="00273FA6" w:rsidP="0029137E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00E8FCFE" w14:textId="77777777" w:rsidR="00322B2C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D446DFB" w14:textId="77777777" w:rsidR="00C932DA" w:rsidRPr="00B41D57" w:rsidRDefault="00C932DA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27778818"/>
      <w:r w:rsidRPr="00B41D57">
        <w:t>Nepoužívat v případech přecitlivělosti na léčivou látku.</w:t>
      </w:r>
    </w:p>
    <w:bookmarkEnd w:id="3"/>
    <w:p w14:paraId="42EDC5C4" w14:textId="77777777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Nepoužívat v případě závažných onemocnění jater a ledvin.</w:t>
      </w:r>
    </w:p>
    <w:p w14:paraId="36C8DA2F" w14:textId="77777777" w:rsidR="00322B2C" w:rsidRPr="00EA3740" w:rsidRDefault="00322B2C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Nepoužívat v případě gastrointestinálních ulcerací a chronických gastrointestinálních poruch.</w:t>
      </w:r>
    </w:p>
    <w:p w14:paraId="54C2FA76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B41D57" w:rsidRDefault="00273FA6" w:rsidP="0029137E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033957" w14:textId="77777777" w:rsidR="00DA25A8" w:rsidRPr="00EA3740" w:rsidRDefault="00DA25A8" w:rsidP="0029137E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  <w:r w:rsidRPr="00EA3740">
        <w:rPr>
          <w:szCs w:val="22"/>
        </w:rPr>
        <w:t>Kompatibilita přípravku s ostatními veterinárními léčivými přípravky, jestliže se podávají prostřednictvím pitné vody, nebyla zkoumána. Při souběžné aplikaci se může stabilita a / nebo rozpustnost veterinárních léčivých přípravků změnit. Proto se doporučuje, aby byly použity jiné metody nebo cesty podání než prostřednictvím pitné vody pro souběžné podání protiinfekční léčby, pokud to bude zapotřebí.</w:t>
      </w:r>
    </w:p>
    <w:p w14:paraId="7D798E15" w14:textId="77777777" w:rsidR="00E86CEE" w:rsidRPr="00B41D57" w:rsidRDefault="00E86CEE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CC7AC" w14:textId="77777777" w:rsidR="00C114FF" w:rsidRPr="00B41D57" w:rsidRDefault="00273FA6" w:rsidP="0029137E">
      <w:pPr>
        <w:pStyle w:val="Style1"/>
        <w:jc w:val="both"/>
      </w:pPr>
      <w:r w:rsidRPr="00B41D57"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6AFA19C" w14:textId="77777777" w:rsidR="00DA25A8" w:rsidRPr="00EA3740" w:rsidRDefault="00DA25A8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4" w:name="_Hlk106046252"/>
      <w:r w:rsidRPr="00D644BA">
        <w:rPr>
          <w:szCs w:val="22"/>
        </w:rPr>
        <w:t xml:space="preserve">Nemocná zvířata mohou </w:t>
      </w:r>
      <w:r>
        <w:rPr>
          <w:szCs w:val="22"/>
        </w:rPr>
        <w:t>mít</w:t>
      </w:r>
      <w:r w:rsidRPr="00D644BA">
        <w:rPr>
          <w:szCs w:val="22"/>
        </w:rPr>
        <w:t xml:space="preserve"> změněný příjem pitné vody nebo krmiva. V případě změněného příjmu pitné vody je třeba upravit koncentraci veterinárního léčivého přípravku tak, aby byl zajištěn příjem požadované dávky</w:t>
      </w:r>
      <w:bookmarkEnd w:id="4"/>
      <w:r w:rsidRPr="00EA3740">
        <w:rPr>
          <w:szCs w:val="22"/>
        </w:rPr>
        <w:t>.</w:t>
      </w:r>
    </w:p>
    <w:p w14:paraId="117F609A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118B7ACF" w14:textId="77777777" w:rsidR="00DA25A8" w:rsidRPr="00D875DB" w:rsidRDefault="00DA25A8" w:rsidP="003D3AB4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875DB">
        <w:rPr>
          <w:szCs w:val="22"/>
        </w:rPr>
        <w:t>Lidé se známou přecitlivělostí (alergií) na salicylát sodný nebo podobné látky (např. aspirin) by se měli vyhnout kontaktu s veterinárním léčivým přípravkem.</w:t>
      </w:r>
    </w:p>
    <w:p w14:paraId="2EF308CE" w14:textId="22F0D755" w:rsidR="00DA25A8" w:rsidRPr="00D875DB" w:rsidRDefault="00DA25A8" w:rsidP="003D3AB4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37099">
        <w:rPr>
          <w:szCs w:val="22"/>
        </w:rPr>
        <w:t xml:space="preserve">V případě náhodného kontaktu může dojít k podráždění kůže, očí a dýchacích cest. Zabraňte přímému kontaktu kůže a očí s medikovanou vodou nebo práškem a vdechnutí prášku. Doporučuje se používat ochranné rukavice (např. gumové nebo latexové), </w:t>
      </w:r>
      <w:r w:rsidR="001A7E15" w:rsidRPr="00D37099">
        <w:rPr>
          <w:szCs w:val="22"/>
        </w:rPr>
        <w:t>ochranné</w:t>
      </w:r>
      <w:r w:rsidRPr="00D37099">
        <w:rPr>
          <w:szCs w:val="22"/>
        </w:rPr>
        <w:t xml:space="preserve"> brýle a</w:t>
      </w:r>
      <w:r w:rsidR="001A7E15">
        <w:rPr>
          <w:szCs w:val="22"/>
        </w:rPr>
        <w:t> </w:t>
      </w:r>
      <w:r w:rsidRPr="00D875DB">
        <w:rPr>
          <w:szCs w:val="22"/>
        </w:rPr>
        <w:t xml:space="preserve">vhodnou protiprachovou masku (např. jednorázový respirátor s polomaskou podle evropské normy EN 149). </w:t>
      </w:r>
      <w:bookmarkStart w:id="5" w:name="_Hlk106046405"/>
      <w:bookmarkStart w:id="6" w:name="_Hlk106046311"/>
      <w:r w:rsidRPr="00D875DB">
        <w:rPr>
          <w:szCs w:val="22"/>
        </w:rPr>
        <w:t>Otok obličeje, rtů</w:t>
      </w:r>
      <w:r w:rsidR="001A7E15" w:rsidRPr="00D875DB">
        <w:rPr>
          <w:szCs w:val="22"/>
        </w:rPr>
        <w:t xml:space="preserve">, </w:t>
      </w:r>
      <w:r w:rsidRPr="00D875DB">
        <w:rPr>
          <w:szCs w:val="22"/>
        </w:rPr>
        <w:t>očí nebo potíže s dýcháním jsou vážné příznaky, které vyžadují okamžitou lékařskou pomoc.</w:t>
      </w:r>
      <w:bookmarkEnd w:id="5"/>
    </w:p>
    <w:bookmarkEnd w:id="6"/>
    <w:p w14:paraId="3CA583C1" w14:textId="77777777" w:rsidR="00DA25A8" w:rsidRPr="00D875DB" w:rsidRDefault="00DA25A8" w:rsidP="003D3AB4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875DB">
        <w:rPr>
          <w:szCs w:val="22"/>
        </w:rPr>
        <w:t>V případě náhodného kontaktu s kůží ihned omyjte vodou.</w:t>
      </w:r>
    </w:p>
    <w:p w14:paraId="34BC5071" w14:textId="67FE2B3C" w:rsidR="00DA25A8" w:rsidRPr="00D875DB" w:rsidRDefault="00DA25A8" w:rsidP="003D3AB4">
      <w:pPr>
        <w:pStyle w:val="Odstavecseseznamem"/>
        <w:numPr>
          <w:ilvl w:val="0"/>
          <w:numId w:val="43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D875DB">
        <w:rPr>
          <w:szCs w:val="22"/>
        </w:rPr>
        <w:lastRenderedPageBreak/>
        <w:t>V případě náhodného vniknutí do očí proplachujte oči velkým množstvím vody po dobu 15 minut</w:t>
      </w:r>
      <w:r w:rsidR="004468EA" w:rsidRPr="0012523A">
        <w:rPr>
          <w:szCs w:val="22"/>
        </w:rPr>
        <w:t xml:space="preserve">. </w:t>
      </w:r>
      <w:r w:rsidR="001A7E15" w:rsidRPr="00D37099">
        <w:rPr>
          <w:szCs w:val="22"/>
        </w:rPr>
        <w:t>P</w:t>
      </w:r>
      <w:r w:rsidRPr="00D37099">
        <w:rPr>
          <w:szCs w:val="22"/>
        </w:rPr>
        <w:t xml:space="preserve">okud </w:t>
      </w:r>
      <w:r w:rsidR="001A7E15" w:rsidRPr="00D37099">
        <w:rPr>
          <w:szCs w:val="22"/>
        </w:rPr>
        <w:t>po</w:t>
      </w:r>
      <w:r w:rsidRPr="00D37099">
        <w:rPr>
          <w:szCs w:val="22"/>
        </w:rPr>
        <w:t>dráždění přetrvává, vyhledejte lékařskou pomoc</w:t>
      </w:r>
      <w:r w:rsidRPr="0011215F">
        <w:t xml:space="preserve"> </w:t>
      </w:r>
      <w:bookmarkStart w:id="7" w:name="_Hlk106046436"/>
      <w:r w:rsidRPr="00D875DB">
        <w:rPr>
          <w:szCs w:val="22"/>
        </w:rPr>
        <w:t>a ukažte etiketu lékaři</w:t>
      </w:r>
      <w:bookmarkEnd w:id="7"/>
      <w:r w:rsidRPr="00D875DB">
        <w:rPr>
          <w:szCs w:val="22"/>
        </w:rPr>
        <w:t>.</w:t>
      </w:r>
    </w:p>
    <w:p w14:paraId="7D364D19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273FA6" w:rsidP="0029137E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7299AF40" w14:textId="21A91446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0CE51CD2" w14:textId="3B7BA610" w:rsidR="00295140" w:rsidRPr="00B41D57" w:rsidRDefault="0029514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F23B5A" w14:textId="649A1969" w:rsidR="00701786" w:rsidRDefault="00273FA6" w:rsidP="0029137E">
      <w:pPr>
        <w:pStyle w:val="Style1"/>
        <w:jc w:val="both"/>
      </w:pPr>
      <w:r w:rsidRPr="00B41D57">
        <w:t>3.6</w:t>
      </w:r>
      <w:r w:rsidRPr="00B41D57">
        <w:tab/>
        <w:t>Nežádoucí účinky</w:t>
      </w:r>
    </w:p>
    <w:p w14:paraId="1E59D937" w14:textId="77777777" w:rsidR="00701786" w:rsidRPr="00EA3740" w:rsidRDefault="0070178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0B0D1" w14:textId="68D0DAAF" w:rsidR="00DA25A8" w:rsidRPr="00EA3740" w:rsidRDefault="00DA25A8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Krůty</w:t>
      </w:r>
      <w:r>
        <w:rPr>
          <w:szCs w:val="22"/>
        </w:rPr>
        <w:t>:</w:t>
      </w:r>
    </w:p>
    <w:p w14:paraId="669C145E" w14:textId="77777777" w:rsidR="00295140" w:rsidRPr="00B41D57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DF60ED" w14:paraId="142855C6" w14:textId="77777777" w:rsidTr="00701786">
        <w:tc>
          <w:tcPr>
            <w:tcW w:w="1957" w:type="pct"/>
          </w:tcPr>
          <w:p w14:paraId="2D54A519" w14:textId="754FDD58" w:rsidR="00295140" w:rsidRPr="00B41D57" w:rsidRDefault="00295140" w:rsidP="00617B81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</w:tcPr>
          <w:p w14:paraId="234E7697" w14:textId="498EF602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DF60ED" w14:paraId="6DB386A0" w14:textId="77777777" w:rsidTr="00617B81">
        <w:tc>
          <w:tcPr>
            <w:tcW w:w="1957" w:type="pct"/>
          </w:tcPr>
          <w:p w14:paraId="4D1178E5" w14:textId="3C52FEDA" w:rsidR="00295140" w:rsidRPr="00B41D57" w:rsidRDefault="00295140" w:rsidP="00617B81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</w:tcPr>
          <w:p w14:paraId="3257CF2C" w14:textId="5707D167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DF60ED" w14:paraId="42422425" w14:textId="77777777" w:rsidTr="00701786">
        <w:tc>
          <w:tcPr>
            <w:tcW w:w="1957" w:type="pct"/>
          </w:tcPr>
          <w:p w14:paraId="18250BAF" w14:textId="41693269" w:rsidR="00295140" w:rsidRPr="00B41D57" w:rsidRDefault="00295140" w:rsidP="00617B81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</w:tcPr>
          <w:p w14:paraId="603DE9E0" w14:textId="7BBFBF61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DF60ED" w14:paraId="7A4C549F" w14:textId="77777777" w:rsidTr="00617B81">
        <w:tc>
          <w:tcPr>
            <w:tcW w:w="1957" w:type="pct"/>
          </w:tcPr>
          <w:p w14:paraId="62DEE9F9" w14:textId="46F006C2" w:rsidR="00295140" w:rsidRPr="00B41D57" w:rsidRDefault="00295140" w:rsidP="00617B81">
            <w:pPr>
              <w:spacing w:before="60" w:after="60"/>
              <w:rPr>
                <w:szCs w:val="22"/>
              </w:rPr>
            </w:pPr>
          </w:p>
        </w:tc>
        <w:tc>
          <w:tcPr>
            <w:tcW w:w="3043" w:type="pct"/>
          </w:tcPr>
          <w:p w14:paraId="1CC2DAB0" w14:textId="13248844" w:rsidR="00295140" w:rsidRPr="00B41D57" w:rsidRDefault="00295140" w:rsidP="00617B81">
            <w:pPr>
              <w:spacing w:before="60" w:after="60"/>
              <w:rPr>
                <w:iCs/>
                <w:szCs w:val="22"/>
              </w:rPr>
            </w:pPr>
          </w:p>
        </w:tc>
      </w:tr>
      <w:tr w:rsidR="00DF60ED" w14:paraId="2A97D209" w14:textId="77777777" w:rsidTr="00617B81">
        <w:tc>
          <w:tcPr>
            <w:tcW w:w="1957" w:type="pct"/>
          </w:tcPr>
          <w:p w14:paraId="78E246FA" w14:textId="08CDBA8D" w:rsidR="00295140" w:rsidRPr="00345C11" w:rsidRDefault="00701786" w:rsidP="00345C11">
            <w:r w:rsidRPr="00701786">
              <w:t>Neurčená četnost (z dostupných údajů nelze určit)</w:t>
            </w:r>
            <w:r w:rsidR="0002764A">
              <w:t xml:space="preserve">: </w:t>
            </w:r>
          </w:p>
        </w:tc>
        <w:tc>
          <w:tcPr>
            <w:tcW w:w="3043" w:type="pct"/>
            <w:hideMark/>
          </w:tcPr>
          <w:p w14:paraId="1BC9DFB5" w14:textId="20BA41DC" w:rsidR="00295140" w:rsidRPr="00345C11" w:rsidRDefault="00345C11" w:rsidP="00345C11">
            <w:r w:rsidRPr="00F51548">
              <w:rPr>
                <w:szCs w:val="22"/>
              </w:rPr>
              <w:t>Gastrointestinální podráždění</w:t>
            </w:r>
            <w:r>
              <w:rPr>
                <w:szCs w:val="22"/>
              </w:rPr>
              <w:t xml:space="preserve"> </w:t>
            </w:r>
            <w:r w:rsidRPr="00A03F6E">
              <w:rPr>
                <w:szCs w:val="22"/>
                <w:vertAlign w:val="superscript"/>
              </w:rPr>
              <w:t>a</w:t>
            </w:r>
            <w:r w:rsidRPr="00F51548">
              <w:rPr>
                <w:szCs w:val="22"/>
              </w:rPr>
              <w:t xml:space="preserve"> (dehtovitá nebo černá stolice</w:t>
            </w:r>
            <w:r>
              <w:rPr>
                <w:szCs w:val="22"/>
              </w:rPr>
              <w:t xml:space="preserve"> </w:t>
            </w:r>
            <w:proofErr w:type="spellStart"/>
            <w:r w:rsidRPr="00A03F6E">
              <w:rPr>
                <w:szCs w:val="22"/>
                <w:vertAlign w:val="superscript"/>
              </w:rPr>
              <w:t>a+b</w:t>
            </w:r>
            <w:proofErr w:type="spellEnd"/>
            <w:r w:rsidRPr="00F51548">
              <w:rPr>
                <w:szCs w:val="22"/>
              </w:rPr>
              <w:t>),</w:t>
            </w:r>
            <w:r>
              <w:rPr>
                <w:szCs w:val="22"/>
              </w:rPr>
              <w:t xml:space="preserve"> </w:t>
            </w:r>
            <w:r w:rsidR="000A25F4">
              <w:rPr>
                <w:szCs w:val="22"/>
              </w:rPr>
              <w:t xml:space="preserve">nadměrné </w:t>
            </w:r>
            <w:proofErr w:type="spellStart"/>
            <w:r w:rsidR="000A25F4">
              <w:rPr>
                <w:szCs w:val="22"/>
              </w:rPr>
              <w:t>pití</w:t>
            </w:r>
            <w:r w:rsidRPr="00345C11">
              <w:rPr>
                <w:szCs w:val="22"/>
                <w:vertAlign w:val="superscript"/>
              </w:rPr>
              <w:t>c</w:t>
            </w:r>
            <w:proofErr w:type="spellEnd"/>
          </w:p>
        </w:tc>
      </w:tr>
    </w:tbl>
    <w:p w14:paraId="73CDDAFD" w14:textId="77777777" w:rsidR="00345C11" w:rsidRPr="00F51548" w:rsidRDefault="00345C11" w:rsidP="00345C11">
      <w:pPr>
        <w:tabs>
          <w:tab w:val="clear" w:pos="567"/>
        </w:tabs>
        <w:spacing w:line="240" w:lineRule="auto"/>
        <w:rPr>
          <w:iCs/>
          <w:szCs w:val="22"/>
        </w:rPr>
      </w:pPr>
      <w:bookmarkStart w:id="8" w:name="_Hlk127777965"/>
      <w:r w:rsidRPr="00F51548">
        <w:rPr>
          <w:iCs/>
          <w:szCs w:val="22"/>
        </w:rPr>
        <w:t>a zejména u zvířat s již existujícím gastrointestinálním onemocněním.</w:t>
      </w:r>
    </w:p>
    <w:p w14:paraId="3B570AF4" w14:textId="77777777" w:rsidR="00345C11" w:rsidRPr="00F51548" w:rsidRDefault="00345C11" w:rsidP="00345C11">
      <w:pPr>
        <w:tabs>
          <w:tab w:val="clear" w:pos="567"/>
        </w:tabs>
        <w:spacing w:line="240" w:lineRule="auto"/>
        <w:rPr>
          <w:iCs/>
          <w:szCs w:val="22"/>
        </w:rPr>
      </w:pPr>
      <w:r w:rsidRPr="00F51548">
        <w:rPr>
          <w:iCs/>
          <w:szCs w:val="22"/>
        </w:rPr>
        <w:t>b v důsledku krvácení v gastrointestinálním traktu.</w:t>
      </w:r>
    </w:p>
    <w:p w14:paraId="72172026" w14:textId="5C7687FD" w:rsidR="00701786" w:rsidRPr="00345C11" w:rsidRDefault="00345C11" w:rsidP="00701786">
      <w:r w:rsidRPr="00345C11">
        <w:rPr>
          <w:szCs w:val="22"/>
        </w:rPr>
        <w:t>c</w:t>
      </w:r>
      <w:r w:rsidR="00701786" w:rsidRPr="004D4B13">
        <w:rPr>
          <w:szCs w:val="22"/>
          <w:vertAlign w:val="superscript"/>
        </w:rPr>
        <w:t xml:space="preserve"> </w:t>
      </w:r>
      <w:r w:rsidR="00701786">
        <w:t>Z</w:t>
      </w:r>
      <w:r w:rsidR="00701786" w:rsidRPr="00C62405">
        <w:t>výšení příjmu vody.</w:t>
      </w:r>
    </w:p>
    <w:p w14:paraId="304157CA" w14:textId="77777777" w:rsidR="00701786" w:rsidRDefault="00701786" w:rsidP="00247A48">
      <w:bookmarkStart w:id="9" w:name="_Hlk66891708"/>
      <w:bookmarkEnd w:id="8"/>
    </w:p>
    <w:p w14:paraId="3DD32652" w14:textId="77272F71" w:rsidR="00247A48" w:rsidRDefault="00273FA6" w:rsidP="0029137E">
      <w:pPr>
        <w:spacing w:line="240" w:lineRule="auto"/>
        <w:jc w:val="both"/>
      </w:pPr>
      <w:r w:rsidRPr="00B41D57">
        <w:t>Hlášení nežádoucích účinků je důležité. Umožňuje nepřetržité sledování bezpečnosti veterinárního léčivého přípravku. Hlášení je třeba zaslat</w:t>
      </w:r>
      <w:r w:rsidR="005272F4" w:rsidRPr="00B41D57">
        <w:t>,</w:t>
      </w:r>
      <w:r w:rsidRPr="00B41D57">
        <w:t xml:space="preserve"> pokud možno</w:t>
      </w:r>
      <w:r w:rsidR="005272F4" w:rsidRPr="00B41D57">
        <w:t>,</w:t>
      </w:r>
      <w:r w:rsidRPr="00B41D57">
        <w:t xml:space="preserve"> prostřednictvím veterinárního lékaře</w:t>
      </w:r>
      <w:r w:rsidR="00562715" w:rsidRPr="00B41D57">
        <w:t>,</w:t>
      </w:r>
      <w:r w:rsidRPr="00B41D57">
        <w:t xml:space="preserve"> buď držiteli rozhodnutí o registraci</w:t>
      </w:r>
      <w:r w:rsidR="00CA28D8">
        <w:t>,</w:t>
      </w:r>
      <w:r w:rsidR="00FC7F7A">
        <w:t xml:space="preserve"> </w:t>
      </w:r>
      <w:r w:rsidRPr="00B41D57">
        <w:t xml:space="preserve">nebo jeho místnímu zástupci, nebo příslušnému vnitrostátnímu orgánu prostřednictvím národního systému hlášení. </w:t>
      </w:r>
      <w:r w:rsidR="00D4251A">
        <w:t>Podrobné k</w:t>
      </w:r>
      <w:r w:rsidR="00121BE0" w:rsidRPr="00121BE0">
        <w:t xml:space="preserve">taktní údaje naleznete na kombinované </w:t>
      </w:r>
      <w:r w:rsidR="000A25F4">
        <w:t xml:space="preserve">etiketě a příbalové </w:t>
      </w:r>
      <w:proofErr w:type="gramStart"/>
      <w:r w:rsidR="000A25F4">
        <w:t>informaci</w:t>
      </w:r>
      <w:r w:rsidR="00121BE0" w:rsidRPr="00121BE0">
        <w:t xml:space="preserve"> </w:t>
      </w:r>
      <w:r w:rsidRPr="00B41D57">
        <w:t>.</w:t>
      </w:r>
      <w:proofErr w:type="gramEnd"/>
    </w:p>
    <w:bookmarkEnd w:id="9"/>
    <w:p w14:paraId="6871F765" w14:textId="77777777" w:rsidR="00247A48" w:rsidRPr="00B41D57" w:rsidRDefault="00247A48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B41D57" w:rsidRDefault="00273FA6" w:rsidP="0029137E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0DFBFADE" w14:textId="727D837C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EC2098" w14:textId="40E7FB73" w:rsidR="00121BE0" w:rsidRDefault="00121BE0" w:rsidP="0029137E">
      <w:pPr>
        <w:tabs>
          <w:tab w:val="clear" w:pos="567"/>
        </w:tabs>
        <w:spacing w:line="240" w:lineRule="auto"/>
        <w:jc w:val="both"/>
      </w:pPr>
      <w:r w:rsidRPr="00121BE0">
        <w:t xml:space="preserve">Nosnice: </w:t>
      </w:r>
    </w:p>
    <w:p w14:paraId="1A98136A" w14:textId="259B5CC4" w:rsidR="00C932DA" w:rsidRPr="00B41D57" w:rsidRDefault="00C932DA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0" w:name="_Hlk146707082"/>
      <w:r w:rsidRPr="00B41D57">
        <w:t xml:space="preserve">Laboratorní studie u </w:t>
      </w:r>
      <w:r w:rsidR="000A25F4">
        <w:t>potkanů</w:t>
      </w:r>
      <w:r w:rsidRPr="00B41D57">
        <w:t xml:space="preserve"> prokázaly teratogenní</w:t>
      </w:r>
      <w:r>
        <w:t xml:space="preserve"> a </w:t>
      </w:r>
      <w:r w:rsidRPr="00B41D57">
        <w:t>fetotoxický účinek.</w:t>
      </w:r>
      <w:r w:rsidR="00121BE0" w:rsidRPr="00121BE0">
        <w:t xml:space="preserve"> </w:t>
      </w:r>
      <w:r w:rsidR="0037070B">
        <w:t>Nep</w:t>
      </w:r>
      <w:r w:rsidR="00121BE0" w:rsidRPr="00121BE0">
        <w:t>ouž</w:t>
      </w:r>
      <w:r w:rsidR="00E04FC7">
        <w:t>ívat u nosnic ve snášce.</w:t>
      </w:r>
    </w:p>
    <w:bookmarkEnd w:id="10"/>
    <w:p w14:paraId="45A16993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5C1959" w14:textId="77777777" w:rsidR="00C114FF" w:rsidRPr="00B41D57" w:rsidRDefault="00273FA6" w:rsidP="0029137E">
      <w:pPr>
        <w:pStyle w:val="Style1"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1E51D6C" w14:textId="4E0D4A70" w:rsidR="00E50820" w:rsidRPr="00EA3740" w:rsidRDefault="00E04FC7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1" w:name="_Hlk146707158"/>
      <w:r w:rsidRPr="00EE130A">
        <w:t xml:space="preserve">Nepodávat současně s potenciálně </w:t>
      </w:r>
      <w:proofErr w:type="spellStart"/>
      <w:r w:rsidRPr="00EE130A">
        <w:t>nefrotoxickými</w:t>
      </w:r>
      <w:proofErr w:type="spellEnd"/>
      <w:r w:rsidRPr="00EE130A">
        <w:t xml:space="preserve"> léčivy</w:t>
      </w:r>
      <w:bookmarkEnd w:id="11"/>
      <w:r w:rsidR="00E50820" w:rsidRPr="00EA3740">
        <w:rPr>
          <w:szCs w:val="22"/>
        </w:rPr>
        <w:t xml:space="preserve"> (například aminoglykosidy).</w:t>
      </w:r>
    </w:p>
    <w:p w14:paraId="7DA6B68F" w14:textId="7DD7F73B" w:rsidR="00E50820" w:rsidRPr="00EA3740" w:rsidRDefault="00E5082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Kyselina salicylová se velmi silně váže na plazmu (albumin) a soupeří s různými sloučeninami (např. sulfonamidy, ketoprofen) o vazebná místa plazmatických bílkovin. Souběžné používání s jinými </w:t>
      </w:r>
      <w:r w:rsidR="00121BE0" w:rsidRPr="00121BE0">
        <w:rPr>
          <w:szCs w:val="22"/>
        </w:rPr>
        <w:t xml:space="preserve">nesteroidní </w:t>
      </w:r>
      <w:r w:rsidR="00885E1B" w:rsidRPr="00885E1B">
        <w:rPr>
          <w:szCs w:val="22"/>
        </w:rPr>
        <w:t>antiflogistikum</w:t>
      </w:r>
      <w:r w:rsidR="00121BE0" w:rsidRPr="00121BE0">
        <w:rPr>
          <w:szCs w:val="22"/>
        </w:rPr>
        <w:t xml:space="preserve"> </w:t>
      </w:r>
      <w:r w:rsidR="00121BE0">
        <w:rPr>
          <w:szCs w:val="22"/>
        </w:rPr>
        <w:t>(</w:t>
      </w:r>
      <w:r w:rsidRPr="00EA3740">
        <w:rPr>
          <w:szCs w:val="22"/>
        </w:rPr>
        <w:t>NSAID</w:t>
      </w:r>
      <w:r w:rsidR="00121BE0">
        <w:rPr>
          <w:szCs w:val="22"/>
        </w:rPr>
        <w:t>)</w:t>
      </w:r>
      <w:r w:rsidRPr="00EA3740">
        <w:rPr>
          <w:szCs w:val="22"/>
        </w:rPr>
        <w:t xml:space="preserve"> není doporučeno kvůli zvýšenému riziku vzniku gastrointestinálních poruch.</w:t>
      </w:r>
    </w:p>
    <w:p w14:paraId="0B86F3A7" w14:textId="77777777" w:rsidR="00C90EDA" w:rsidRPr="00B41D57" w:rsidRDefault="00C90EDA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3DFD79" w14:textId="77777777" w:rsidR="00C114FF" w:rsidRPr="00B41D57" w:rsidRDefault="00273FA6" w:rsidP="0029137E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6FFEE4B2" w14:textId="209865D2" w:rsidR="003233B9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C6FABD" w14:textId="1A3A24A9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</w:t>
      </w:r>
      <w:r w:rsidRPr="00EA3740">
        <w:rPr>
          <w:szCs w:val="22"/>
        </w:rPr>
        <w:t>odání v pitné vodě.</w:t>
      </w:r>
    </w:p>
    <w:p w14:paraId="6C8DC9E6" w14:textId="6EED9A41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2" w:name="_Hlk106045919"/>
      <w:r w:rsidRPr="00FA4C40">
        <w:rPr>
          <w:szCs w:val="22"/>
        </w:rPr>
        <w:t>86,2</w:t>
      </w:r>
      <w:r>
        <w:rPr>
          <w:szCs w:val="22"/>
        </w:rPr>
        <w:t xml:space="preserve"> mg</w:t>
      </w:r>
      <w:r w:rsidRPr="00FA4C40">
        <w:rPr>
          <w:szCs w:val="22"/>
        </w:rPr>
        <w:t xml:space="preserve"> kyseliny salicylové/kg živé hmotnosti </w:t>
      </w:r>
      <w:r>
        <w:rPr>
          <w:szCs w:val="22"/>
        </w:rPr>
        <w:t xml:space="preserve">a </w:t>
      </w:r>
      <w:r w:rsidRPr="00FA4C40">
        <w:rPr>
          <w:szCs w:val="22"/>
        </w:rPr>
        <w:t xml:space="preserve">den (odpovídá </w:t>
      </w:r>
      <w:bookmarkEnd w:id="12"/>
      <w:r w:rsidRPr="00EA3740">
        <w:rPr>
          <w:szCs w:val="22"/>
        </w:rPr>
        <w:t xml:space="preserve">100 mg </w:t>
      </w:r>
      <w:r w:rsidR="00802D04" w:rsidRPr="00802D04">
        <w:rPr>
          <w:szCs w:val="22"/>
        </w:rPr>
        <w:t>veterinární léčivý přípravek</w:t>
      </w:r>
      <w:r w:rsidR="00802D04" w:rsidRPr="00802D04" w:rsidDel="00802D04">
        <w:rPr>
          <w:szCs w:val="22"/>
        </w:rPr>
        <w:t xml:space="preserve"> </w:t>
      </w:r>
      <w:r w:rsidRPr="00EA3740">
        <w:rPr>
          <w:szCs w:val="22"/>
        </w:rPr>
        <w:t xml:space="preserve">/kg živé hmotnosti </w:t>
      </w:r>
      <w:r>
        <w:rPr>
          <w:szCs w:val="22"/>
        </w:rPr>
        <w:t xml:space="preserve">a </w:t>
      </w:r>
      <w:r w:rsidRPr="00EA3740">
        <w:rPr>
          <w:szCs w:val="22"/>
        </w:rPr>
        <w:t>den</w:t>
      </w:r>
      <w:r>
        <w:rPr>
          <w:szCs w:val="22"/>
        </w:rPr>
        <w:t>)</w:t>
      </w:r>
      <w:r w:rsidRPr="00EA3740">
        <w:rPr>
          <w:szCs w:val="22"/>
        </w:rPr>
        <w:t xml:space="preserve"> po 3 po sobě jdoucí dny</w:t>
      </w:r>
    </w:p>
    <w:p w14:paraId="168760F6" w14:textId="77777777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27A30B" w14:textId="3E906D00" w:rsidR="00C932DA" w:rsidRPr="00B41D57" w:rsidRDefault="00C932DA" w:rsidP="0029137E">
      <w:pPr>
        <w:spacing w:line="240" w:lineRule="auto"/>
        <w:jc w:val="both"/>
        <w:rPr>
          <w:szCs w:val="22"/>
        </w:rPr>
      </w:pPr>
      <w:bookmarkStart w:id="13" w:name="_Hlk127779049"/>
      <w:r w:rsidRPr="00B41D57">
        <w:t>Na základě doporučené dávky a počtu a hmotnosti zvířat, která je třeba ošetřit, se přesná denní koncentrace veterinárního léčivého přípravku vypočítá podle následujícího vzorce:</w:t>
      </w:r>
      <w:r>
        <w:t xml:space="preserve"> </w:t>
      </w:r>
    </w:p>
    <w:bookmarkEnd w:id="13"/>
    <w:p w14:paraId="1DBDF1D8" w14:textId="77777777" w:rsidR="003233B9" w:rsidRPr="00EA3740" w:rsidRDefault="003233B9" w:rsidP="003233B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822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83"/>
        <w:gridCol w:w="2835"/>
        <w:gridCol w:w="2411"/>
      </w:tblGrid>
      <w:tr w:rsidR="003233B9" w:rsidRPr="00EA3740" w14:paraId="708857E3" w14:textId="77777777" w:rsidTr="007C5FB0">
        <w:trPr>
          <w:cantSplit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AF3B354" w14:textId="1E6856B3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t xml:space="preserve">100 mg </w:t>
            </w:r>
            <w:r w:rsidR="00802D04" w:rsidRPr="00802D04">
              <w:rPr>
                <w:szCs w:val="22"/>
              </w:rPr>
              <w:t>veterinární</w:t>
            </w:r>
            <w:r w:rsidR="00A6660B">
              <w:rPr>
                <w:szCs w:val="22"/>
              </w:rPr>
              <w:t>ho</w:t>
            </w:r>
            <w:r w:rsidR="00802D04" w:rsidRPr="00802D04">
              <w:rPr>
                <w:szCs w:val="22"/>
              </w:rPr>
              <w:t xml:space="preserve"> léčiv</w:t>
            </w:r>
            <w:r w:rsidR="00A6660B">
              <w:rPr>
                <w:szCs w:val="22"/>
              </w:rPr>
              <w:t>ého</w:t>
            </w:r>
            <w:r w:rsidR="00802D04" w:rsidRPr="00802D04">
              <w:rPr>
                <w:szCs w:val="22"/>
              </w:rPr>
              <w:t xml:space="preserve"> přípravk</w:t>
            </w:r>
            <w:r w:rsidR="00A6660B">
              <w:rPr>
                <w:szCs w:val="22"/>
              </w:rPr>
              <w:t>u</w:t>
            </w:r>
            <w:r w:rsidR="00802D04" w:rsidRPr="00802D04" w:rsidDel="00802D04">
              <w:rPr>
                <w:szCs w:val="22"/>
              </w:rPr>
              <w:t xml:space="preserve"> </w:t>
            </w:r>
            <w:r w:rsidRPr="00EA3740">
              <w:rPr>
                <w:szCs w:val="22"/>
              </w:rPr>
              <w:t xml:space="preserve">/kg </w:t>
            </w:r>
          </w:p>
          <w:p w14:paraId="1233586A" w14:textId="77777777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t xml:space="preserve"> živé hmotnosti/den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D38524" w14:textId="77777777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br/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A79D7C" w14:textId="77777777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t>průměrná živá hmotnost (kg) zvířat, která se mají léčit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5144A3" w14:textId="73392DDE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br/>
              <w:t xml:space="preserve">= .... mg </w:t>
            </w:r>
            <w:r w:rsidR="00802D04" w:rsidRPr="00802D04">
              <w:rPr>
                <w:szCs w:val="22"/>
              </w:rPr>
              <w:t>veterinární</w:t>
            </w:r>
            <w:r w:rsidR="00A6660B">
              <w:rPr>
                <w:szCs w:val="22"/>
              </w:rPr>
              <w:t>ho</w:t>
            </w:r>
            <w:r w:rsidR="00802D04" w:rsidRPr="00802D04">
              <w:rPr>
                <w:szCs w:val="22"/>
              </w:rPr>
              <w:t xml:space="preserve"> léčiv</w:t>
            </w:r>
            <w:r w:rsidR="00A6660B">
              <w:rPr>
                <w:szCs w:val="22"/>
              </w:rPr>
              <w:t>ého</w:t>
            </w:r>
            <w:r w:rsidR="00802D04" w:rsidRPr="00802D04">
              <w:rPr>
                <w:szCs w:val="22"/>
              </w:rPr>
              <w:t xml:space="preserve"> </w:t>
            </w:r>
            <w:r w:rsidR="00802D04">
              <w:rPr>
                <w:szCs w:val="22"/>
              </w:rPr>
              <w:t>p</w:t>
            </w:r>
            <w:r w:rsidR="00802D04" w:rsidRPr="00802D04">
              <w:rPr>
                <w:szCs w:val="22"/>
              </w:rPr>
              <w:t>řípravk</w:t>
            </w:r>
            <w:r w:rsidR="00A6660B">
              <w:rPr>
                <w:szCs w:val="22"/>
              </w:rPr>
              <w:t>u</w:t>
            </w:r>
            <w:r w:rsidRPr="00EA3740">
              <w:rPr>
                <w:szCs w:val="22"/>
              </w:rPr>
              <w:t xml:space="preserve"> na l</w:t>
            </w:r>
            <w:r w:rsidR="004E1700">
              <w:rPr>
                <w:szCs w:val="22"/>
              </w:rPr>
              <w:t>itr</w:t>
            </w:r>
            <w:r w:rsidRPr="00EA3740">
              <w:rPr>
                <w:szCs w:val="22"/>
              </w:rPr>
              <w:t xml:space="preserve"> pitné vody</w:t>
            </w:r>
          </w:p>
          <w:p w14:paraId="20C2E999" w14:textId="77777777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  <w:tr w:rsidR="003233B9" w:rsidRPr="00EA3740" w14:paraId="02E1E228" w14:textId="77777777" w:rsidTr="007C5FB0">
        <w:trPr>
          <w:cantSplit/>
        </w:trPr>
        <w:tc>
          <w:tcPr>
            <w:tcW w:w="5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A0A058" w14:textId="73A1954E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  <w:r w:rsidRPr="00EA3740">
              <w:rPr>
                <w:szCs w:val="22"/>
              </w:rPr>
              <w:t>Průměrná denní spotřeba vody (l</w:t>
            </w:r>
            <w:r w:rsidR="004E1700">
              <w:rPr>
                <w:szCs w:val="22"/>
              </w:rPr>
              <w:t>/</w:t>
            </w:r>
            <w:r w:rsidRPr="00EA3740">
              <w:rPr>
                <w:szCs w:val="22"/>
              </w:rPr>
              <w:t>zvíře</w:t>
            </w:r>
            <w:r w:rsidR="004E1700">
              <w:rPr>
                <w:szCs w:val="22"/>
              </w:rPr>
              <w:t>)</w:t>
            </w:r>
          </w:p>
        </w:tc>
        <w:tc>
          <w:tcPr>
            <w:tcW w:w="24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413A1" w14:textId="77777777" w:rsidR="003233B9" w:rsidRPr="00EA3740" w:rsidRDefault="003233B9" w:rsidP="007C5FB0">
            <w:pPr>
              <w:tabs>
                <w:tab w:val="clear" w:pos="567"/>
              </w:tabs>
              <w:spacing w:line="240" w:lineRule="auto"/>
              <w:rPr>
                <w:szCs w:val="22"/>
              </w:rPr>
            </w:pPr>
          </w:p>
        </w:tc>
      </w:tr>
    </w:tbl>
    <w:p w14:paraId="2EADC3C4" w14:textId="18E9D4B0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Maximální rozpustnost </w:t>
      </w:r>
      <w:r w:rsidR="00802D04" w:rsidRPr="00802D04">
        <w:rPr>
          <w:szCs w:val="22"/>
        </w:rPr>
        <w:t>veterinární</w:t>
      </w:r>
      <w:r w:rsidR="00A6660B">
        <w:rPr>
          <w:szCs w:val="22"/>
        </w:rPr>
        <w:t>ho</w:t>
      </w:r>
      <w:r w:rsidR="00802D04" w:rsidRPr="00802D04">
        <w:rPr>
          <w:szCs w:val="22"/>
        </w:rPr>
        <w:t xml:space="preserve"> léčiv</w:t>
      </w:r>
      <w:r w:rsidR="00A6660B">
        <w:rPr>
          <w:szCs w:val="22"/>
        </w:rPr>
        <w:t>ého</w:t>
      </w:r>
      <w:r w:rsidR="00802D04" w:rsidRPr="00802D04">
        <w:rPr>
          <w:szCs w:val="22"/>
        </w:rPr>
        <w:t xml:space="preserve"> </w:t>
      </w:r>
      <w:r w:rsidRPr="00EA3740">
        <w:rPr>
          <w:szCs w:val="22"/>
        </w:rPr>
        <w:t>přípravku v pitné vodě je přibližně 100 g/litr.</w:t>
      </w:r>
    </w:p>
    <w:p w14:paraId="5B3C08A0" w14:textId="5D912772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lastRenderedPageBreak/>
        <w:t xml:space="preserve">Pro </w:t>
      </w:r>
      <w:r w:rsidR="00D4251A">
        <w:rPr>
          <w:szCs w:val="22"/>
        </w:rPr>
        <w:t>od</w:t>
      </w:r>
      <w:r w:rsidRPr="00EA3740">
        <w:rPr>
          <w:szCs w:val="22"/>
        </w:rPr>
        <w:t>vážení vypočítaného množství salicylátu sodného se doporučuje použít vhodně kalibrovanou váhu.</w:t>
      </w:r>
    </w:p>
    <w:p w14:paraId="2923CB7A" w14:textId="77777777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Medikovanou pitnou vodu je nezbytné připravovat čerstvou každých 24 hodin.</w:t>
      </w:r>
    </w:p>
    <w:p w14:paraId="5D41C9A1" w14:textId="77777777" w:rsidR="003233B9" w:rsidRPr="00EA3740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Všechnu medikovanou vodu, která není spotřebována do 24 hodin, je třeba zlikvidovat a medikovanou pitnou vodu znovu doplnit.</w:t>
      </w:r>
    </w:p>
    <w:p w14:paraId="3EAB22ED" w14:textId="6368681D" w:rsidR="00247A48" w:rsidRPr="00B41D57" w:rsidRDefault="003233B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Zvířata by neměla mít během léčby přístup k jiným zdrojům</w:t>
      </w:r>
      <w:r w:rsidR="00A6660B">
        <w:rPr>
          <w:szCs w:val="22"/>
        </w:rPr>
        <w:t xml:space="preserve"> vody</w:t>
      </w:r>
      <w:r w:rsidRPr="00EA3740">
        <w:rPr>
          <w:szCs w:val="22"/>
        </w:rPr>
        <w:t>, aby byl zajištěn</w:t>
      </w:r>
      <w:r w:rsidR="00A6660B">
        <w:rPr>
          <w:szCs w:val="22"/>
        </w:rPr>
        <w:t xml:space="preserve"> příjem</w:t>
      </w:r>
      <w:r w:rsidRPr="00EA3740">
        <w:rPr>
          <w:szCs w:val="22"/>
        </w:rPr>
        <w:t xml:space="preserve"> </w:t>
      </w:r>
      <w:proofErr w:type="spellStart"/>
      <w:r w:rsidRPr="00EA3740">
        <w:rPr>
          <w:szCs w:val="22"/>
        </w:rPr>
        <w:t>medikované</w:t>
      </w:r>
      <w:proofErr w:type="spellEnd"/>
      <w:r w:rsidRPr="00EA3740">
        <w:rPr>
          <w:szCs w:val="22"/>
        </w:rPr>
        <w:t xml:space="preserve"> vody.</w:t>
      </w:r>
    </w:p>
    <w:p w14:paraId="13504C24" w14:textId="77777777" w:rsidR="00247A48" w:rsidRPr="00B41D57" w:rsidRDefault="00247A48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85AF50" w14:textId="198BF553" w:rsidR="00C114FF" w:rsidRPr="00B41D57" w:rsidRDefault="00273FA6" w:rsidP="0029137E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5CA612EF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53262E" w14:textId="77777777" w:rsidR="00E50820" w:rsidRPr="00EA3740" w:rsidRDefault="00E5082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Podání čtyřnásobku doporučené dávky vedlo ke zvýšení spotřeby pitné vody a občasnému průjmu.</w:t>
      </w:r>
    </w:p>
    <w:p w14:paraId="6A314C90" w14:textId="77777777" w:rsidR="00E50820" w:rsidRPr="00B41D57" w:rsidRDefault="00E5082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273FA6" w:rsidP="0029137E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24853D" w14:textId="0C1C6BA5" w:rsidR="009A6509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273FA6" w:rsidP="0029137E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3CDBF6BD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CEF222C" w14:textId="77777777" w:rsidR="009E3476" w:rsidRPr="00EA3740" w:rsidRDefault="009E347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Maso: 2 dny</w:t>
      </w:r>
    </w:p>
    <w:p w14:paraId="0ED48FA6" w14:textId="376F12A7" w:rsidR="00C932DA" w:rsidRPr="00B41D57" w:rsidRDefault="00C932DA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u</w:t>
      </w:r>
      <w:r w:rsidR="00C36125">
        <w:t xml:space="preserve"> ptáků</w:t>
      </w:r>
      <w:r w:rsidRPr="00B41D57">
        <w:t xml:space="preserve"> snášejících nebo určených ke snášce vajec pro lidskou spotřebu.</w:t>
      </w:r>
    </w:p>
    <w:p w14:paraId="49B65920" w14:textId="77777777" w:rsidR="0029137E" w:rsidRPr="00EA3740" w:rsidRDefault="0029137E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4ECF3052" w:rsidR="00C114FF" w:rsidRPr="00B41D57" w:rsidRDefault="00273FA6" w:rsidP="0029137E">
      <w:pPr>
        <w:pStyle w:val="Style1"/>
        <w:jc w:val="both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BE6E8E" w14:textId="452AF6F0" w:rsidR="005B04A8" w:rsidRPr="00B41D57" w:rsidRDefault="00273FA6" w:rsidP="0029137E">
      <w:pPr>
        <w:pStyle w:val="Style1"/>
        <w:jc w:val="both"/>
      </w:pPr>
      <w:r w:rsidRPr="00B41D57">
        <w:t>4.1</w:t>
      </w:r>
      <w:r w:rsidRPr="00B41D57">
        <w:tab/>
      </w:r>
      <w:proofErr w:type="spellStart"/>
      <w:r w:rsidRPr="00B41D57">
        <w:t>ATCvet</w:t>
      </w:r>
      <w:proofErr w:type="spellEnd"/>
      <w:r w:rsidRPr="00B41D57">
        <w:t xml:space="preserve"> kód:</w:t>
      </w:r>
      <w:r w:rsidR="000B35B0">
        <w:t xml:space="preserve"> </w:t>
      </w:r>
      <w:r w:rsidR="000B35B0" w:rsidRPr="003D3AB4">
        <w:rPr>
          <w:b w:val="0"/>
        </w:rPr>
        <w:t>QN02BA04</w:t>
      </w:r>
    </w:p>
    <w:p w14:paraId="5C965196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C4C65B" w14:textId="569AED64" w:rsidR="00C114FF" w:rsidRPr="00B41D57" w:rsidRDefault="00273FA6" w:rsidP="0029137E">
      <w:pPr>
        <w:pStyle w:val="Style1"/>
        <w:jc w:val="both"/>
      </w:pPr>
      <w:r w:rsidRPr="00B41D57">
        <w:t>4.2</w:t>
      </w:r>
      <w:r w:rsidRPr="00B41D57">
        <w:tab/>
        <w:t>Farmakodynamika</w:t>
      </w:r>
    </w:p>
    <w:p w14:paraId="3B1BF5BF" w14:textId="77777777" w:rsidR="000B35B0" w:rsidRDefault="000B35B0" w:rsidP="0029137E">
      <w:pPr>
        <w:pStyle w:val="Style1"/>
        <w:jc w:val="both"/>
      </w:pPr>
    </w:p>
    <w:p w14:paraId="3AAF6865" w14:textId="3EC621AE" w:rsidR="000B35B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Salicylát sodný je </w:t>
      </w:r>
      <w:r w:rsidRPr="00323B97">
        <w:rPr>
          <w:szCs w:val="22"/>
        </w:rPr>
        <w:t>nesteroidní protizánětlivé léčivo</w:t>
      </w:r>
      <w:r w:rsidRPr="00EA3740">
        <w:rPr>
          <w:szCs w:val="22"/>
        </w:rPr>
        <w:t xml:space="preserve"> (NSAID</w:t>
      </w:r>
      <w:r w:rsidR="004B28E0">
        <w:rPr>
          <w:szCs w:val="22"/>
        </w:rPr>
        <w:t>)</w:t>
      </w:r>
      <w:r w:rsidRPr="00EA3740">
        <w:rPr>
          <w:szCs w:val="22"/>
        </w:rPr>
        <w:t xml:space="preserve"> a má protizánětlivý účinek. Způsob účinku je založen na inhibici enzymu cyklooxygenázy, což má za následek sníženou produkci prostaglandinů (mediátorů zánětu).</w:t>
      </w:r>
    </w:p>
    <w:p w14:paraId="5E599B5E" w14:textId="77777777" w:rsidR="00C932DA" w:rsidRPr="00EA3740" w:rsidRDefault="00C932DA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40B2BA48" w:rsidR="00C114FF" w:rsidRPr="00B41D57" w:rsidRDefault="00273FA6" w:rsidP="0029137E">
      <w:pPr>
        <w:pStyle w:val="Style1"/>
        <w:jc w:val="both"/>
      </w:pPr>
      <w:r w:rsidRPr="00B41D57">
        <w:t>4.3</w:t>
      </w:r>
      <w:r w:rsidRPr="00B41D57">
        <w:tab/>
        <w:t>Farmakokinetika</w:t>
      </w:r>
    </w:p>
    <w:p w14:paraId="041767DA" w14:textId="5979A71F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A0E4C4F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U krůt se perorálně podávaný salicylát sodný absorbuje pasivní difúzí, částečně ze žaludku, a hlavně z tenkého střeva. Průchod voletem ovlivňuje rychlost absorpce a výchozí hladiny salicylátu sodného v plazmě závisí na tom, jak je vole</w:t>
      </w:r>
      <w:r>
        <w:rPr>
          <w:szCs w:val="22"/>
        </w:rPr>
        <w:t xml:space="preserve"> </w:t>
      </w:r>
      <w:r w:rsidRPr="00B31024">
        <w:rPr>
          <w:szCs w:val="22"/>
        </w:rPr>
        <w:t>plné</w:t>
      </w:r>
      <w:r>
        <w:rPr>
          <w:szCs w:val="22"/>
        </w:rPr>
        <w:t>.</w:t>
      </w:r>
      <w:r w:rsidRPr="008B3924">
        <w:rPr>
          <w:szCs w:val="22"/>
        </w:rPr>
        <w:t xml:space="preserve"> Po podání do volete je dosaženo maximálních koncentrací v plazmě přibližně za tři hodiny (průměr), t</w:t>
      </w:r>
      <w:r w:rsidRPr="008B3924">
        <w:rPr>
          <w:szCs w:val="22"/>
          <w:vertAlign w:val="subscript"/>
        </w:rPr>
        <w:t>1/2</w:t>
      </w:r>
      <w:r w:rsidRPr="00EA3740">
        <w:rPr>
          <w:szCs w:val="22"/>
        </w:rPr>
        <w:t xml:space="preserve"> je přibližně dvě hodiny. Při perorálním podání pitnou vodou (dávka 100 mg/kg živé hmotnosti denně po dobu tří dnů) jsou dosaženy průměrné koncentrace v plazmě nad 20 µg/ml.</w:t>
      </w:r>
    </w:p>
    <w:p w14:paraId="01924D11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A33AE6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Salicylát sodný se velmi dobře distribuuje v různých tkáních; nejvyšších koncentrací se dosahuje v játrech, ledvinách a plicích. Bylo možné odhalit akumulaci v zánětlivém exsudátu. Další studie o metabolismu nejsou pro krůty k dispozici. Vylučování je pravděpodobně primárně ledvinami.</w:t>
      </w:r>
    </w:p>
    <w:p w14:paraId="789B39BB" w14:textId="77777777" w:rsidR="0029137E" w:rsidRDefault="0029137E" w:rsidP="0029137E">
      <w:pPr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44B643E5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B41D57" w:rsidRDefault="00273FA6" w:rsidP="0029137E">
      <w:pPr>
        <w:pStyle w:val="Style1"/>
        <w:jc w:val="both"/>
      </w:pPr>
      <w:r w:rsidRPr="00B41D57">
        <w:t>5.</w:t>
      </w:r>
      <w:r w:rsidRPr="00B41D57">
        <w:tab/>
        <w:t>FARMACEUTICKÉ ÚDAJE</w:t>
      </w:r>
    </w:p>
    <w:p w14:paraId="7BC53755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B41D57" w:rsidRDefault="00273FA6" w:rsidP="0029137E">
      <w:pPr>
        <w:pStyle w:val="Style1"/>
        <w:jc w:val="both"/>
      </w:pPr>
      <w:r w:rsidRPr="00B41D57">
        <w:t>5.1</w:t>
      </w:r>
      <w:r w:rsidRPr="00B41D57">
        <w:tab/>
        <w:t>Hlavní inkompatibility</w:t>
      </w:r>
    </w:p>
    <w:p w14:paraId="36D931DB" w14:textId="77777777" w:rsidR="000B35B0" w:rsidRDefault="000B35B0" w:rsidP="00953E4C">
      <w:pPr>
        <w:tabs>
          <w:tab w:val="clear" w:pos="567"/>
        </w:tabs>
        <w:spacing w:line="240" w:lineRule="auto"/>
        <w:rPr>
          <w:szCs w:val="22"/>
        </w:rPr>
      </w:pPr>
    </w:p>
    <w:p w14:paraId="455A6717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288F0D5C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B41D57" w:rsidRDefault="00273FA6" w:rsidP="0051442D">
      <w:pPr>
        <w:pStyle w:val="Style1"/>
        <w:keepNext/>
        <w:jc w:val="both"/>
      </w:pPr>
      <w:r w:rsidRPr="00B41D57">
        <w:lastRenderedPageBreak/>
        <w:t>5.2</w:t>
      </w:r>
      <w:r w:rsidRPr="00B41D57">
        <w:tab/>
        <w:t>Doba použitelnosti</w:t>
      </w:r>
    </w:p>
    <w:p w14:paraId="100B6613" w14:textId="3F7C8430" w:rsidR="00C114FF" w:rsidRDefault="00C114FF" w:rsidP="0051442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A8177C3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Doba použitelnosti veterinárního léčivého přípravku v neporušeném obalu: 3 roky.</w:t>
      </w:r>
    </w:p>
    <w:p w14:paraId="43DC4D14" w14:textId="77777777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Doba použitelnosti po prvním otevření vnitřního obalu: 6 měsíců.</w:t>
      </w:r>
    </w:p>
    <w:p w14:paraId="7585DEEA" w14:textId="36FB734C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Doba použitelnosti po </w:t>
      </w:r>
      <w:bookmarkStart w:id="14" w:name="_Hlk137812641"/>
      <w:r w:rsidR="00802D04" w:rsidRPr="00802D04">
        <w:rPr>
          <w:szCs w:val="22"/>
        </w:rPr>
        <w:t>rozpuštění</w:t>
      </w:r>
      <w:bookmarkEnd w:id="14"/>
      <w:r w:rsidRPr="00EA3740">
        <w:rPr>
          <w:szCs w:val="22"/>
        </w:rPr>
        <w:t xml:space="preserve"> v pitné vodě podle návodu: 24 hodin.</w:t>
      </w:r>
    </w:p>
    <w:p w14:paraId="18BF3BE2" w14:textId="6D192FE4" w:rsidR="00802D04" w:rsidRPr="00802D04" w:rsidRDefault="00802D04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5" w:name="_Hlk137812669"/>
      <w:r w:rsidRPr="00802D04">
        <w:rPr>
          <w:szCs w:val="22"/>
        </w:rPr>
        <w:t>Po uplynutí této doby zbývající nepoužitý roztok zlikvid</w:t>
      </w:r>
      <w:r w:rsidR="0012523A">
        <w:rPr>
          <w:szCs w:val="22"/>
        </w:rPr>
        <w:t>ujte</w:t>
      </w:r>
      <w:r w:rsidRPr="00802D04">
        <w:rPr>
          <w:szCs w:val="22"/>
        </w:rPr>
        <w:t>.</w:t>
      </w:r>
    </w:p>
    <w:bookmarkEnd w:id="15"/>
    <w:p w14:paraId="2BC5B15E" w14:textId="7B6905BE" w:rsidR="000B35B0" w:rsidRPr="00EA3740" w:rsidRDefault="000B35B0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B41D57" w:rsidRDefault="00273FA6" w:rsidP="0029137E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478F6688" w14:textId="77777777" w:rsidR="000B35B0" w:rsidRDefault="000B35B0" w:rsidP="0029137E">
      <w:pPr>
        <w:pStyle w:val="Style5"/>
        <w:jc w:val="both"/>
      </w:pPr>
    </w:p>
    <w:p w14:paraId="2FD74566" w14:textId="312F9932" w:rsidR="001F5202" w:rsidRPr="00EA3740" w:rsidRDefault="001F5202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Tento veterinární léčivý přípravek nevyžaduje žádné zvláštní teplotní podmínky uchovávání. </w:t>
      </w:r>
    </w:p>
    <w:p w14:paraId="6A148EB2" w14:textId="61A274BC" w:rsidR="00C114FF" w:rsidRPr="00B41D57" w:rsidRDefault="001F5202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Uchovávejte v dobře uzavřeném vaku, aby byl přípravek chráněn před světlem</w:t>
      </w:r>
      <w:r w:rsidR="00323B97">
        <w:rPr>
          <w:szCs w:val="22"/>
        </w:rPr>
        <w:t xml:space="preserve"> </w:t>
      </w:r>
      <w:r w:rsidR="00323B97" w:rsidRPr="00323B97">
        <w:rPr>
          <w:szCs w:val="22"/>
        </w:rPr>
        <w:t>a vlhkostí</w:t>
      </w:r>
      <w:r w:rsidRPr="00EA3740">
        <w:rPr>
          <w:szCs w:val="22"/>
        </w:rPr>
        <w:t xml:space="preserve">. </w:t>
      </w:r>
    </w:p>
    <w:p w14:paraId="205A4A8C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B41D57" w:rsidRDefault="00273FA6" w:rsidP="0029137E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6E248E76" w14:textId="77777777" w:rsidR="001F5202" w:rsidRDefault="001F5202" w:rsidP="0029137E">
      <w:pPr>
        <w:tabs>
          <w:tab w:val="clear" w:pos="567"/>
        </w:tabs>
        <w:spacing w:line="240" w:lineRule="auto"/>
        <w:jc w:val="both"/>
      </w:pPr>
    </w:p>
    <w:p w14:paraId="0B7A3FAE" w14:textId="48AD4FB8" w:rsidR="001F5202" w:rsidRPr="00EA3740" w:rsidRDefault="001F5202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 xml:space="preserve">Vaky skládající se z následujících materiálů: vnější vrstva z </w:t>
      </w:r>
      <w:proofErr w:type="spellStart"/>
      <w:r w:rsidRPr="00EA3740">
        <w:rPr>
          <w:szCs w:val="22"/>
        </w:rPr>
        <w:t>polyethylentereftalátu</w:t>
      </w:r>
      <w:proofErr w:type="spellEnd"/>
      <w:r w:rsidRPr="00EA3740">
        <w:rPr>
          <w:szCs w:val="22"/>
        </w:rPr>
        <w:t xml:space="preserve">, střední vrstva </w:t>
      </w:r>
      <w:r w:rsidR="00FC7F7A" w:rsidRPr="00EA3740">
        <w:rPr>
          <w:szCs w:val="22"/>
        </w:rPr>
        <w:t>z</w:t>
      </w:r>
      <w:r w:rsidR="00FC7F7A">
        <w:rPr>
          <w:szCs w:val="22"/>
        </w:rPr>
        <w:t> </w:t>
      </w:r>
      <w:r w:rsidRPr="00EA3740">
        <w:rPr>
          <w:szCs w:val="22"/>
        </w:rPr>
        <w:t xml:space="preserve">hliníku a polyamidu a vnitřní vrstva z polyethylenu. </w:t>
      </w:r>
    </w:p>
    <w:p w14:paraId="6BE99E98" w14:textId="77777777" w:rsidR="001F5202" w:rsidRPr="00EA3740" w:rsidRDefault="001F5202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A3740">
        <w:rPr>
          <w:szCs w:val="22"/>
        </w:rPr>
        <w:t>Velikosti balení: 100 g, 250 g, 500 g, 1 kg, 2,5 kg a 5 kg.</w:t>
      </w:r>
    </w:p>
    <w:p w14:paraId="3B386EB9" w14:textId="77777777" w:rsidR="001F5202" w:rsidRDefault="001F5202" w:rsidP="0029137E">
      <w:pPr>
        <w:tabs>
          <w:tab w:val="clear" w:pos="567"/>
        </w:tabs>
        <w:spacing w:line="240" w:lineRule="auto"/>
        <w:jc w:val="both"/>
      </w:pPr>
    </w:p>
    <w:p w14:paraId="5C703918" w14:textId="36EEFC61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584B339F" w14:textId="77777777" w:rsidR="00C114FF" w:rsidRPr="00B41D57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B41D57" w:rsidRDefault="00273FA6" w:rsidP="0029137E">
      <w:pPr>
        <w:pStyle w:val="Style1"/>
        <w:keepNext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788BF4F3" w14:textId="77777777" w:rsidR="001F5202" w:rsidRDefault="001F5202" w:rsidP="0029137E">
      <w:pPr>
        <w:keepNext/>
        <w:spacing w:line="240" w:lineRule="auto"/>
        <w:jc w:val="both"/>
        <w:rPr>
          <w:szCs w:val="22"/>
        </w:rPr>
      </w:pPr>
    </w:p>
    <w:p w14:paraId="28682A0A" w14:textId="77F73D57" w:rsidR="00FD1E45" w:rsidRPr="00B41D57" w:rsidRDefault="00273FA6" w:rsidP="0029137E">
      <w:pPr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4A5EE14" w14:textId="77777777" w:rsidR="00FD1E45" w:rsidRPr="00B41D57" w:rsidRDefault="00FD1E45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7363B7A" w14:textId="00481F7C" w:rsidR="00C114FF" w:rsidRPr="00B41D57" w:rsidRDefault="00273FA6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</w:t>
      </w:r>
      <w:r w:rsidR="00DA2A06" w:rsidRPr="00B41D57">
        <w:t xml:space="preserve">epoužitý veterinární léčivý přípravek nebo </w:t>
      </w:r>
      <w:r w:rsidR="00905CAB" w:rsidRPr="00B41D57">
        <w:t>odpad, který pochází z tohoto přípravku,</w:t>
      </w:r>
      <w:r w:rsidR="00DA2A06" w:rsidRPr="00B41D57">
        <w:t xml:space="preserve"> </w:t>
      </w:r>
      <w:r w:rsidR="004C0568" w:rsidRPr="00B41D57">
        <w:t xml:space="preserve">likvidujte </w:t>
      </w:r>
      <w:r w:rsidR="007464DA" w:rsidRPr="00B41D57">
        <w:t>odevzdáním</w:t>
      </w:r>
      <w:r w:rsidR="00730908" w:rsidRPr="00B41D57">
        <w:t xml:space="preserve"> </w:t>
      </w:r>
      <w:r w:rsidR="00DA2A06" w:rsidRPr="00B41D57">
        <w:t>v souladu s místními požadavky a národními systémy sběru, které jsou platné pro příslušný veterinární léčivý přípravek.</w:t>
      </w:r>
    </w:p>
    <w:p w14:paraId="06949C1A" w14:textId="368FB49E" w:rsidR="00C114FF" w:rsidRDefault="00C114F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10CF97" w14:textId="77777777" w:rsidR="0029137E" w:rsidRPr="00B41D57" w:rsidRDefault="002913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B41D57" w:rsidRDefault="00273FA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2E652F1A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CC5E41" w14:textId="0AB7DCA0" w:rsidR="001F5202" w:rsidRPr="00EA3740" w:rsidRDefault="001F5202" w:rsidP="001F5202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EA3740">
        <w:rPr>
          <w:szCs w:val="22"/>
        </w:rPr>
        <w:t>Eurovet</w:t>
      </w:r>
      <w:proofErr w:type="spellEnd"/>
      <w:r w:rsidRPr="00EA3740">
        <w:rPr>
          <w:szCs w:val="22"/>
        </w:rPr>
        <w:t xml:space="preserve"> Animal </w:t>
      </w:r>
      <w:proofErr w:type="spellStart"/>
      <w:r w:rsidRPr="00EA3740">
        <w:rPr>
          <w:szCs w:val="22"/>
        </w:rPr>
        <w:t>Health</w:t>
      </w:r>
      <w:proofErr w:type="spellEnd"/>
      <w:r w:rsidRPr="00EA3740">
        <w:rPr>
          <w:szCs w:val="22"/>
        </w:rPr>
        <w:t xml:space="preserve"> BV</w:t>
      </w:r>
    </w:p>
    <w:p w14:paraId="72CDA71C" w14:textId="77777777" w:rsidR="0029137E" w:rsidRPr="00EA3740" w:rsidRDefault="0029137E" w:rsidP="001F5202">
      <w:pPr>
        <w:tabs>
          <w:tab w:val="clear" w:pos="567"/>
        </w:tabs>
        <w:spacing w:line="240" w:lineRule="auto"/>
        <w:rPr>
          <w:szCs w:val="22"/>
        </w:rPr>
      </w:pPr>
    </w:p>
    <w:p w14:paraId="6CB09C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77777777" w:rsidR="00C114FF" w:rsidRPr="00B41D57" w:rsidRDefault="00273FA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427D05E5" w14:textId="5BFA255B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EB56D8" w14:textId="77777777" w:rsidR="001F5202" w:rsidRDefault="001F5202" w:rsidP="001F5202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96/052/</w:t>
      </w:r>
      <w:proofErr w:type="gramStart"/>
      <w:r>
        <w:rPr>
          <w:szCs w:val="22"/>
        </w:rPr>
        <w:t>17-C</w:t>
      </w:r>
      <w:proofErr w:type="gramEnd"/>
    </w:p>
    <w:p w14:paraId="2677F47E" w14:textId="5690E0F8" w:rsidR="001F5202" w:rsidRDefault="001F520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13776B" w14:textId="77777777" w:rsidR="0029137E" w:rsidRPr="00B41D57" w:rsidRDefault="002913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B41D57" w:rsidRDefault="00273FA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98A2F6" w14:textId="42FAADB1" w:rsidR="00D65777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1F5202">
        <w:t xml:space="preserve"> 14/11/2017</w:t>
      </w:r>
    </w:p>
    <w:p w14:paraId="70B0A25D" w14:textId="78D8F7DE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AA0219" w14:textId="77777777" w:rsidR="0029137E" w:rsidRPr="00B41D57" w:rsidRDefault="002913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B41D57" w:rsidRDefault="00273FA6" w:rsidP="00B13B6D">
      <w:pPr>
        <w:pStyle w:val="Style1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02E3F5C" w14:textId="673A6C22" w:rsidR="00423968" w:rsidRPr="00B41D57" w:rsidRDefault="003D3AB4" w:rsidP="00423968">
      <w:pPr>
        <w:tabs>
          <w:tab w:val="clear" w:pos="567"/>
        </w:tabs>
        <w:spacing w:line="240" w:lineRule="auto"/>
      </w:pPr>
      <w:r>
        <w:t>Říjen</w:t>
      </w:r>
      <w:bookmarkStart w:id="16" w:name="_GoBack"/>
      <w:bookmarkEnd w:id="16"/>
      <w:r w:rsidR="00A6660B">
        <w:t xml:space="preserve"> 2023</w:t>
      </w:r>
    </w:p>
    <w:p w14:paraId="551BA9A1" w14:textId="77777777" w:rsidR="0029137E" w:rsidRPr="00B41D57" w:rsidRDefault="002913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B41D57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B41D57" w:rsidRDefault="00273FA6" w:rsidP="0029137E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7755F801" w:rsidR="0078538F" w:rsidRPr="00B41D57" w:rsidRDefault="00273FA6" w:rsidP="0029137E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29137E">
      <w:pPr>
        <w:spacing w:line="240" w:lineRule="auto"/>
        <w:jc w:val="both"/>
        <w:rPr>
          <w:szCs w:val="22"/>
        </w:rPr>
      </w:pPr>
    </w:p>
    <w:p w14:paraId="69924E2B" w14:textId="692805DF" w:rsidR="00C114FF" w:rsidRDefault="00273FA6" w:rsidP="0029137E">
      <w:pPr>
        <w:spacing w:line="240" w:lineRule="auto"/>
        <w:jc w:val="both"/>
        <w:rPr>
          <w:i/>
          <w:szCs w:val="22"/>
        </w:rPr>
      </w:pPr>
      <w:bookmarkStart w:id="17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  <w:bookmarkEnd w:id="17"/>
    </w:p>
    <w:p w14:paraId="3F761EEB" w14:textId="318CEE38" w:rsidR="00D37099" w:rsidRDefault="00D37099" w:rsidP="0029137E">
      <w:pPr>
        <w:spacing w:line="240" w:lineRule="auto"/>
        <w:jc w:val="both"/>
        <w:rPr>
          <w:szCs w:val="22"/>
        </w:rPr>
      </w:pPr>
    </w:p>
    <w:p w14:paraId="069BB3D0" w14:textId="4239DDB5" w:rsidR="00D37099" w:rsidRPr="00B41D57" w:rsidRDefault="00D37099" w:rsidP="0029137E">
      <w:pPr>
        <w:spacing w:line="240" w:lineRule="auto"/>
        <w:jc w:val="both"/>
        <w:rPr>
          <w:szCs w:val="22"/>
        </w:rPr>
      </w:pPr>
      <w:r w:rsidRPr="00D37099">
        <w:rPr>
          <w:szCs w:val="22"/>
        </w:rPr>
        <w:lastRenderedPageBreak/>
        <w:t>Podrobné informace o tomto veterinárním léčivém přípravku naleznete také v národní databázi (https://www.uskvbl.cz).</w:t>
      </w:r>
    </w:p>
    <w:p w14:paraId="72BBFD3F" w14:textId="77777777" w:rsidR="005F346D" w:rsidRPr="00B41D57" w:rsidRDefault="005F346D" w:rsidP="0029137E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3837F1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CD48" w14:textId="77777777" w:rsidR="00FB112B" w:rsidRDefault="00FB112B">
      <w:pPr>
        <w:spacing w:line="240" w:lineRule="auto"/>
      </w:pPr>
      <w:r>
        <w:separator/>
      </w:r>
    </w:p>
  </w:endnote>
  <w:endnote w:type="continuationSeparator" w:id="0">
    <w:p w14:paraId="1C876D45" w14:textId="77777777" w:rsidR="00FB112B" w:rsidRDefault="00FB11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5240" w14:textId="77777777" w:rsidR="00FB112B" w:rsidRDefault="00FB112B">
      <w:pPr>
        <w:spacing w:line="240" w:lineRule="auto"/>
      </w:pPr>
      <w:r>
        <w:separator/>
      </w:r>
    </w:p>
  </w:footnote>
  <w:footnote w:type="continuationSeparator" w:id="0">
    <w:p w14:paraId="2D40519B" w14:textId="77777777" w:rsidR="00FB112B" w:rsidRDefault="00FB11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B8244" w14:textId="5802FF40" w:rsidR="00657B55" w:rsidRDefault="00657B55" w:rsidP="003D3AB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5A5E4C"/>
    <w:multiLevelType w:val="hybridMultilevel"/>
    <w:tmpl w:val="9620D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51C3C"/>
    <w:multiLevelType w:val="hybridMultilevel"/>
    <w:tmpl w:val="CD9E9BCE"/>
    <w:lvl w:ilvl="0" w:tplc="45FC4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84C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34D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80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52E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0039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6E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3F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C2A7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696C17"/>
    <w:multiLevelType w:val="hybridMultilevel"/>
    <w:tmpl w:val="08FE4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5"/>
  </w:num>
  <w:num w:numId="5">
    <w:abstractNumId w:val="13"/>
  </w:num>
  <w:num w:numId="6">
    <w:abstractNumId w:val="27"/>
  </w:num>
  <w:num w:numId="7">
    <w:abstractNumId w:val="21"/>
  </w:num>
  <w:num w:numId="8">
    <w:abstractNumId w:val="9"/>
  </w:num>
  <w:num w:numId="9">
    <w:abstractNumId w:val="33"/>
  </w:num>
  <w:num w:numId="10">
    <w:abstractNumId w:val="34"/>
  </w:num>
  <w:num w:numId="11">
    <w:abstractNumId w:val="16"/>
  </w:num>
  <w:num w:numId="12">
    <w:abstractNumId w:val="14"/>
  </w:num>
  <w:num w:numId="13">
    <w:abstractNumId w:val="3"/>
  </w:num>
  <w:num w:numId="14">
    <w:abstractNumId w:val="32"/>
  </w:num>
  <w:num w:numId="15">
    <w:abstractNumId w:val="19"/>
  </w:num>
  <w:num w:numId="16">
    <w:abstractNumId w:val="37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9"/>
  </w:num>
  <w:num w:numId="23">
    <w:abstractNumId w:val="38"/>
  </w:num>
  <w:num w:numId="24">
    <w:abstractNumId w:val="24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5"/>
  </w:num>
  <w:num w:numId="30">
    <w:abstractNumId w:val="40"/>
  </w:num>
  <w:num w:numId="31">
    <w:abstractNumId w:val="41"/>
  </w:num>
  <w:num w:numId="32">
    <w:abstractNumId w:val="23"/>
  </w:num>
  <w:num w:numId="33">
    <w:abstractNumId w:val="31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8"/>
  </w:num>
  <w:num w:numId="39">
    <w:abstractNumId w:val="39"/>
  </w:num>
  <w:num w:numId="40">
    <w:abstractNumId w:val="30"/>
  </w:num>
  <w:num w:numId="41">
    <w:abstractNumId w:val="20"/>
  </w:num>
  <w:num w:numId="42">
    <w:abstractNumId w:val="2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2764A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A25F4"/>
    <w:rsid w:val="000B35B0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1BE0"/>
    <w:rsid w:val="00124F36"/>
    <w:rsid w:val="0012523A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BC0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A7E15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5202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1944"/>
    <w:rsid w:val="0025267C"/>
    <w:rsid w:val="00252FF5"/>
    <w:rsid w:val="00253B6B"/>
    <w:rsid w:val="00256A03"/>
    <w:rsid w:val="0025748D"/>
    <w:rsid w:val="00265656"/>
    <w:rsid w:val="00265E77"/>
    <w:rsid w:val="00266155"/>
    <w:rsid w:val="0027270B"/>
    <w:rsid w:val="00272B36"/>
    <w:rsid w:val="00273FA6"/>
    <w:rsid w:val="00274B7E"/>
    <w:rsid w:val="00274D17"/>
    <w:rsid w:val="00282E7B"/>
    <w:rsid w:val="002838C8"/>
    <w:rsid w:val="00290805"/>
    <w:rsid w:val="00290C2A"/>
    <w:rsid w:val="0029137E"/>
    <w:rsid w:val="002931DD"/>
    <w:rsid w:val="00295140"/>
    <w:rsid w:val="002A0E7C"/>
    <w:rsid w:val="002A0EED"/>
    <w:rsid w:val="002A21ED"/>
    <w:rsid w:val="002A323F"/>
    <w:rsid w:val="002A3F88"/>
    <w:rsid w:val="002A5F97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2B2C"/>
    <w:rsid w:val="003233B9"/>
    <w:rsid w:val="00323B9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5C11"/>
    <w:rsid w:val="003535E0"/>
    <w:rsid w:val="003543AC"/>
    <w:rsid w:val="00355AB8"/>
    <w:rsid w:val="00355D02"/>
    <w:rsid w:val="00361607"/>
    <w:rsid w:val="00365C0D"/>
    <w:rsid w:val="00366F56"/>
    <w:rsid w:val="0037070B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3AB4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3734C"/>
    <w:rsid w:val="004468EA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A75A3"/>
    <w:rsid w:val="004B1A75"/>
    <w:rsid w:val="004B2344"/>
    <w:rsid w:val="004B28E0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700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442D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3DF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A7925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1B7B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7B55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3A38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1786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4300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2D04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E1B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6257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4C2"/>
    <w:rsid w:val="00966F1F"/>
    <w:rsid w:val="00975676"/>
    <w:rsid w:val="00976467"/>
    <w:rsid w:val="00976D32"/>
    <w:rsid w:val="0098094B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3476"/>
    <w:rsid w:val="009E49AD"/>
    <w:rsid w:val="009E4CC5"/>
    <w:rsid w:val="009E66FE"/>
    <w:rsid w:val="009E70F4"/>
    <w:rsid w:val="009E72A3"/>
    <w:rsid w:val="009F1AD2"/>
    <w:rsid w:val="009F3789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363A6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660B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39FE"/>
    <w:rsid w:val="00AE6AA0"/>
    <w:rsid w:val="00AF406C"/>
    <w:rsid w:val="00AF45ED"/>
    <w:rsid w:val="00B005B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020E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125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2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1498"/>
    <w:rsid w:val="00D26B62"/>
    <w:rsid w:val="00D32624"/>
    <w:rsid w:val="00D3691A"/>
    <w:rsid w:val="00D37099"/>
    <w:rsid w:val="00D377E2"/>
    <w:rsid w:val="00D403E9"/>
    <w:rsid w:val="00D4251A"/>
    <w:rsid w:val="00D42DCB"/>
    <w:rsid w:val="00D45482"/>
    <w:rsid w:val="00D46A8E"/>
    <w:rsid w:val="00D46DF2"/>
    <w:rsid w:val="00D47674"/>
    <w:rsid w:val="00D5338C"/>
    <w:rsid w:val="00D606B2"/>
    <w:rsid w:val="00D625A7"/>
    <w:rsid w:val="00D63317"/>
    <w:rsid w:val="00D63575"/>
    <w:rsid w:val="00D64074"/>
    <w:rsid w:val="00D65777"/>
    <w:rsid w:val="00D728A0"/>
    <w:rsid w:val="00D74018"/>
    <w:rsid w:val="00D83661"/>
    <w:rsid w:val="00D875DB"/>
    <w:rsid w:val="00D9216A"/>
    <w:rsid w:val="00D95BBB"/>
    <w:rsid w:val="00D97E7D"/>
    <w:rsid w:val="00DA25A8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30AF"/>
    <w:rsid w:val="00DE424A"/>
    <w:rsid w:val="00DE4419"/>
    <w:rsid w:val="00DE67C4"/>
    <w:rsid w:val="00DF0ACA"/>
    <w:rsid w:val="00DF2245"/>
    <w:rsid w:val="00DF35C8"/>
    <w:rsid w:val="00DF4CE9"/>
    <w:rsid w:val="00DF4F68"/>
    <w:rsid w:val="00DF60ED"/>
    <w:rsid w:val="00DF77CF"/>
    <w:rsid w:val="00E0068C"/>
    <w:rsid w:val="00E026E8"/>
    <w:rsid w:val="00E04FC7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C08"/>
    <w:rsid w:val="00E50820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99"/>
    <w:rsid w:val="00FA06FD"/>
    <w:rsid w:val="00FA515B"/>
    <w:rsid w:val="00FA6B90"/>
    <w:rsid w:val="00FA70F9"/>
    <w:rsid w:val="00FA74CB"/>
    <w:rsid w:val="00FB112B"/>
    <w:rsid w:val="00FB207A"/>
    <w:rsid w:val="00FB2886"/>
    <w:rsid w:val="00FB466E"/>
    <w:rsid w:val="00FB6F2F"/>
    <w:rsid w:val="00FC02F3"/>
    <w:rsid w:val="00FC752C"/>
    <w:rsid w:val="00FC7F7A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DA11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70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3B33-A3F6-4B29-910E-044FFDC9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1279</Words>
  <Characters>7547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16</cp:revision>
  <cp:lastPrinted>2023-10-12T11:18:00Z</cp:lastPrinted>
  <dcterms:created xsi:type="dcterms:W3CDTF">2023-06-20T14:48:00Z</dcterms:created>
  <dcterms:modified xsi:type="dcterms:W3CDTF">2023-10-12T11:18:00Z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