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40" w:rsidRPr="002620B0" w:rsidRDefault="00A61C40">
      <w:pPr>
        <w:pStyle w:val="StylZarovnatdoblokuDolejednoduchAutomatick075b"/>
        <w:rPr>
          <w:szCs w:val="24"/>
        </w:rPr>
      </w:pPr>
    </w:p>
    <w:p w:rsidR="00A61C40" w:rsidRDefault="00A61C40">
      <w:pPr>
        <w:jc w:val="center"/>
        <w:rPr>
          <w:b/>
          <w:bCs/>
          <w:szCs w:val="24"/>
        </w:rPr>
      </w:pPr>
      <w:r w:rsidRPr="002620B0">
        <w:rPr>
          <w:b/>
          <w:bCs/>
          <w:szCs w:val="24"/>
        </w:rPr>
        <w:t>PŘÍBALOVÁ INFORMACE</w:t>
      </w:r>
      <w:r w:rsidR="00631CEE">
        <w:rPr>
          <w:b/>
          <w:bCs/>
          <w:szCs w:val="24"/>
        </w:rPr>
        <w:t xml:space="preserve"> PRO</w:t>
      </w:r>
    </w:p>
    <w:p w:rsidR="00631CEE" w:rsidRPr="008F52D9" w:rsidRDefault="00631CEE" w:rsidP="00631CEE">
      <w:pPr>
        <w:pStyle w:val="Nadpis4"/>
        <w:rPr>
          <w:color w:val="auto"/>
        </w:rPr>
      </w:pPr>
      <w:r w:rsidRPr="001E1E73">
        <w:rPr>
          <w:color w:val="auto"/>
        </w:rPr>
        <w:t>MICOSPECTONE  166,5</w:t>
      </w:r>
      <w:r w:rsidRPr="00643E5F">
        <w:rPr>
          <w:color w:val="auto"/>
        </w:rPr>
        <w:t xml:space="preserve"> mg + </w:t>
      </w:r>
      <w:r w:rsidRPr="009B3583">
        <w:rPr>
          <w:color w:val="auto"/>
        </w:rPr>
        <w:t>333,5</w:t>
      </w:r>
      <w:r w:rsidRPr="00B145D7">
        <w:rPr>
          <w:color w:val="auto"/>
        </w:rPr>
        <w:t xml:space="preserve"> </w:t>
      </w:r>
      <w:r w:rsidRPr="00E66DE4">
        <w:rPr>
          <w:color w:val="auto"/>
        </w:rPr>
        <w:t>mg</w:t>
      </w:r>
      <w:r w:rsidRPr="00F87E60">
        <w:rPr>
          <w:color w:val="auto"/>
        </w:rPr>
        <w:t xml:space="preserve">  prášek pro přípravu perorálního roztoku</w:t>
      </w:r>
    </w:p>
    <w:p w:rsidR="00631CEE" w:rsidRPr="002620B0" w:rsidRDefault="00631CEE">
      <w:pPr>
        <w:jc w:val="center"/>
        <w:rPr>
          <w:b/>
          <w:bCs/>
          <w:szCs w:val="24"/>
        </w:rPr>
      </w:pPr>
    </w:p>
    <w:p w:rsidR="00A61C40" w:rsidRPr="002620B0" w:rsidRDefault="00A61C40">
      <w:pPr>
        <w:jc w:val="center"/>
        <w:rPr>
          <w:szCs w:val="24"/>
        </w:rPr>
      </w:pPr>
    </w:p>
    <w:p w:rsidR="00A61C40" w:rsidRPr="002620B0" w:rsidRDefault="00A61C40">
      <w:pPr>
        <w:ind w:left="567" w:right="113" w:hanging="567"/>
        <w:rPr>
          <w:szCs w:val="24"/>
        </w:rPr>
      </w:pPr>
    </w:p>
    <w:p w:rsidR="00A61C40" w:rsidRPr="002620B0" w:rsidRDefault="00A61C40">
      <w:pPr>
        <w:ind w:left="567" w:hanging="567"/>
        <w:rPr>
          <w:b/>
          <w:szCs w:val="24"/>
        </w:rPr>
      </w:pPr>
      <w:r w:rsidRPr="002620B0">
        <w:rPr>
          <w:b/>
          <w:szCs w:val="24"/>
        </w:rPr>
        <w:t>1.</w:t>
      </w:r>
      <w:r w:rsidRPr="002620B0">
        <w:rPr>
          <w:b/>
          <w:szCs w:val="24"/>
        </w:rPr>
        <w:tab/>
        <w:t>JMÉNO A ADRESA DRŽITELE ROZHODNUTÍ O REGISTRACI A DRŽITELE POVOLENÍ K VÝROBĚ ODPOVĚDNÉHO ZA UVOLNĚNÍ ŠARŽE, POKUD SE NESHODUJE</w:t>
      </w:r>
    </w:p>
    <w:p w:rsidR="00A61C40" w:rsidRPr="002620B0" w:rsidRDefault="00A61C40">
      <w:pPr>
        <w:ind w:left="567" w:hanging="567"/>
        <w:rPr>
          <w:szCs w:val="24"/>
        </w:rPr>
      </w:pPr>
    </w:p>
    <w:p w:rsidR="00A61C40" w:rsidRPr="002620B0" w:rsidRDefault="00A61C40">
      <w:r w:rsidRPr="002620B0">
        <w:rPr>
          <w:bCs/>
        </w:rPr>
        <w:t>F</w:t>
      </w:r>
      <w:r w:rsidR="002620B0">
        <w:rPr>
          <w:bCs/>
        </w:rPr>
        <w:t>ATRO</w:t>
      </w:r>
      <w:r w:rsidRPr="002620B0">
        <w:rPr>
          <w:bCs/>
        </w:rPr>
        <w:t xml:space="preserve"> </w:t>
      </w:r>
      <w:proofErr w:type="spellStart"/>
      <w:r w:rsidRPr="002620B0">
        <w:rPr>
          <w:bCs/>
        </w:rPr>
        <w:t>S.p.A</w:t>
      </w:r>
      <w:proofErr w:type="spellEnd"/>
      <w:r w:rsidRPr="002620B0">
        <w:rPr>
          <w:bCs/>
        </w:rPr>
        <w:t xml:space="preserve">., Via </w:t>
      </w:r>
      <w:proofErr w:type="gramStart"/>
      <w:r w:rsidRPr="002620B0">
        <w:rPr>
          <w:bCs/>
        </w:rPr>
        <w:t>Emilia</w:t>
      </w:r>
      <w:proofErr w:type="gramEnd"/>
      <w:r w:rsidRPr="002620B0">
        <w:rPr>
          <w:bCs/>
        </w:rPr>
        <w:t xml:space="preserve"> 285, 40064 </w:t>
      </w:r>
      <w:proofErr w:type="spellStart"/>
      <w:r w:rsidRPr="002620B0">
        <w:rPr>
          <w:bCs/>
        </w:rPr>
        <w:t>Ozzano</w:t>
      </w:r>
      <w:proofErr w:type="spellEnd"/>
      <w:r w:rsidRPr="002620B0">
        <w:rPr>
          <w:bCs/>
        </w:rPr>
        <w:t xml:space="preserve"> Emilia (Bologna), Itálie</w:t>
      </w:r>
    </w:p>
    <w:p w:rsidR="00A61C40" w:rsidRPr="002620B0" w:rsidRDefault="00A61C40">
      <w:pPr>
        <w:ind w:right="113"/>
        <w:rPr>
          <w:szCs w:val="24"/>
        </w:rPr>
      </w:pPr>
    </w:p>
    <w:p w:rsidR="00A61C40" w:rsidRPr="002620B0" w:rsidRDefault="00A61C40">
      <w:pPr>
        <w:ind w:right="113"/>
        <w:rPr>
          <w:szCs w:val="24"/>
        </w:rPr>
      </w:pPr>
      <w:r w:rsidRPr="002620B0">
        <w:rPr>
          <w:b/>
          <w:bCs/>
          <w:szCs w:val="24"/>
        </w:rPr>
        <w:t>2.</w:t>
      </w:r>
      <w:r w:rsidRPr="002620B0">
        <w:rPr>
          <w:b/>
          <w:bCs/>
          <w:szCs w:val="24"/>
        </w:rPr>
        <w:tab/>
        <w:t>NÁZEV VETERINÁRNÍHO LÉČIVÉHO PŘÍPRAVKU</w:t>
      </w:r>
    </w:p>
    <w:p w:rsidR="00A61C40" w:rsidRPr="002620B0" w:rsidRDefault="00A61C40">
      <w:pPr>
        <w:rPr>
          <w:szCs w:val="24"/>
        </w:rPr>
      </w:pPr>
    </w:p>
    <w:p w:rsidR="00FE1D45" w:rsidRPr="002620B0" w:rsidRDefault="00FE1D45" w:rsidP="001304C5">
      <w:pPr>
        <w:pStyle w:val="Nadpis4"/>
        <w:rPr>
          <w:color w:val="auto"/>
        </w:rPr>
      </w:pPr>
      <w:r w:rsidRPr="002620B0">
        <w:rPr>
          <w:color w:val="auto"/>
        </w:rPr>
        <w:t>MICOSPECTONE 166,5</w:t>
      </w:r>
      <w:r w:rsidR="002620B0">
        <w:rPr>
          <w:color w:val="auto"/>
        </w:rPr>
        <w:t xml:space="preserve"> mg + </w:t>
      </w:r>
      <w:r w:rsidRPr="002620B0">
        <w:rPr>
          <w:color w:val="auto"/>
        </w:rPr>
        <w:t>333,5 mg prášek pro přípravu perorálního roztoku</w:t>
      </w:r>
    </w:p>
    <w:p w:rsidR="00A61C40" w:rsidRPr="002620B0" w:rsidRDefault="00A61C40" w:rsidP="001304C5">
      <w:pPr>
        <w:rPr>
          <w:i/>
        </w:rPr>
      </w:pPr>
      <w:proofErr w:type="spellStart"/>
      <w:r w:rsidRPr="002620B0">
        <w:rPr>
          <w:i/>
        </w:rPr>
        <w:t>Lincomycinum</w:t>
      </w:r>
      <w:proofErr w:type="spellEnd"/>
    </w:p>
    <w:p w:rsidR="00A61C40" w:rsidRPr="002620B0" w:rsidRDefault="00A61C40" w:rsidP="001304C5">
      <w:pPr>
        <w:rPr>
          <w:i/>
        </w:rPr>
      </w:pPr>
      <w:proofErr w:type="spellStart"/>
      <w:r w:rsidRPr="002620B0">
        <w:rPr>
          <w:i/>
        </w:rPr>
        <w:t>Spectinomycinum</w:t>
      </w:r>
      <w:proofErr w:type="spellEnd"/>
    </w:p>
    <w:p w:rsidR="00A61C40" w:rsidRPr="002620B0" w:rsidRDefault="00A61C40">
      <w:pPr>
        <w:widowControl w:val="0"/>
        <w:spacing w:line="240" w:lineRule="atLeast"/>
        <w:rPr>
          <w:szCs w:val="24"/>
        </w:rPr>
      </w:pPr>
    </w:p>
    <w:p w:rsidR="00A61C40" w:rsidRPr="002620B0" w:rsidRDefault="00A61C40">
      <w:pPr>
        <w:ind w:left="567" w:hanging="567"/>
        <w:rPr>
          <w:b/>
          <w:bCs/>
          <w:szCs w:val="24"/>
        </w:rPr>
      </w:pPr>
      <w:r w:rsidRPr="002620B0">
        <w:rPr>
          <w:b/>
          <w:bCs/>
          <w:szCs w:val="24"/>
        </w:rPr>
        <w:t>3.</w:t>
      </w:r>
      <w:r w:rsidRPr="002620B0">
        <w:rPr>
          <w:b/>
          <w:bCs/>
          <w:szCs w:val="24"/>
        </w:rPr>
        <w:tab/>
        <w:t xml:space="preserve">OBSAH LÉČIVÝCH A OSTATNÍCH LÁTEK </w:t>
      </w:r>
    </w:p>
    <w:p w:rsidR="00A61C40" w:rsidRPr="002620B0" w:rsidRDefault="00A61C40">
      <w:pPr>
        <w:widowControl w:val="0"/>
        <w:spacing w:line="240" w:lineRule="atLeast"/>
      </w:pPr>
      <w:smartTag w:uri="urn:schemas-microsoft-com:office:smarttags" w:element="metricconverter">
        <w:smartTagPr>
          <w:attr w:name="ProductID" w:val="1 g"/>
        </w:smartTagPr>
        <w:r w:rsidRPr="002620B0">
          <w:t>1 g</w:t>
        </w:r>
      </w:smartTag>
      <w:r w:rsidRPr="002620B0">
        <w:t xml:space="preserve"> obsahuje:</w:t>
      </w:r>
    </w:p>
    <w:p w:rsidR="00A61C40" w:rsidRPr="002620B0" w:rsidRDefault="00A61C40">
      <w:pPr>
        <w:widowControl w:val="0"/>
        <w:spacing w:line="240" w:lineRule="atLeast"/>
        <w:rPr>
          <w:b/>
          <w:bCs/>
        </w:rPr>
      </w:pPr>
      <w:r w:rsidRPr="002620B0">
        <w:rPr>
          <w:b/>
          <w:bCs/>
        </w:rPr>
        <w:t xml:space="preserve">Léčivé látky: </w:t>
      </w:r>
    </w:p>
    <w:p w:rsidR="00A61C40" w:rsidRPr="002620B0" w:rsidRDefault="00A61C40">
      <w:pPr>
        <w:widowControl w:val="0"/>
        <w:spacing w:line="240" w:lineRule="atLeast"/>
      </w:pPr>
      <w:proofErr w:type="spellStart"/>
      <w:r w:rsidRPr="002620B0">
        <w:t>Linkomycinum</w:t>
      </w:r>
      <w:proofErr w:type="spellEnd"/>
      <w:r w:rsidRPr="002620B0">
        <w:t xml:space="preserve"> (</w:t>
      </w:r>
      <w:proofErr w:type="spellStart"/>
      <w:r w:rsidRPr="002620B0">
        <w:t>ut</w:t>
      </w:r>
      <w:proofErr w:type="spellEnd"/>
      <w:r w:rsidRPr="002620B0">
        <w:t xml:space="preserve"> </w:t>
      </w:r>
      <w:proofErr w:type="spellStart"/>
      <w:proofErr w:type="gramStart"/>
      <w:r w:rsidRPr="002620B0">
        <w:t>hydrochloridum</w:t>
      </w:r>
      <w:proofErr w:type="spellEnd"/>
      <w:r w:rsidRPr="002620B0">
        <w:t>)     166,5</w:t>
      </w:r>
      <w:proofErr w:type="gramEnd"/>
      <w:r w:rsidRPr="002620B0">
        <w:t xml:space="preserve">  mg</w:t>
      </w:r>
    </w:p>
    <w:p w:rsidR="00A61C40" w:rsidRPr="002620B0" w:rsidRDefault="00A61C40">
      <w:pPr>
        <w:widowControl w:val="0"/>
        <w:spacing w:line="240" w:lineRule="atLeast"/>
      </w:pPr>
      <w:proofErr w:type="spellStart"/>
      <w:r w:rsidRPr="002620B0">
        <w:t>Spectinomycinum</w:t>
      </w:r>
      <w:proofErr w:type="spellEnd"/>
      <w:r w:rsidRPr="002620B0">
        <w:t xml:space="preserve"> (</w:t>
      </w:r>
      <w:proofErr w:type="spellStart"/>
      <w:r w:rsidRPr="002620B0">
        <w:t>ut</w:t>
      </w:r>
      <w:proofErr w:type="spellEnd"/>
      <w:r w:rsidRPr="002620B0">
        <w:t xml:space="preserve"> </w:t>
      </w:r>
      <w:proofErr w:type="spellStart"/>
      <w:proofErr w:type="gramStart"/>
      <w:r w:rsidRPr="002620B0">
        <w:t>hydrochloridum</w:t>
      </w:r>
      <w:proofErr w:type="spellEnd"/>
      <w:r w:rsidRPr="002620B0">
        <w:t>)  333,5</w:t>
      </w:r>
      <w:proofErr w:type="gramEnd"/>
      <w:r w:rsidRPr="002620B0">
        <w:t xml:space="preserve"> mg </w:t>
      </w:r>
    </w:p>
    <w:p w:rsidR="00A61C40" w:rsidRPr="002620B0" w:rsidRDefault="00A61C40">
      <w:pPr>
        <w:widowControl w:val="0"/>
        <w:spacing w:line="240" w:lineRule="atLeast"/>
        <w:rPr>
          <w:b/>
          <w:bCs/>
          <w:u w:val="single"/>
        </w:rPr>
      </w:pPr>
    </w:p>
    <w:p w:rsidR="00A61C40" w:rsidRPr="002620B0" w:rsidRDefault="001304C5">
      <w:pPr>
        <w:ind w:left="567" w:hanging="567"/>
        <w:rPr>
          <w:b/>
          <w:bCs/>
          <w:szCs w:val="24"/>
        </w:rPr>
      </w:pPr>
      <w:r w:rsidRPr="002620B0">
        <w:t>Bílý až světle žlutý prášek.</w:t>
      </w:r>
    </w:p>
    <w:p w:rsidR="001304C5" w:rsidRPr="002620B0" w:rsidRDefault="001304C5">
      <w:pPr>
        <w:ind w:left="567" w:hanging="567"/>
        <w:rPr>
          <w:b/>
          <w:bCs/>
          <w:szCs w:val="24"/>
        </w:rPr>
      </w:pPr>
    </w:p>
    <w:p w:rsidR="00A61C40" w:rsidRPr="002620B0" w:rsidRDefault="00A61C40">
      <w:pPr>
        <w:ind w:left="567" w:hanging="567"/>
        <w:rPr>
          <w:b/>
          <w:bCs/>
          <w:szCs w:val="24"/>
        </w:rPr>
      </w:pPr>
      <w:r w:rsidRPr="002620B0">
        <w:rPr>
          <w:b/>
          <w:bCs/>
          <w:szCs w:val="24"/>
        </w:rPr>
        <w:t>4.</w:t>
      </w:r>
      <w:r w:rsidRPr="002620B0">
        <w:rPr>
          <w:b/>
          <w:bCs/>
          <w:szCs w:val="24"/>
        </w:rPr>
        <w:tab/>
        <w:t>INDIKACE</w:t>
      </w:r>
    </w:p>
    <w:p w:rsidR="004B6F9E" w:rsidRPr="004B6F9E" w:rsidRDefault="004B6F9E" w:rsidP="004B6F9E">
      <w:pPr>
        <w:autoSpaceDE w:val="0"/>
        <w:autoSpaceDN w:val="0"/>
        <w:adjustRightInd w:val="0"/>
        <w:jc w:val="both"/>
        <w:rPr>
          <w:szCs w:val="24"/>
        </w:rPr>
      </w:pPr>
      <w:r w:rsidRPr="004B6F9E">
        <w:rPr>
          <w:szCs w:val="24"/>
        </w:rPr>
        <w:t>Prasata</w:t>
      </w:r>
      <w:r w:rsidR="002C4EDE">
        <w:rPr>
          <w:szCs w:val="24"/>
        </w:rPr>
        <w:t xml:space="preserve"> (selata)</w:t>
      </w:r>
      <w:r w:rsidR="00204B83">
        <w:rPr>
          <w:szCs w:val="24"/>
        </w:rPr>
        <w:t>:</w:t>
      </w:r>
    </w:p>
    <w:p w:rsidR="004B6F9E" w:rsidRPr="004B6F9E" w:rsidRDefault="004B6F9E" w:rsidP="004B6F9E">
      <w:pPr>
        <w:autoSpaceDE w:val="0"/>
        <w:autoSpaceDN w:val="0"/>
        <w:adjustRightInd w:val="0"/>
        <w:jc w:val="both"/>
        <w:rPr>
          <w:szCs w:val="24"/>
        </w:rPr>
      </w:pPr>
      <w:r w:rsidRPr="004B6F9E">
        <w:rPr>
          <w:szCs w:val="24"/>
        </w:rPr>
        <w:t xml:space="preserve">K léčbě a </w:t>
      </w:r>
      <w:proofErr w:type="spellStart"/>
      <w:r w:rsidRPr="004B6F9E">
        <w:rPr>
          <w:szCs w:val="24"/>
        </w:rPr>
        <w:t>metafylaxi</w:t>
      </w:r>
      <w:proofErr w:type="spellEnd"/>
      <w:r w:rsidRPr="004B6F9E">
        <w:rPr>
          <w:szCs w:val="24"/>
        </w:rPr>
        <w:t xml:space="preserve"> prasečí </w:t>
      </w:r>
      <w:proofErr w:type="spellStart"/>
      <w:r w:rsidRPr="004B6F9E">
        <w:rPr>
          <w:szCs w:val="24"/>
        </w:rPr>
        <w:t>proliferativní</w:t>
      </w:r>
      <w:proofErr w:type="spellEnd"/>
      <w:r w:rsidRPr="004B6F9E">
        <w:rPr>
          <w:szCs w:val="24"/>
        </w:rPr>
        <w:t xml:space="preserve"> </w:t>
      </w:r>
      <w:proofErr w:type="spellStart"/>
      <w:r w:rsidRPr="004B6F9E">
        <w:rPr>
          <w:szCs w:val="24"/>
        </w:rPr>
        <w:t>enteropatie</w:t>
      </w:r>
      <w:proofErr w:type="spellEnd"/>
      <w:r w:rsidRPr="004B6F9E">
        <w:rPr>
          <w:szCs w:val="24"/>
        </w:rPr>
        <w:t xml:space="preserve"> (ileitidy) způsobené bakteriemi </w:t>
      </w:r>
      <w:proofErr w:type="spellStart"/>
      <w:r w:rsidRPr="004B6F9E">
        <w:rPr>
          <w:i/>
          <w:iCs/>
          <w:szCs w:val="24"/>
        </w:rPr>
        <w:t>Lawsonia</w:t>
      </w:r>
      <w:proofErr w:type="spellEnd"/>
      <w:r w:rsidRPr="004B6F9E">
        <w:rPr>
          <w:i/>
          <w:iCs/>
          <w:szCs w:val="24"/>
        </w:rPr>
        <w:t xml:space="preserve"> </w:t>
      </w:r>
      <w:proofErr w:type="spellStart"/>
      <w:r w:rsidRPr="004B6F9E">
        <w:rPr>
          <w:i/>
          <w:iCs/>
          <w:szCs w:val="24"/>
        </w:rPr>
        <w:t>intracellularis</w:t>
      </w:r>
      <w:proofErr w:type="spellEnd"/>
      <w:r w:rsidRPr="004B6F9E">
        <w:rPr>
          <w:i/>
          <w:iCs/>
          <w:szCs w:val="24"/>
        </w:rPr>
        <w:t xml:space="preserve"> </w:t>
      </w:r>
      <w:r w:rsidRPr="004B6F9E">
        <w:rPr>
          <w:szCs w:val="24"/>
        </w:rPr>
        <w:t>a souvisejícími střevními patogeny (</w:t>
      </w:r>
      <w:proofErr w:type="spellStart"/>
      <w:r w:rsidRPr="004B6F9E">
        <w:rPr>
          <w:i/>
          <w:iCs/>
          <w:szCs w:val="24"/>
        </w:rPr>
        <w:t>Escherichia</w:t>
      </w:r>
      <w:proofErr w:type="spellEnd"/>
      <w:r w:rsidRPr="004B6F9E">
        <w:rPr>
          <w:i/>
          <w:iCs/>
          <w:szCs w:val="24"/>
        </w:rPr>
        <w:t xml:space="preserve"> coli</w:t>
      </w:r>
      <w:r w:rsidRPr="004B6F9E">
        <w:rPr>
          <w:szCs w:val="24"/>
        </w:rPr>
        <w:t xml:space="preserve">) citlivými </w:t>
      </w:r>
      <w:r w:rsidR="002C4EDE">
        <w:rPr>
          <w:szCs w:val="24"/>
        </w:rPr>
        <w:t>k</w:t>
      </w:r>
      <w:r w:rsidRPr="004B6F9E">
        <w:rPr>
          <w:szCs w:val="24"/>
        </w:rPr>
        <w:t xml:space="preserve"> </w:t>
      </w:r>
      <w:proofErr w:type="spellStart"/>
      <w:r w:rsidRPr="004B6F9E">
        <w:rPr>
          <w:szCs w:val="24"/>
        </w:rPr>
        <w:t>linkomycin</w:t>
      </w:r>
      <w:r w:rsidR="002C4EDE">
        <w:rPr>
          <w:szCs w:val="24"/>
        </w:rPr>
        <w:t>u</w:t>
      </w:r>
      <w:proofErr w:type="spellEnd"/>
      <w:r w:rsidRPr="004B6F9E">
        <w:rPr>
          <w:szCs w:val="24"/>
        </w:rPr>
        <w:t xml:space="preserve"> a </w:t>
      </w:r>
      <w:proofErr w:type="spellStart"/>
      <w:r w:rsidRPr="004B6F9E">
        <w:rPr>
          <w:szCs w:val="24"/>
        </w:rPr>
        <w:t>spektinomycin</w:t>
      </w:r>
      <w:r w:rsidR="002C4EDE">
        <w:rPr>
          <w:szCs w:val="24"/>
        </w:rPr>
        <w:t>u</w:t>
      </w:r>
      <w:proofErr w:type="spellEnd"/>
      <w:r w:rsidRPr="004B6F9E">
        <w:rPr>
          <w:szCs w:val="24"/>
        </w:rPr>
        <w:t>.</w:t>
      </w:r>
    </w:p>
    <w:p w:rsidR="004B6F9E" w:rsidRPr="004B6F9E" w:rsidRDefault="004B6F9E" w:rsidP="004B6F9E">
      <w:pPr>
        <w:autoSpaceDE w:val="0"/>
        <w:autoSpaceDN w:val="0"/>
        <w:adjustRightInd w:val="0"/>
        <w:jc w:val="both"/>
        <w:rPr>
          <w:szCs w:val="24"/>
        </w:rPr>
      </w:pPr>
      <w:r w:rsidRPr="004B6F9E">
        <w:rPr>
          <w:szCs w:val="24"/>
        </w:rPr>
        <w:t>Před použitím přípravku musí být prokázána přítomnost onemocnění v</w:t>
      </w:r>
      <w:r w:rsidR="00C55803">
        <w:rPr>
          <w:szCs w:val="24"/>
        </w:rPr>
        <w:t xml:space="preserve"> dané</w:t>
      </w:r>
      <w:r w:rsidRPr="004B6F9E">
        <w:rPr>
          <w:szCs w:val="24"/>
        </w:rPr>
        <w:t xml:space="preserve"> skupině</w:t>
      </w:r>
      <w:r w:rsidR="00C55803">
        <w:rPr>
          <w:szCs w:val="24"/>
        </w:rPr>
        <w:t xml:space="preserve"> zvířat</w:t>
      </w:r>
      <w:r w:rsidRPr="004B6F9E">
        <w:rPr>
          <w:szCs w:val="24"/>
        </w:rPr>
        <w:t>.</w:t>
      </w:r>
    </w:p>
    <w:p w:rsidR="004B6F9E" w:rsidRPr="004B6F9E" w:rsidRDefault="004B6F9E" w:rsidP="004B6F9E">
      <w:pPr>
        <w:autoSpaceDE w:val="0"/>
        <w:autoSpaceDN w:val="0"/>
        <w:adjustRightInd w:val="0"/>
        <w:jc w:val="both"/>
        <w:rPr>
          <w:szCs w:val="24"/>
        </w:rPr>
      </w:pPr>
    </w:p>
    <w:p w:rsidR="004B6F9E" w:rsidRPr="004B6F9E" w:rsidRDefault="004B6F9E" w:rsidP="004B6F9E">
      <w:pPr>
        <w:autoSpaceDE w:val="0"/>
        <w:autoSpaceDN w:val="0"/>
        <w:adjustRightInd w:val="0"/>
        <w:jc w:val="both"/>
        <w:rPr>
          <w:szCs w:val="24"/>
        </w:rPr>
      </w:pPr>
      <w:r w:rsidRPr="004B6F9E">
        <w:rPr>
          <w:szCs w:val="24"/>
        </w:rPr>
        <w:t>Kur domácí</w:t>
      </w:r>
      <w:r w:rsidR="00204B83">
        <w:rPr>
          <w:szCs w:val="24"/>
        </w:rPr>
        <w:t>:</w:t>
      </w:r>
    </w:p>
    <w:p w:rsidR="004B6F9E" w:rsidRPr="004B6F9E" w:rsidRDefault="004B6F9E" w:rsidP="004B6F9E">
      <w:pPr>
        <w:autoSpaceDE w:val="0"/>
        <w:autoSpaceDN w:val="0"/>
        <w:adjustRightInd w:val="0"/>
        <w:jc w:val="both"/>
        <w:rPr>
          <w:szCs w:val="24"/>
        </w:rPr>
      </w:pPr>
      <w:r w:rsidRPr="004B6F9E">
        <w:rPr>
          <w:szCs w:val="24"/>
        </w:rPr>
        <w:t xml:space="preserve">K léčbě a </w:t>
      </w:r>
      <w:proofErr w:type="spellStart"/>
      <w:r w:rsidRPr="004B6F9E">
        <w:rPr>
          <w:szCs w:val="24"/>
        </w:rPr>
        <w:t>metafylaxi</w:t>
      </w:r>
      <w:proofErr w:type="spellEnd"/>
      <w:r w:rsidRPr="004B6F9E">
        <w:rPr>
          <w:szCs w:val="24"/>
        </w:rPr>
        <w:t xml:space="preserve"> chronického respiračního onemocnění (</w:t>
      </w:r>
      <w:proofErr w:type="spellStart"/>
      <w:r w:rsidRPr="004B6F9E">
        <w:rPr>
          <w:szCs w:val="24"/>
        </w:rPr>
        <w:t>chronic</w:t>
      </w:r>
      <w:proofErr w:type="spellEnd"/>
      <w:r w:rsidRPr="004B6F9E">
        <w:rPr>
          <w:szCs w:val="24"/>
        </w:rPr>
        <w:t xml:space="preserve"> </w:t>
      </w:r>
      <w:proofErr w:type="spellStart"/>
      <w:r w:rsidRPr="004B6F9E">
        <w:rPr>
          <w:szCs w:val="24"/>
        </w:rPr>
        <w:t>respiratory</w:t>
      </w:r>
      <w:proofErr w:type="spellEnd"/>
      <w:r w:rsidRPr="004B6F9E">
        <w:rPr>
          <w:szCs w:val="24"/>
        </w:rPr>
        <w:t xml:space="preserve"> </w:t>
      </w:r>
      <w:proofErr w:type="spellStart"/>
      <w:r w:rsidRPr="004B6F9E">
        <w:rPr>
          <w:szCs w:val="24"/>
        </w:rPr>
        <w:t>disease</w:t>
      </w:r>
      <w:proofErr w:type="spellEnd"/>
      <w:r w:rsidRPr="004B6F9E">
        <w:rPr>
          <w:szCs w:val="24"/>
        </w:rPr>
        <w:t xml:space="preserve">, CRD) způsobeného bakteriemi </w:t>
      </w:r>
      <w:proofErr w:type="spellStart"/>
      <w:r w:rsidRPr="004B6F9E">
        <w:rPr>
          <w:i/>
          <w:iCs/>
          <w:szCs w:val="24"/>
        </w:rPr>
        <w:t>Mycoplasma</w:t>
      </w:r>
      <w:proofErr w:type="spellEnd"/>
      <w:r w:rsidRPr="004B6F9E">
        <w:rPr>
          <w:i/>
          <w:iCs/>
          <w:szCs w:val="24"/>
        </w:rPr>
        <w:t xml:space="preserve"> </w:t>
      </w:r>
      <w:proofErr w:type="spellStart"/>
      <w:r w:rsidRPr="004B6F9E">
        <w:rPr>
          <w:i/>
          <w:iCs/>
          <w:szCs w:val="24"/>
        </w:rPr>
        <w:t>gallisepticum</w:t>
      </w:r>
      <w:proofErr w:type="spellEnd"/>
      <w:r w:rsidRPr="004B6F9E">
        <w:rPr>
          <w:i/>
          <w:iCs/>
          <w:szCs w:val="24"/>
        </w:rPr>
        <w:t xml:space="preserve"> </w:t>
      </w:r>
      <w:r w:rsidRPr="004B6F9E">
        <w:rPr>
          <w:szCs w:val="24"/>
        </w:rPr>
        <w:t xml:space="preserve">a </w:t>
      </w:r>
      <w:proofErr w:type="spellStart"/>
      <w:r w:rsidRPr="004B6F9E">
        <w:rPr>
          <w:i/>
          <w:iCs/>
          <w:szCs w:val="24"/>
        </w:rPr>
        <w:t>Escherichia</w:t>
      </w:r>
      <w:proofErr w:type="spellEnd"/>
      <w:r w:rsidRPr="004B6F9E">
        <w:rPr>
          <w:i/>
          <w:iCs/>
          <w:szCs w:val="24"/>
        </w:rPr>
        <w:t xml:space="preserve"> col</w:t>
      </w:r>
      <w:r w:rsidRPr="00792A69">
        <w:rPr>
          <w:i/>
          <w:szCs w:val="24"/>
        </w:rPr>
        <w:t>i</w:t>
      </w:r>
      <w:r w:rsidRPr="004B6F9E">
        <w:rPr>
          <w:szCs w:val="24"/>
        </w:rPr>
        <w:t xml:space="preserve"> citlivými </w:t>
      </w:r>
      <w:r w:rsidR="002C4EDE">
        <w:rPr>
          <w:szCs w:val="24"/>
        </w:rPr>
        <w:t>k</w:t>
      </w:r>
      <w:r w:rsidRPr="004B6F9E">
        <w:rPr>
          <w:szCs w:val="24"/>
        </w:rPr>
        <w:t xml:space="preserve"> </w:t>
      </w:r>
      <w:proofErr w:type="spellStart"/>
      <w:r w:rsidRPr="004B6F9E">
        <w:rPr>
          <w:szCs w:val="24"/>
        </w:rPr>
        <w:t>linkomycin</w:t>
      </w:r>
      <w:r w:rsidR="002C4EDE">
        <w:rPr>
          <w:szCs w:val="24"/>
        </w:rPr>
        <w:t>u</w:t>
      </w:r>
      <w:proofErr w:type="spellEnd"/>
      <w:r w:rsidRPr="004B6F9E">
        <w:rPr>
          <w:szCs w:val="24"/>
        </w:rPr>
        <w:t xml:space="preserve"> a </w:t>
      </w:r>
      <w:proofErr w:type="spellStart"/>
      <w:r w:rsidRPr="004B6F9E">
        <w:rPr>
          <w:szCs w:val="24"/>
        </w:rPr>
        <w:t>spektinomycin</w:t>
      </w:r>
      <w:r w:rsidR="002C4EDE">
        <w:rPr>
          <w:szCs w:val="24"/>
        </w:rPr>
        <w:t>u</w:t>
      </w:r>
      <w:proofErr w:type="spellEnd"/>
      <w:r w:rsidRPr="004B6F9E">
        <w:rPr>
          <w:szCs w:val="24"/>
        </w:rPr>
        <w:t xml:space="preserve"> a spojeného s nízkou mortalitou.</w:t>
      </w:r>
    </w:p>
    <w:p w:rsidR="004B6F9E" w:rsidRPr="004B6F9E" w:rsidRDefault="004B6F9E" w:rsidP="004B6F9E">
      <w:pPr>
        <w:jc w:val="both"/>
        <w:rPr>
          <w:szCs w:val="24"/>
        </w:rPr>
      </w:pPr>
      <w:r w:rsidRPr="004B6F9E">
        <w:rPr>
          <w:szCs w:val="24"/>
        </w:rPr>
        <w:t>Před použitím přípravku musí být prokázána přítomnost onemocnění v hejnu.</w:t>
      </w:r>
    </w:p>
    <w:p w:rsidR="00A61C40" w:rsidRPr="002620B0" w:rsidRDefault="00A61C40">
      <w:pPr>
        <w:pStyle w:val="StylZarovnatdoblokuDolejednoduchAutomatick075b"/>
        <w:rPr>
          <w:szCs w:val="24"/>
        </w:rPr>
      </w:pPr>
    </w:p>
    <w:p w:rsidR="00A61C40" w:rsidRPr="002620B0" w:rsidRDefault="00A61C40">
      <w:pPr>
        <w:ind w:left="567" w:hanging="567"/>
        <w:rPr>
          <w:szCs w:val="24"/>
        </w:rPr>
      </w:pPr>
      <w:r w:rsidRPr="002620B0">
        <w:rPr>
          <w:b/>
          <w:bCs/>
          <w:szCs w:val="24"/>
        </w:rPr>
        <w:t>5.</w:t>
      </w:r>
      <w:r w:rsidRPr="002620B0">
        <w:rPr>
          <w:b/>
          <w:bCs/>
          <w:szCs w:val="24"/>
        </w:rPr>
        <w:tab/>
        <w:t>KONTRAINDIKACE</w:t>
      </w:r>
    </w:p>
    <w:p w:rsidR="0000258A" w:rsidRDefault="0000258A" w:rsidP="0000258A">
      <w:pPr>
        <w:rPr>
          <w:szCs w:val="24"/>
        </w:rPr>
      </w:pPr>
      <w:r w:rsidRPr="0000258A">
        <w:rPr>
          <w:szCs w:val="24"/>
        </w:rPr>
        <w:t xml:space="preserve">Nepoužívat u zvířat se známou přecitlivostí na </w:t>
      </w:r>
      <w:proofErr w:type="spellStart"/>
      <w:r w:rsidRPr="0000258A">
        <w:rPr>
          <w:szCs w:val="24"/>
        </w:rPr>
        <w:t>linkomycin</w:t>
      </w:r>
      <w:proofErr w:type="spellEnd"/>
      <w:r w:rsidRPr="0000258A">
        <w:rPr>
          <w:szCs w:val="24"/>
        </w:rPr>
        <w:t xml:space="preserve"> a/nebo </w:t>
      </w:r>
      <w:proofErr w:type="spellStart"/>
      <w:r w:rsidRPr="0000258A">
        <w:rPr>
          <w:szCs w:val="24"/>
        </w:rPr>
        <w:t>spektinomycin</w:t>
      </w:r>
      <w:proofErr w:type="spellEnd"/>
      <w:r w:rsidR="002C4EDE">
        <w:rPr>
          <w:szCs w:val="24"/>
        </w:rPr>
        <w:t xml:space="preserve">, </w:t>
      </w:r>
      <w:r w:rsidR="002C4EDE" w:rsidRPr="00346BB7">
        <w:t xml:space="preserve">nebo na </w:t>
      </w:r>
      <w:r w:rsidR="002C4EDE">
        <w:t>pomocnou lát</w:t>
      </w:r>
      <w:r w:rsidR="002C4EDE" w:rsidRPr="00346BB7">
        <w:t>k</w:t>
      </w:r>
      <w:r w:rsidR="002C4EDE">
        <w:t>u</w:t>
      </w:r>
      <w:r w:rsidR="00204B83">
        <w:t>.</w:t>
      </w:r>
    </w:p>
    <w:p w:rsidR="00180EFC" w:rsidRPr="00180EFC" w:rsidRDefault="00180EFC" w:rsidP="0000258A">
      <w:r w:rsidRPr="00792A69">
        <w:t>Nepoužívat v případě dysfunkce jater.</w:t>
      </w:r>
    </w:p>
    <w:p w:rsidR="0000258A" w:rsidRPr="0000258A" w:rsidRDefault="0000258A" w:rsidP="0000258A">
      <w:pPr>
        <w:rPr>
          <w:szCs w:val="24"/>
        </w:rPr>
      </w:pPr>
      <w:r w:rsidRPr="0000258A">
        <w:rPr>
          <w:szCs w:val="24"/>
        </w:rPr>
        <w:t>Nepodávat nosnicím, koním</w:t>
      </w:r>
      <w:r w:rsidR="002C4EDE">
        <w:rPr>
          <w:szCs w:val="24"/>
        </w:rPr>
        <w:t>, přežvýkavcům,</w:t>
      </w:r>
      <w:r w:rsidRPr="0000258A">
        <w:rPr>
          <w:szCs w:val="24"/>
        </w:rPr>
        <w:t xml:space="preserve"> králíkům</w:t>
      </w:r>
      <w:r w:rsidR="002C4EDE">
        <w:rPr>
          <w:szCs w:val="24"/>
        </w:rPr>
        <w:t>, morčatům a křečkům</w:t>
      </w:r>
      <w:r w:rsidRPr="0000258A">
        <w:rPr>
          <w:szCs w:val="24"/>
        </w:rPr>
        <w:t xml:space="preserve">. </w:t>
      </w:r>
    </w:p>
    <w:p w:rsidR="0000258A" w:rsidRPr="0000258A" w:rsidRDefault="0000258A" w:rsidP="0000258A">
      <w:pPr>
        <w:rPr>
          <w:szCs w:val="24"/>
        </w:rPr>
      </w:pPr>
      <w:r w:rsidRPr="0000258A">
        <w:rPr>
          <w:szCs w:val="24"/>
        </w:rPr>
        <w:t xml:space="preserve">Použití přípravku u druhů, které nejsou specifikovány v příbalové informaci, může vést k vedlejším účinkům, zejména </w:t>
      </w:r>
      <w:r w:rsidR="002C4EDE">
        <w:rPr>
          <w:szCs w:val="24"/>
        </w:rPr>
        <w:t xml:space="preserve">k obtížím </w:t>
      </w:r>
      <w:r w:rsidRPr="0000258A">
        <w:rPr>
          <w:szCs w:val="24"/>
        </w:rPr>
        <w:t>gastrointestinálního traktu.</w:t>
      </w:r>
    </w:p>
    <w:p w:rsidR="00A61C40" w:rsidRPr="002620B0" w:rsidRDefault="00A61C40">
      <w:pPr>
        <w:widowControl w:val="0"/>
        <w:spacing w:line="240" w:lineRule="atLeast"/>
      </w:pPr>
    </w:p>
    <w:p w:rsidR="00A61C40" w:rsidRPr="002620B0" w:rsidRDefault="00A61C40">
      <w:pPr>
        <w:rPr>
          <w:b/>
          <w:bCs/>
          <w:caps/>
          <w:szCs w:val="24"/>
        </w:rPr>
      </w:pPr>
      <w:r w:rsidRPr="002620B0">
        <w:rPr>
          <w:b/>
          <w:bCs/>
          <w:caps/>
          <w:szCs w:val="24"/>
        </w:rPr>
        <w:t xml:space="preserve">6. </w:t>
      </w:r>
      <w:r w:rsidRPr="002620B0">
        <w:rPr>
          <w:b/>
          <w:bCs/>
          <w:caps/>
          <w:szCs w:val="24"/>
        </w:rPr>
        <w:tab/>
        <w:t>Nežádoucí účinky</w:t>
      </w:r>
    </w:p>
    <w:p w:rsidR="00A61C40" w:rsidRPr="002620B0" w:rsidRDefault="00A61C40">
      <w:pPr>
        <w:widowControl w:val="0"/>
        <w:spacing w:line="240" w:lineRule="atLeast"/>
      </w:pPr>
      <w:r w:rsidRPr="002620B0">
        <w:t xml:space="preserve">Aplikace jiným druhům zvířat, než </w:t>
      </w:r>
      <w:r w:rsidR="002C035E">
        <w:t>jsou</w:t>
      </w:r>
      <w:r w:rsidR="002C035E" w:rsidRPr="002620B0">
        <w:t xml:space="preserve"> </w:t>
      </w:r>
      <w:r w:rsidRPr="002620B0">
        <w:t>uveden</w:t>
      </w:r>
      <w:r w:rsidR="002C035E">
        <w:t>y v této příbalové informaci</w:t>
      </w:r>
      <w:r w:rsidRPr="002620B0">
        <w:t xml:space="preserve">, může vyvolat vedlejší účinky na </w:t>
      </w:r>
      <w:r w:rsidR="002C035E">
        <w:t>gastrointestinální trakt</w:t>
      </w:r>
      <w:r w:rsidRPr="002620B0">
        <w:t>.</w:t>
      </w:r>
    </w:p>
    <w:p w:rsidR="00A61C40" w:rsidRDefault="009606EE">
      <w:pPr>
        <w:widowControl w:val="0"/>
        <w:spacing w:line="240" w:lineRule="atLeast"/>
      </w:pPr>
      <w:r w:rsidRPr="002620B0">
        <w:lastRenderedPageBreak/>
        <w:t>Aplikace přípravku u prasat může vyvolat průjem.</w:t>
      </w:r>
    </w:p>
    <w:p w:rsidR="00343298" w:rsidRDefault="00343298">
      <w:pPr>
        <w:widowControl w:val="0"/>
        <w:spacing w:line="240" w:lineRule="atLeast"/>
      </w:pPr>
    </w:p>
    <w:p w:rsidR="00343298" w:rsidRPr="002620B0" w:rsidRDefault="00343298">
      <w:pPr>
        <w:widowControl w:val="0"/>
        <w:spacing w:line="240" w:lineRule="atLeast"/>
      </w:pPr>
      <w:r w:rsidRPr="007D7A10">
        <w:t>Jestliže zaznamenáte jakékoliv závažné nežádoucí účinky či jiné reakce, které nejsou uvedeny v této příbalové informaci, oznamte to prosím vašemu veterinárnímu lékaři.</w:t>
      </w:r>
    </w:p>
    <w:p w:rsidR="009606EE" w:rsidRPr="002620B0" w:rsidRDefault="009606EE">
      <w:pPr>
        <w:ind w:left="567" w:hanging="567"/>
        <w:rPr>
          <w:b/>
          <w:bCs/>
          <w:szCs w:val="24"/>
        </w:rPr>
      </w:pPr>
    </w:p>
    <w:p w:rsidR="00A61C40" w:rsidRPr="002620B0" w:rsidRDefault="00A61C40">
      <w:pPr>
        <w:ind w:left="567" w:hanging="567"/>
        <w:rPr>
          <w:szCs w:val="24"/>
        </w:rPr>
      </w:pPr>
      <w:r w:rsidRPr="002620B0">
        <w:rPr>
          <w:b/>
          <w:bCs/>
          <w:szCs w:val="24"/>
        </w:rPr>
        <w:t>7.</w:t>
      </w:r>
      <w:r w:rsidRPr="002620B0">
        <w:rPr>
          <w:b/>
          <w:bCs/>
          <w:szCs w:val="24"/>
        </w:rPr>
        <w:tab/>
        <w:t>CÍLOVÝ DRUH ZVÍŘAT</w:t>
      </w:r>
    </w:p>
    <w:p w:rsidR="00A61C40" w:rsidRPr="002620B0" w:rsidRDefault="00A61C40">
      <w:pPr>
        <w:jc w:val="both"/>
      </w:pPr>
      <w:r w:rsidRPr="002620B0">
        <w:t>Prasata</w:t>
      </w:r>
      <w:r w:rsidR="004E68EA">
        <w:t xml:space="preserve"> </w:t>
      </w:r>
      <w:r w:rsidR="002C035E">
        <w:t>(</w:t>
      </w:r>
      <w:r w:rsidR="004E68EA">
        <w:t>selata</w:t>
      </w:r>
      <w:r w:rsidR="002C035E">
        <w:t>)</w:t>
      </w:r>
      <w:r w:rsidRPr="002620B0">
        <w:t>, kur domácí.</w:t>
      </w:r>
    </w:p>
    <w:p w:rsidR="009606EE" w:rsidRPr="002620B0" w:rsidRDefault="009606EE">
      <w:pPr>
        <w:rPr>
          <w:szCs w:val="24"/>
        </w:rPr>
      </w:pPr>
    </w:p>
    <w:p w:rsidR="00A61C40" w:rsidRPr="002620B0" w:rsidRDefault="00A61C40">
      <w:pPr>
        <w:ind w:left="567" w:hanging="567"/>
        <w:rPr>
          <w:caps/>
          <w:szCs w:val="24"/>
        </w:rPr>
      </w:pPr>
      <w:r w:rsidRPr="002620B0">
        <w:rPr>
          <w:b/>
          <w:bCs/>
          <w:szCs w:val="24"/>
        </w:rPr>
        <w:t>8.</w:t>
      </w:r>
      <w:r w:rsidRPr="002620B0">
        <w:rPr>
          <w:b/>
          <w:bCs/>
          <w:szCs w:val="24"/>
        </w:rPr>
        <w:tab/>
        <w:t xml:space="preserve">DÁVKOVÁNÍ </w:t>
      </w:r>
      <w:r w:rsidRPr="002620B0">
        <w:rPr>
          <w:b/>
          <w:bCs/>
          <w:caps/>
          <w:szCs w:val="24"/>
        </w:rPr>
        <w:t>pro každý druh, cesta A způsob podání</w:t>
      </w:r>
    </w:p>
    <w:p w:rsidR="00A61C40" w:rsidRPr="002620B0" w:rsidRDefault="00A61C40">
      <w:pPr>
        <w:widowControl w:val="0"/>
        <w:spacing w:line="240" w:lineRule="atLeast"/>
      </w:pPr>
      <w:r w:rsidRPr="002620B0">
        <w:t xml:space="preserve">Perorálně </w:t>
      </w:r>
      <w:r w:rsidR="00157966">
        <w:t>v</w:t>
      </w:r>
      <w:r w:rsidR="00157966" w:rsidRPr="002620B0">
        <w:t xml:space="preserve"> </w:t>
      </w:r>
      <w:r w:rsidRPr="002620B0">
        <w:t>pitn</w:t>
      </w:r>
      <w:r w:rsidR="00157966">
        <w:t>é</w:t>
      </w:r>
      <w:r w:rsidRPr="002620B0">
        <w:t xml:space="preserve"> vod</w:t>
      </w:r>
      <w:r w:rsidR="00157966">
        <w:t>ě</w:t>
      </w:r>
      <w:r w:rsidRPr="002620B0">
        <w:t>.</w:t>
      </w:r>
    </w:p>
    <w:p w:rsidR="00A61C40" w:rsidRPr="00343298" w:rsidRDefault="00A61C40">
      <w:pPr>
        <w:widowControl w:val="0"/>
        <w:spacing w:line="240" w:lineRule="atLeast"/>
      </w:pPr>
    </w:p>
    <w:p w:rsidR="00B67AF6" w:rsidRPr="00792A69" w:rsidRDefault="00B67AF6" w:rsidP="00B67AF6">
      <w:pPr>
        <w:autoSpaceDE w:val="0"/>
        <w:autoSpaceDN w:val="0"/>
        <w:adjustRightInd w:val="0"/>
        <w:rPr>
          <w:szCs w:val="18"/>
        </w:rPr>
      </w:pPr>
      <w:r w:rsidRPr="00792A69">
        <w:rPr>
          <w:szCs w:val="18"/>
        </w:rPr>
        <w:t>Doporučené dávkování:</w:t>
      </w:r>
    </w:p>
    <w:p w:rsidR="00B67AF6" w:rsidRPr="00792A69" w:rsidRDefault="00B67AF6" w:rsidP="00B67AF6">
      <w:pPr>
        <w:autoSpaceDE w:val="0"/>
        <w:autoSpaceDN w:val="0"/>
        <w:adjustRightInd w:val="0"/>
        <w:rPr>
          <w:szCs w:val="18"/>
        </w:rPr>
      </w:pPr>
    </w:p>
    <w:p w:rsidR="00B67AF6" w:rsidRPr="00792A69" w:rsidRDefault="00B67AF6" w:rsidP="00B67AF6">
      <w:pPr>
        <w:autoSpaceDE w:val="0"/>
        <w:autoSpaceDN w:val="0"/>
        <w:adjustRightInd w:val="0"/>
        <w:rPr>
          <w:szCs w:val="18"/>
        </w:rPr>
      </w:pPr>
      <w:r w:rsidRPr="00792A69">
        <w:rPr>
          <w:szCs w:val="18"/>
        </w:rPr>
        <w:t>Prasata</w:t>
      </w:r>
      <w:r w:rsidR="00157966" w:rsidRPr="00792A69">
        <w:rPr>
          <w:szCs w:val="18"/>
        </w:rPr>
        <w:t xml:space="preserve"> (selata)</w:t>
      </w:r>
      <w:r w:rsidRPr="00792A69">
        <w:rPr>
          <w:szCs w:val="18"/>
        </w:rPr>
        <w:t xml:space="preserve">: </w:t>
      </w:r>
    </w:p>
    <w:p w:rsidR="00B67AF6" w:rsidRPr="00792A69" w:rsidRDefault="00B67AF6" w:rsidP="00B67AF6">
      <w:pPr>
        <w:autoSpaceDE w:val="0"/>
        <w:autoSpaceDN w:val="0"/>
        <w:adjustRightInd w:val="0"/>
        <w:rPr>
          <w:szCs w:val="18"/>
        </w:rPr>
      </w:pPr>
      <w:r w:rsidRPr="00792A69">
        <w:rPr>
          <w:szCs w:val="18"/>
        </w:rPr>
        <w:t xml:space="preserve">3,33 mg </w:t>
      </w:r>
      <w:proofErr w:type="spellStart"/>
      <w:r w:rsidRPr="00792A69">
        <w:rPr>
          <w:szCs w:val="18"/>
        </w:rPr>
        <w:t>linkomycinu</w:t>
      </w:r>
      <w:proofErr w:type="spellEnd"/>
      <w:r w:rsidRPr="00792A69">
        <w:rPr>
          <w:szCs w:val="18"/>
        </w:rPr>
        <w:t xml:space="preserve"> a 6,67 mg </w:t>
      </w:r>
      <w:proofErr w:type="spellStart"/>
      <w:r w:rsidRPr="00792A69">
        <w:rPr>
          <w:szCs w:val="18"/>
        </w:rPr>
        <w:t>spektinomycinu</w:t>
      </w:r>
      <w:proofErr w:type="spellEnd"/>
      <w:r w:rsidRPr="00792A69">
        <w:rPr>
          <w:szCs w:val="18"/>
        </w:rPr>
        <w:t>/kg ž</w:t>
      </w:r>
      <w:r w:rsidR="00157966" w:rsidRPr="00792A69">
        <w:rPr>
          <w:szCs w:val="18"/>
        </w:rPr>
        <w:t>ivé hmotnosti</w:t>
      </w:r>
      <w:r w:rsidRPr="00792A69">
        <w:rPr>
          <w:szCs w:val="18"/>
        </w:rPr>
        <w:t>/den (</w:t>
      </w:r>
      <w:r w:rsidR="002F4659">
        <w:rPr>
          <w:szCs w:val="18"/>
        </w:rPr>
        <w:t>tj.</w:t>
      </w:r>
      <w:r w:rsidRPr="00792A69">
        <w:rPr>
          <w:szCs w:val="18"/>
        </w:rPr>
        <w:t xml:space="preserve"> 0,2 g </w:t>
      </w:r>
      <w:r w:rsidR="00343298">
        <w:rPr>
          <w:szCs w:val="18"/>
        </w:rPr>
        <w:t>přípravku</w:t>
      </w:r>
      <w:r w:rsidRPr="00792A69">
        <w:rPr>
          <w:szCs w:val="18"/>
        </w:rPr>
        <w:t>/10 kg ž.</w:t>
      </w:r>
      <w:r w:rsidR="00157966">
        <w:rPr>
          <w:szCs w:val="18"/>
        </w:rPr>
        <w:t xml:space="preserve"> </w:t>
      </w:r>
      <w:proofErr w:type="gramStart"/>
      <w:r w:rsidRPr="00792A69">
        <w:rPr>
          <w:szCs w:val="18"/>
        </w:rPr>
        <w:t>hm./den</w:t>
      </w:r>
      <w:proofErr w:type="gramEnd"/>
      <w:r w:rsidRPr="00792A69">
        <w:rPr>
          <w:szCs w:val="18"/>
        </w:rPr>
        <w:t>) po dobu 7</w:t>
      </w:r>
      <w:r w:rsidR="00343298">
        <w:rPr>
          <w:szCs w:val="18"/>
        </w:rPr>
        <w:t xml:space="preserve"> po sobě následujících</w:t>
      </w:r>
      <w:r w:rsidRPr="00792A69">
        <w:rPr>
          <w:szCs w:val="18"/>
        </w:rPr>
        <w:t xml:space="preserve"> dnů.</w:t>
      </w:r>
    </w:p>
    <w:p w:rsidR="00B67AF6" w:rsidRPr="00792A69" w:rsidRDefault="00B67AF6" w:rsidP="00B67AF6">
      <w:pPr>
        <w:rPr>
          <w:szCs w:val="18"/>
        </w:rPr>
      </w:pPr>
    </w:p>
    <w:p w:rsidR="00B67AF6" w:rsidRPr="00792A69" w:rsidRDefault="00B67AF6" w:rsidP="00B67AF6">
      <w:pPr>
        <w:rPr>
          <w:szCs w:val="18"/>
        </w:rPr>
      </w:pPr>
      <w:r w:rsidRPr="00792A69">
        <w:rPr>
          <w:szCs w:val="18"/>
        </w:rPr>
        <w:t xml:space="preserve">Kur domácí: </w:t>
      </w:r>
    </w:p>
    <w:p w:rsidR="00B67AF6" w:rsidRPr="00792A69" w:rsidRDefault="00B67AF6" w:rsidP="00B67AF6">
      <w:pPr>
        <w:rPr>
          <w:szCs w:val="18"/>
        </w:rPr>
      </w:pPr>
      <w:r w:rsidRPr="00792A69">
        <w:rPr>
          <w:szCs w:val="18"/>
        </w:rPr>
        <w:t xml:space="preserve">16,65 mg </w:t>
      </w:r>
      <w:proofErr w:type="spellStart"/>
      <w:r w:rsidRPr="00792A69">
        <w:rPr>
          <w:szCs w:val="18"/>
        </w:rPr>
        <w:t>linkomycinu</w:t>
      </w:r>
      <w:proofErr w:type="spellEnd"/>
      <w:r w:rsidRPr="00792A69">
        <w:rPr>
          <w:szCs w:val="18"/>
        </w:rPr>
        <w:t xml:space="preserve"> a 33,35 mg </w:t>
      </w:r>
      <w:proofErr w:type="spellStart"/>
      <w:r w:rsidRPr="00792A69">
        <w:rPr>
          <w:szCs w:val="18"/>
        </w:rPr>
        <w:t>spektinomycinu</w:t>
      </w:r>
      <w:proofErr w:type="spellEnd"/>
      <w:r w:rsidRPr="00792A69">
        <w:rPr>
          <w:szCs w:val="18"/>
        </w:rPr>
        <w:t>/kg ž</w:t>
      </w:r>
      <w:r w:rsidR="00157966">
        <w:rPr>
          <w:szCs w:val="18"/>
        </w:rPr>
        <w:t>ivé hmotnosti</w:t>
      </w:r>
      <w:r w:rsidRPr="00792A69">
        <w:rPr>
          <w:szCs w:val="18"/>
        </w:rPr>
        <w:t>/den (</w:t>
      </w:r>
      <w:r w:rsidR="002F4659">
        <w:rPr>
          <w:szCs w:val="18"/>
        </w:rPr>
        <w:t>tj.</w:t>
      </w:r>
      <w:r w:rsidRPr="00792A69">
        <w:rPr>
          <w:szCs w:val="18"/>
        </w:rPr>
        <w:t xml:space="preserve"> 1 g </w:t>
      </w:r>
      <w:r w:rsidR="00343298">
        <w:rPr>
          <w:szCs w:val="18"/>
        </w:rPr>
        <w:t>přípravku</w:t>
      </w:r>
      <w:r w:rsidRPr="00792A69">
        <w:rPr>
          <w:szCs w:val="18"/>
        </w:rPr>
        <w:t>/10 kg ž.</w:t>
      </w:r>
      <w:r w:rsidR="00157966">
        <w:rPr>
          <w:szCs w:val="18"/>
        </w:rPr>
        <w:t xml:space="preserve"> </w:t>
      </w:r>
      <w:proofErr w:type="gramStart"/>
      <w:r w:rsidRPr="00792A69">
        <w:rPr>
          <w:szCs w:val="18"/>
        </w:rPr>
        <w:t>hm./den</w:t>
      </w:r>
      <w:proofErr w:type="gramEnd"/>
      <w:r w:rsidRPr="00792A69">
        <w:rPr>
          <w:szCs w:val="18"/>
        </w:rPr>
        <w:t>) po dobu 7</w:t>
      </w:r>
      <w:r w:rsidR="00343298">
        <w:rPr>
          <w:szCs w:val="18"/>
        </w:rPr>
        <w:t xml:space="preserve"> po sobě následujících</w:t>
      </w:r>
      <w:r w:rsidRPr="00792A69">
        <w:rPr>
          <w:szCs w:val="18"/>
        </w:rPr>
        <w:t xml:space="preserve"> dnů. </w:t>
      </w:r>
    </w:p>
    <w:p w:rsidR="00B67AF6" w:rsidRPr="002620B0" w:rsidRDefault="00B67AF6">
      <w:pPr>
        <w:widowControl w:val="0"/>
        <w:spacing w:line="240" w:lineRule="atLeast"/>
      </w:pPr>
    </w:p>
    <w:p w:rsidR="00A61C40" w:rsidRPr="002620B0" w:rsidRDefault="00A61C40">
      <w:pPr>
        <w:ind w:left="567" w:hanging="567"/>
        <w:rPr>
          <w:szCs w:val="24"/>
        </w:rPr>
      </w:pPr>
      <w:r w:rsidRPr="002620B0">
        <w:rPr>
          <w:b/>
          <w:bCs/>
          <w:szCs w:val="24"/>
        </w:rPr>
        <w:t>9.</w:t>
      </w:r>
      <w:r w:rsidRPr="002620B0">
        <w:rPr>
          <w:b/>
          <w:bCs/>
          <w:szCs w:val="24"/>
        </w:rPr>
        <w:tab/>
        <w:t xml:space="preserve">POKYNY PRO SPRÁVNÉ PODÁNÍ </w:t>
      </w:r>
    </w:p>
    <w:p w:rsidR="00343298" w:rsidRDefault="00343298" w:rsidP="00343298">
      <w:r w:rsidRPr="005266AC">
        <w:t>Pro zajištění podání správné dávky by měla být co nejpřesněji stanovena živá hmotnost</w:t>
      </w:r>
      <w:r w:rsidR="00180EFC">
        <w:t xml:space="preserve"> </w:t>
      </w:r>
      <w:r w:rsidR="00180EFC" w:rsidRPr="00660A81">
        <w:t>a měl by být zohledněn denní příjem vody zvířaty.</w:t>
      </w:r>
    </w:p>
    <w:p w:rsidR="00343298" w:rsidRDefault="00343298" w:rsidP="00343298"/>
    <w:p w:rsidR="00343298" w:rsidRDefault="00343298" w:rsidP="00343298">
      <w:r w:rsidRPr="007D7A10">
        <w:t>Léčbu je třeba doplnit správnými chovatelskými a zoohygienickými postupy, aby se snížilo riziko infekce a bylo možné kontrolovat vytváření rezistence.</w:t>
      </w:r>
    </w:p>
    <w:p w:rsidR="00A61C40" w:rsidRPr="002620B0" w:rsidRDefault="00A61C40">
      <w:pPr>
        <w:jc w:val="both"/>
        <w:rPr>
          <w:szCs w:val="24"/>
        </w:rPr>
      </w:pPr>
    </w:p>
    <w:p w:rsidR="00A61C40" w:rsidRPr="002620B0" w:rsidRDefault="00A61C40">
      <w:pPr>
        <w:ind w:left="567" w:hanging="567"/>
        <w:rPr>
          <w:szCs w:val="24"/>
        </w:rPr>
      </w:pPr>
      <w:r w:rsidRPr="002620B0">
        <w:rPr>
          <w:b/>
          <w:bCs/>
          <w:szCs w:val="24"/>
        </w:rPr>
        <w:t>10.</w:t>
      </w:r>
      <w:r w:rsidRPr="002620B0">
        <w:rPr>
          <w:b/>
          <w:bCs/>
          <w:szCs w:val="24"/>
        </w:rPr>
        <w:tab/>
        <w:t xml:space="preserve">OCHRANNÁ </w:t>
      </w:r>
      <w:r w:rsidRPr="002620B0">
        <w:rPr>
          <w:b/>
          <w:bCs/>
          <w:caps/>
          <w:szCs w:val="24"/>
        </w:rPr>
        <w:t>lhůta</w:t>
      </w:r>
    </w:p>
    <w:p w:rsidR="00D454BA" w:rsidRPr="00D454BA" w:rsidRDefault="00D454BA" w:rsidP="00D454BA">
      <w:pPr>
        <w:rPr>
          <w:bCs/>
          <w:szCs w:val="24"/>
          <w:lang w:val="de-DE"/>
        </w:rPr>
      </w:pPr>
      <w:r w:rsidRPr="00D454BA">
        <w:rPr>
          <w:bCs/>
          <w:szCs w:val="24"/>
          <w:lang w:val="de-DE"/>
        </w:rPr>
        <w:t xml:space="preserve"> </w:t>
      </w:r>
    </w:p>
    <w:p w:rsidR="00D454BA" w:rsidRPr="00D454BA" w:rsidRDefault="00D454BA" w:rsidP="00D454BA">
      <w:pPr>
        <w:rPr>
          <w:bCs/>
          <w:szCs w:val="24"/>
          <w:lang w:val="de-DE"/>
        </w:rPr>
      </w:pPr>
      <w:proofErr w:type="spellStart"/>
      <w:r w:rsidRPr="00D454BA">
        <w:rPr>
          <w:bCs/>
          <w:szCs w:val="24"/>
          <w:lang w:val="de-DE"/>
        </w:rPr>
        <w:t>Prasata</w:t>
      </w:r>
      <w:proofErr w:type="spellEnd"/>
      <w:r w:rsidRPr="00D454BA">
        <w:rPr>
          <w:bCs/>
          <w:szCs w:val="24"/>
          <w:lang w:val="de-DE"/>
        </w:rPr>
        <w:t>:</w:t>
      </w:r>
      <w:r w:rsidR="00F274B3">
        <w:rPr>
          <w:bCs/>
          <w:szCs w:val="24"/>
          <w:lang w:val="de-DE"/>
        </w:rPr>
        <w:t xml:space="preserve"> </w:t>
      </w:r>
      <w:proofErr w:type="spellStart"/>
      <w:r w:rsidR="00F274B3">
        <w:rPr>
          <w:bCs/>
          <w:szCs w:val="24"/>
          <w:lang w:val="de-DE"/>
        </w:rPr>
        <w:t>maso</w:t>
      </w:r>
      <w:proofErr w:type="spellEnd"/>
      <w:r w:rsidR="00F274B3">
        <w:rPr>
          <w:bCs/>
          <w:szCs w:val="24"/>
          <w:lang w:val="de-DE"/>
        </w:rPr>
        <w:t>:</w:t>
      </w:r>
      <w:r w:rsidRPr="00D454BA">
        <w:rPr>
          <w:bCs/>
          <w:szCs w:val="24"/>
          <w:lang w:val="de-DE"/>
        </w:rPr>
        <w:t xml:space="preserve"> 1 den </w:t>
      </w:r>
    </w:p>
    <w:p w:rsidR="00D454BA" w:rsidRPr="00D454BA" w:rsidRDefault="00D454BA" w:rsidP="00D454BA">
      <w:pPr>
        <w:rPr>
          <w:bCs/>
          <w:szCs w:val="24"/>
          <w:lang w:val="de-DE"/>
        </w:rPr>
      </w:pPr>
      <w:r w:rsidRPr="00D454BA">
        <w:rPr>
          <w:bCs/>
          <w:szCs w:val="24"/>
          <w:lang w:val="de-DE"/>
        </w:rPr>
        <w:t>Ku</w:t>
      </w:r>
      <w:r w:rsidR="00F274B3">
        <w:rPr>
          <w:bCs/>
          <w:szCs w:val="24"/>
          <w:lang w:val="de-DE"/>
        </w:rPr>
        <w:t>r</w:t>
      </w:r>
      <w:r w:rsidR="00954E30">
        <w:rPr>
          <w:bCs/>
          <w:szCs w:val="24"/>
          <w:lang w:val="de-DE"/>
        </w:rPr>
        <w:t xml:space="preserve"> </w:t>
      </w:r>
      <w:proofErr w:type="spellStart"/>
      <w:r w:rsidR="00954E30">
        <w:rPr>
          <w:bCs/>
          <w:szCs w:val="24"/>
          <w:lang w:val="de-DE"/>
        </w:rPr>
        <w:t>domácí</w:t>
      </w:r>
      <w:proofErr w:type="spellEnd"/>
      <w:r w:rsidR="00954E30">
        <w:rPr>
          <w:bCs/>
          <w:szCs w:val="24"/>
          <w:lang w:val="de-DE"/>
        </w:rPr>
        <w:t xml:space="preserve">: </w:t>
      </w:r>
      <w:proofErr w:type="spellStart"/>
      <w:r w:rsidR="00954E30">
        <w:rPr>
          <w:bCs/>
          <w:szCs w:val="24"/>
          <w:lang w:val="de-DE"/>
        </w:rPr>
        <w:t>maso</w:t>
      </w:r>
      <w:proofErr w:type="spellEnd"/>
      <w:r w:rsidR="00954E30">
        <w:rPr>
          <w:bCs/>
          <w:szCs w:val="24"/>
          <w:lang w:val="de-DE"/>
        </w:rPr>
        <w:t>:</w:t>
      </w:r>
      <w:r w:rsidR="00792A69">
        <w:rPr>
          <w:bCs/>
          <w:szCs w:val="24"/>
          <w:lang w:val="de-DE"/>
        </w:rPr>
        <w:t xml:space="preserve"> </w:t>
      </w:r>
      <w:r w:rsidR="00F274B3">
        <w:rPr>
          <w:bCs/>
          <w:szCs w:val="24"/>
          <w:lang w:val="de-DE"/>
        </w:rPr>
        <w:t>5</w:t>
      </w:r>
      <w:r w:rsidRPr="00D454BA">
        <w:rPr>
          <w:bCs/>
          <w:szCs w:val="24"/>
          <w:lang w:val="de-DE"/>
        </w:rPr>
        <w:t xml:space="preserve"> </w:t>
      </w:r>
      <w:proofErr w:type="spellStart"/>
      <w:r w:rsidRPr="00D454BA">
        <w:rPr>
          <w:bCs/>
          <w:szCs w:val="24"/>
          <w:lang w:val="de-DE"/>
        </w:rPr>
        <w:t>dn</w:t>
      </w:r>
      <w:r w:rsidR="00F274B3">
        <w:rPr>
          <w:bCs/>
          <w:szCs w:val="24"/>
          <w:lang w:val="de-DE"/>
        </w:rPr>
        <w:t>í</w:t>
      </w:r>
      <w:proofErr w:type="spellEnd"/>
      <w:r w:rsidRPr="00D454BA">
        <w:rPr>
          <w:bCs/>
          <w:szCs w:val="24"/>
          <w:lang w:val="de-DE"/>
        </w:rPr>
        <w:t xml:space="preserve">   </w:t>
      </w:r>
    </w:p>
    <w:p w:rsidR="00D454BA" w:rsidRPr="00D454BA" w:rsidRDefault="00D454BA" w:rsidP="00D454BA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D454BA" w:rsidRPr="00D454BA" w:rsidRDefault="00D454BA" w:rsidP="00D454BA">
      <w:pPr>
        <w:autoSpaceDE w:val="0"/>
        <w:autoSpaceDN w:val="0"/>
        <w:adjustRightInd w:val="0"/>
        <w:rPr>
          <w:szCs w:val="24"/>
        </w:rPr>
      </w:pPr>
      <w:r w:rsidRPr="00D454BA">
        <w:rPr>
          <w:szCs w:val="24"/>
        </w:rPr>
        <w:t>Přípravek není schválen k použití u nosnic, jejichž vejce jsou určena pro lidskou spotřebu, včetně kuřic</w:t>
      </w:r>
      <w:r w:rsidR="00D85826">
        <w:rPr>
          <w:szCs w:val="24"/>
        </w:rPr>
        <w:t xml:space="preserve"> </w:t>
      </w:r>
      <w:r w:rsidRPr="00D454BA">
        <w:rPr>
          <w:szCs w:val="24"/>
        </w:rPr>
        <w:t>určených k produkci vajec pro lidskou spotřebu.</w:t>
      </w:r>
    </w:p>
    <w:p w:rsidR="00D454BA" w:rsidRPr="00D454BA" w:rsidRDefault="00D454BA" w:rsidP="00D454BA">
      <w:pPr>
        <w:rPr>
          <w:szCs w:val="24"/>
        </w:rPr>
      </w:pPr>
      <w:r w:rsidRPr="00D454BA">
        <w:rPr>
          <w:szCs w:val="24"/>
        </w:rPr>
        <w:t>Během léčby nesmí být zvířata porážena pro lidskou spotřebu.</w:t>
      </w:r>
    </w:p>
    <w:p w:rsidR="00D454BA" w:rsidRPr="002620B0" w:rsidRDefault="00D454BA">
      <w:pPr>
        <w:rPr>
          <w:szCs w:val="24"/>
        </w:rPr>
      </w:pPr>
    </w:p>
    <w:p w:rsidR="00A61C40" w:rsidRPr="002620B0" w:rsidRDefault="00A61C40">
      <w:pPr>
        <w:ind w:left="567" w:hanging="567"/>
        <w:rPr>
          <w:szCs w:val="24"/>
        </w:rPr>
      </w:pPr>
      <w:r w:rsidRPr="002620B0">
        <w:rPr>
          <w:b/>
          <w:bCs/>
          <w:szCs w:val="24"/>
        </w:rPr>
        <w:t>11.</w:t>
      </w:r>
      <w:r w:rsidRPr="002620B0">
        <w:rPr>
          <w:b/>
          <w:bCs/>
          <w:szCs w:val="24"/>
        </w:rPr>
        <w:tab/>
        <w:t xml:space="preserve">ZVLÁŠTNÍ </w:t>
      </w:r>
      <w:r w:rsidRPr="002620B0">
        <w:rPr>
          <w:b/>
          <w:bCs/>
          <w:caps/>
          <w:szCs w:val="24"/>
        </w:rPr>
        <w:t>OPAtření pro uchovávání</w:t>
      </w:r>
      <w:r w:rsidRPr="002620B0">
        <w:rPr>
          <w:b/>
          <w:bCs/>
          <w:szCs w:val="24"/>
        </w:rPr>
        <w:t xml:space="preserve"> </w:t>
      </w:r>
    </w:p>
    <w:p w:rsidR="00A61C40" w:rsidRPr="002620B0" w:rsidRDefault="00A61C40">
      <w:pPr>
        <w:numPr>
          <w:ilvl w:val="12"/>
          <w:numId w:val="0"/>
        </w:numPr>
        <w:ind w:right="-2"/>
        <w:rPr>
          <w:noProof/>
          <w:szCs w:val="24"/>
        </w:rPr>
      </w:pPr>
      <w:r w:rsidRPr="002620B0">
        <w:rPr>
          <w:noProof/>
          <w:szCs w:val="24"/>
        </w:rPr>
        <w:t xml:space="preserve">Uchovávat mimo </w:t>
      </w:r>
      <w:r w:rsidR="009008A8">
        <w:rPr>
          <w:noProof/>
          <w:szCs w:val="24"/>
        </w:rPr>
        <w:t xml:space="preserve">dohled a </w:t>
      </w:r>
      <w:r w:rsidRPr="002620B0">
        <w:rPr>
          <w:noProof/>
          <w:szCs w:val="24"/>
        </w:rPr>
        <w:t>dosah dětí.</w:t>
      </w:r>
    </w:p>
    <w:p w:rsidR="00A61C40" w:rsidRPr="002620B0" w:rsidRDefault="00A61C40">
      <w:r w:rsidRPr="002620B0">
        <w:t xml:space="preserve">Uchovávejte při teplotě do 25 </w:t>
      </w:r>
      <w:r w:rsidRPr="002620B0">
        <w:rPr>
          <w:rFonts w:ascii="Arial" w:hAnsi="Arial" w:cs="Arial"/>
        </w:rPr>
        <w:t>º</w:t>
      </w:r>
      <w:r w:rsidRPr="002620B0">
        <w:t>C.</w:t>
      </w:r>
    </w:p>
    <w:p w:rsidR="003A6B01" w:rsidRPr="002620B0" w:rsidRDefault="003A6B01">
      <w:r w:rsidRPr="002620B0">
        <w:t>Chraňte před světlem.</w:t>
      </w:r>
    </w:p>
    <w:p w:rsidR="003A6B01" w:rsidRPr="002620B0" w:rsidRDefault="003A6B01" w:rsidP="003A6B01">
      <w:pPr>
        <w:jc w:val="both"/>
        <w:rPr>
          <w:szCs w:val="24"/>
        </w:rPr>
      </w:pPr>
      <w:r w:rsidRPr="002620B0">
        <w:rPr>
          <w:szCs w:val="24"/>
        </w:rPr>
        <w:t xml:space="preserve">Nepoužívejte </w:t>
      </w:r>
      <w:r w:rsidR="00631CEE">
        <w:rPr>
          <w:szCs w:val="24"/>
        </w:rPr>
        <w:t xml:space="preserve">tento veterinární léčivý přípravek </w:t>
      </w:r>
      <w:r w:rsidRPr="002620B0">
        <w:rPr>
          <w:szCs w:val="24"/>
        </w:rPr>
        <w:t xml:space="preserve">po uplynutí doby použitelnosti uvedené </w:t>
      </w:r>
      <w:r w:rsidRPr="002620B0">
        <w:rPr>
          <w:noProof/>
          <w:szCs w:val="24"/>
        </w:rPr>
        <w:t>na obalu.</w:t>
      </w:r>
    </w:p>
    <w:p w:rsidR="00A61C40" w:rsidRPr="002620B0" w:rsidRDefault="00A61C40">
      <w:r w:rsidRPr="002620B0">
        <w:t xml:space="preserve">Doba použitelnosti po rozpuštění </w:t>
      </w:r>
      <w:r w:rsidR="003E37F2">
        <w:t xml:space="preserve">v pitné </w:t>
      </w:r>
      <w:r w:rsidRPr="002620B0">
        <w:t>vodě</w:t>
      </w:r>
      <w:r w:rsidR="003E37F2">
        <w:t>:</w:t>
      </w:r>
      <w:r w:rsidRPr="002620B0">
        <w:t xml:space="preserve"> 48 hodin. </w:t>
      </w:r>
    </w:p>
    <w:p w:rsidR="00A61C40" w:rsidRPr="002620B0" w:rsidRDefault="00A61C40">
      <w:pPr>
        <w:ind w:left="567" w:hanging="567"/>
        <w:rPr>
          <w:b/>
          <w:bCs/>
          <w:szCs w:val="24"/>
        </w:rPr>
      </w:pPr>
    </w:p>
    <w:p w:rsidR="00744839" w:rsidRDefault="00A61C40" w:rsidP="00744839">
      <w:pPr>
        <w:tabs>
          <w:tab w:val="num" w:pos="360"/>
        </w:tabs>
        <w:ind w:left="567" w:hanging="567"/>
        <w:rPr>
          <w:b/>
          <w:bCs/>
          <w:szCs w:val="24"/>
        </w:rPr>
      </w:pPr>
      <w:r w:rsidRPr="002620B0">
        <w:rPr>
          <w:b/>
          <w:bCs/>
          <w:szCs w:val="24"/>
        </w:rPr>
        <w:t>12.</w:t>
      </w:r>
      <w:r w:rsidRPr="002620B0">
        <w:rPr>
          <w:b/>
          <w:bCs/>
          <w:szCs w:val="24"/>
        </w:rPr>
        <w:tab/>
        <w:t>ZVLÁŠTNÍ</w:t>
      </w:r>
      <w:r w:rsidRPr="002620B0">
        <w:rPr>
          <w:b/>
          <w:bCs/>
          <w:caps/>
          <w:szCs w:val="24"/>
        </w:rPr>
        <w:t xml:space="preserve"> upozornění </w:t>
      </w:r>
    </w:p>
    <w:p w:rsidR="00744839" w:rsidRPr="00744839" w:rsidRDefault="00744839" w:rsidP="00744839">
      <w:pPr>
        <w:tabs>
          <w:tab w:val="num" w:pos="360"/>
        </w:tabs>
        <w:ind w:left="567" w:hanging="567"/>
        <w:rPr>
          <w:bCs/>
          <w:szCs w:val="24"/>
          <w:u w:val="single"/>
        </w:rPr>
      </w:pPr>
      <w:r w:rsidRPr="00744839">
        <w:rPr>
          <w:bCs/>
          <w:szCs w:val="24"/>
          <w:u w:val="single"/>
        </w:rPr>
        <w:t>Zvláštní upozornění pro každý cílový druh</w:t>
      </w:r>
    </w:p>
    <w:p w:rsidR="00744839" w:rsidRPr="00744839" w:rsidRDefault="00744839" w:rsidP="00744839">
      <w:pPr>
        <w:autoSpaceDE w:val="0"/>
        <w:autoSpaceDN w:val="0"/>
        <w:adjustRightInd w:val="0"/>
        <w:jc w:val="both"/>
        <w:rPr>
          <w:szCs w:val="24"/>
        </w:rPr>
      </w:pPr>
      <w:r w:rsidRPr="00744839">
        <w:rPr>
          <w:szCs w:val="24"/>
        </w:rPr>
        <w:t xml:space="preserve">U </w:t>
      </w:r>
      <w:r w:rsidRPr="00744839">
        <w:rPr>
          <w:i/>
          <w:iCs/>
          <w:szCs w:val="24"/>
        </w:rPr>
        <w:t xml:space="preserve">E. </w:t>
      </w:r>
      <w:proofErr w:type="gramStart"/>
      <w:r w:rsidRPr="00744839">
        <w:rPr>
          <w:i/>
          <w:iCs/>
          <w:szCs w:val="24"/>
        </w:rPr>
        <w:t>coli</w:t>
      </w:r>
      <w:proofErr w:type="gramEnd"/>
      <w:r w:rsidRPr="00744839">
        <w:rPr>
          <w:i/>
          <w:iCs/>
          <w:szCs w:val="24"/>
        </w:rPr>
        <w:t xml:space="preserve"> </w:t>
      </w:r>
      <w:r w:rsidRPr="00744839">
        <w:rPr>
          <w:szCs w:val="24"/>
        </w:rPr>
        <w:t xml:space="preserve">vykazuje významná část </w:t>
      </w:r>
      <w:r w:rsidR="00343298">
        <w:rPr>
          <w:szCs w:val="24"/>
        </w:rPr>
        <w:t>izolátů</w:t>
      </w:r>
      <w:r w:rsidRPr="00744839">
        <w:rPr>
          <w:szCs w:val="24"/>
        </w:rPr>
        <w:t xml:space="preserve"> vysoké hodnoty MIC (minimální inhibiční koncentrace) pro kombinaci </w:t>
      </w:r>
      <w:proofErr w:type="spellStart"/>
      <w:r w:rsidRPr="00744839">
        <w:rPr>
          <w:szCs w:val="24"/>
        </w:rPr>
        <w:t>linkomycinu</w:t>
      </w:r>
      <w:proofErr w:type="spellEnd"/>
      <w:r w:rsidRPr="00744839">
        <w:rPr>
          <w:szCs w:val="24"/>
        </w:rPr>
        <w:t xml:space="preserve"> a </w:t>
      </w:r>
      <w:proofErr w:type="spellStart"/>
      <w:r w:rsidRPr="00744839">
        <w:rPr>
          <w:szCs w:val="24"/>
        </w:rPr>
        <w:t>spektinomycinu</w:t>
      </w:r>
      <w:proofErr w:type="spellEnd"/>
      <w:r w:rsidRPr="00744839">
        <w:rPr>
          <w:szCs w:val="24"/>
        </w:rPr>
        <w:t xml:space="preserve"> a tyto </w:t>
      </w:r>
      <w:r w:rsidR="00343298">
        <w:rPr>
          <w:szCs w:val="24"/>
        </w:rPr>
        <w:t>izoláty</w:t>
      </w:r>
      <w:r w:rsidRPr="00744839">
        <w:rPr>
          <w:szCs w:val="24"/>
        </w:rPr>
        <w:t xml:space="preserve"> mohou být klinicky rezistentní, třebaže není definována žádná hraniční koncentrace (</w:t>
      </w:r>
      <w:proofErr w:type="spellStart"/>
      <w:r w:rsidRPr="00744839">
        <w:rPr>
          <w:szCs w:val="24"/>
        </w:rPr>
        <w:t>breakpoint</w:t>
      </w:r>
      <w:proofErr w:type="spellEnd"/>
      <w:r w:rsidRPr="00744839">
        <w:rPr>
          <w:szCs w:val="24"/>
        </w:rPr>
        <w:t>).</w:t>
      </w:r>
    </w:p>
    <w:p w:rsidR="00684000" w:rsidRDefault="00684000" w:rsidP="00744839">
      <w:pPr>
        <w:jc w:val="both"/>
        <w:rPr>
          <w:szCs w:val="24"/>
        </w:rPr>
      </w:pPr>
    </w:p>
    <w:p w:rsidR="00744839" w:rsidRPr="00744839" w:rsidRDefault="00744839" w:rsidP="00744839">
      <w:pPr>
        <w:jc w:val="both"/>
        <w:rPr>
          <w:szCs w:val="24"/>
        </w:rPr>
      </w:pPr>
      <w:r w:rsidRPr="00744839">
        <w:rPr>
          <w:szCs w:val="24"/>
        </w:rPr>
        <w:t>Testování</w:t>
      </w:r>
      <w:r w:rsidR="00343298">
        <w:rPr>
          <w:szCs w:val="24"/>
        </w:rPr>
        <w:t xml:space="preserve"> </w:t>
      </w:r>
      <w:r w:rsidR="00343298">
        <w:t xml:space="preserve">citlivosti druhu </w:t>
      </w:r>
      <w:proofErr w:type="spellStart"/>
      <w:r w:rsidR="00343298" w:rsidRPr="002957C7">
        <w:rPr>
          <w:i/>
        </w:rPr>
        <w:t>Lawsonia</w:t>
      </w:r>
      <w:proofErr w:type="spellEnd"/>
      <w:r w:rsidR="00343298" w:rsidRPr="002957C7">
        <w:rPr>
          <w:i/>
        </w:rPr>
        <w:t xml:space="preserve"> </w:t>
      </w:r>
      <w:proofErr w:type="spellStart"/>
      <w:r w:rsidR="00343298" w:rsidRPr="002957C7">
        <w:rPr>
          <w:i/>
        </w:rPr>
        <w:t>intracellularis</w:t>
      </w:r>
      <w:proofErr w:type="spellEnd"/>
      <w:r w:rsidRPr="00744839">
        <w:rPr>
          <w:szCs w:val="24"/>
        </w:rPr>
        <w:t xml:space="preserve"> </w:t>
      </w:r>
      <w:r w:rsidRPr="00792A69">
        <w:rPr>
          <w:i/>
          <w:szCs w:val="24"/>
        </w:rPr>
        <w:t>in vitro</w:t>
      </w:r>
      <w:r w:rsidRPr="00744839">
        <w:rPr>
          <w:szCs w:val="24"/>
        </w:rPr>
        <w:t xml:space="preserve"> je technick</w:t>
      </w:r>
      <w:r w:rsidR="00343298">
        <w:rPr>
          <w:szCs w:val="24"/>
        </w:rPr>
        <w:t>y</w:t>
      </w:r>
      <w:r w:rsidRPr="00744839">
        <w:rPr>
          <w:szCs w:val="24"/>
        </w:rPr>
        <w:t xml:space="preserve"> velmi obtížné, </w:t>
      </w:r>
      <w:r w:rsidR="00343298">
        <w:rPr>
          <w:szCs w:val="24"/>
        </w:rPr>
        <w:t xml:space="preserve">a </w:t>
      </w:r>
      <w:r w:rsidRPr="00744839">
        <w:rPr>
          <w:szCs w:val="24"/>
        </w:rPr>
        <w:t>proto</w:t>
      </w:r>
      <w:r w:rsidR="00343298">
        <w:rPr>
          <w:szCs w:val="24"/>
        </w:rPr>
        <w:t xml:space="preserve"> nejsou k dispozici</w:t>
      </w:r>
      <w:r w:rsidRPr="00744839">
        <w:rPr>
          <w:szCs w:val="24"/>
        </w:rPr>
        <w:t xml:space="preserve"> přesné údaje o citlivosti </w:t>
      </w:r>
      <w:r w:rsidR="00343298">
        <w:rPr>
          <w:szCs w:val="24"/>
        </w:rPr>
        <w:t>tohoto druhu bakterie</w:t>
      </w:r>
      <w:r w:rsidRPr="00744839">
        <w:rPr>
          <w:szCs w:val="24"/>
        </w:rPr>
        <w:t>.</w:t>
      </w:r>
    </w:p>
    <w:p w:rsidR="002620B0" w:rsidRDefault="002620B0">
      <w:pPr>
        <w:pStyle w:val="Zkladntext2"/>
        <w:jc w:val="both"/>
        <w:rPr>
          <w:color w:val="auto"/>
        </w:rPr>
      </w:pPr>
    </w:p>
    <w:p w:rsidR="002620B0" w:rsidRPr="002620B0" w:rsidRDefault="002620B0" w:rsidP="002620B0">
      <w:pPr>
        <w:rPr>
          <w:bCs/>
          <w:szCs w:val="24"/>
          <w:u w:val="single"/>
        </w:rPr>
      </w:pPr>
      <w:r w:rsidRPr="002620B0">
        <w:rPr>
          <w:bCs/>
          <w:szCs w:val="24"/>
          <w:u w:val="single"/>
        </w:rPr>
        <w:t>Zvláštní opatření pro použití u zvířat</w:t>
      </w:r>
    </w:p>
    <w:p w:rsidR="00343298" w:rsidRDefault="00343298" w:rsidP="00343298">
      <w:r w:rsidRPr="00B33EF3">
        <w:t xml:space="preserve">Použití přípravku by mělo být založeno na kultivaci a stanovení citlivosti mikroorganizmů pocházejících z výskytů případů onemocnění na farmě. Pokud to není možné, je nutné založit terapii na místních (regionální, na úrovni farmy) </w:t>
      </w:r>
      <w:proofErr w:type="spellStart"/>
      <w:r w:rsidRPr="00B33EF3">
        <w:t>epizootologických</w:t>
      </w:r>
      <w:proofErr w:type="spellEnd"/>
      <w:r w:rsidRPr="00B33EF3">
        <w:t xml:space="preserve"> informacíc</w:t>
      </w:r>
      <w:r>
        <w:t>h o citlivosti cílové bakterie.</w:t>
      </w:r>
    </w:p>
    <w:p w:rsidR="00343298" w:rsidRDefault="00343298" w:rsidP="00343298"/>
    <w:p w:rsidR="00343298" w:rsidRDefault="00343298" w:rsidP="00343298">
      <w:pPr>
        <w:autoSpaceDE w:val="0"/>
        <w:autoSpaceDN w:val="0"/>
        <w:adjustRightInd w:val="0"/>
        <w:spacing w:line="240" w:lineRule="atLeast"/>
        <w:jc w:val="both"/>
      </w:pPr>
      <w:r w:rsidRPr="007D7A10">
        <w:t>Použití přípravku, které je odlišné od pokynů uvedených v</w:t>
      </w:r>
      <w:r w:rsidR="00E123C6">
        <w:t> této příbalové informaci</w:t>
      </w:r>
      <w:r w:rsidRPr="007D7A10">
        <w:t>, může zvýšit preva</w:t>
      </w:r>
      <w:r>
        <w:t>lenci bakterií rezistentních k </w:t>
      </w:r>
      <w:proofErr w:type="spellStart"/>
      <w:r>
        <w:t>linkomycinu</w:t>
      </w:r>
      <w:proofErr w:type="spellEnd"/>
      <w:r>
        <w:t xml:space="preserve"> a </w:t>
      </w:r>
      <w:proofErr w:type="spellStart"/>
      <w:r>
        <w:t>spektinomycinu</w:t>
      </w:r>
      <w:proofErr w:type="spellEnd"/>
      <w:r w:rsidRPr="007D7A10">
        <w:rPr>
          <w:b/>
          <w:bCs/>
        </w:rPr>
        <w:t xml:space="preserve"> </w:t>
      </w:r>
      <w:r w:rsidRPr="007D7A10">
        <w:t>a sníži</w:t>
      </w:r>
      <w:r>
        <w:t xml:space="preserve">t účinnost terapie ostatními </w:t>
      </w:r>
      <w:proofErr w:type="spellStart"/>
      <w:r>
        <w:t>linkosamid</w:t>
      </w:r>
      <w:r w:rsidR="00BF4C19">
        <w:t>y</w:t>
      </w:r>
      <w:proofErr w:type="spellEnd"/>
      <w:r w:rsidR="00BF4C19">
        <w:t xml:space="preserve"> a </w:t>
      </w:r>
      <w:proofErr w:type="spellStart"/>
      <w:r w:rsidR="00BF4C19">
        <w:t>makrolidy</w:t>
      </w:r>
      <w:proofErr w:type="spellEnd"/>
      <w:r w:rsidR="00BF4C19">
        <w:t xml:space="preserve"> </w:t>
      </w:r>
      <w:r w:rsidRPr="007D7A10">
        <w:t>z dův</w:t>
      </w:r>
      <w:r>
        <w:t>odu možné zkřížené rezistence.</w:t>
      </w:r>
    </w:p>
    <w:p w:rsidR="00180EFC" w:rsidRDefault="00180EFC" w:rsidP="00343298">
      <w:pPr>
        <w:autoSpaceDE w:val="0"/>
        <w:autoSpaceDN w:val="0"/>
        <w:adjustRightInd w:val="0"/>
        <w:spacing w:line="240" w:lineRule="atLeast"/>
        <w:jc w:val="both"/>
      </w:pPr>
    </w:p>
    <w:p w:rsidR="00180EFC" w:rsidRDefault="00180EFC" w:rsidP="00343298">
      <w:pPr>
        <w:autoSpaceDE w:val="0"/>
        <w:autoSpaceDN w:val="0"/>
        <w:adjustRightInd w:val="0"/>
        <w:spacing w:line="240" w:lineRule="atLeast"/>
        <w:jc w:val="both"/>
      </w:pPr>
      <w:r w:rsidRPr="00660A81">
        <w:t>V případě nedostatečného příjmu vody v důsledku onemocnění, je vhodné zahájit parenterální léčbu.</w:t>
      </w:r>
    </w:p>
    <w:p w:rsidR="00343298" w:rsidRDefault="00343298" w:rsidP="00343298">
      <w:pPr>
        <w:autoSpaceDE w:val="0"/>
        <w:autoSpaceDN w:val="0"/>
        <w:adjustRightInd w:val="0"/>
        <w:spacing w:line="240" w:lineRule="atLeast"/>
        <w:jc w:val="both"/>
      </w:pPr>
    </w:p>
    <w:p w:rsidR="00343298" w:rsidRPr="00343298" w:rsidRDefault="00343298" w:rsidP="00792A69">
      <w:pPr>
        <w:autoSpaceDE w:val="0"/>
        <w:autoSpaceDN w:val="0"/>
        <w:adjustRightInd w:val="0"/>
        <w:spacing w:line="240" w:lineRule="atLeast"/>
        <w:jc w:val="both"/>
      </w:pPr>
      <w:r w:rsidRPr="007D7A10">
        <w:t>Protože nemusí být dosaženo eradikace cílových patogenů, je zapotřebí léčbu kombinovat s dobrou zoohygienickou praxí, např. dobrou hygienou, správným větráním a dostatkem prostoru pro zvířata</w:t>
      </w:r>
      <w:r>
        <w:t>.</w:t>
      </w:r>
    </w:p>
    <w:p w:rsidR="002620B0" w:rsidRPr="002620B0" w:rsidRDefault="002620B0" w:rsidP="002620B0">
      <w:pPr>
        <w:rPr>
          <w:szCs w:val="24"/>
        </w:rPr>
      </w:pPr>
    </w:p>
    <w:p w:rsidR="002620B0" w:rsidRPr="002620B0" w:rsidRDefault="002620B0" w:rsidP="002620B0">
      <w:pPr>
        <w:rPr>
          <w:bCs/>
          <w:szCs w:val="24"/>
          <w:u w:val="single"/>
        </w:rPr>
      </w:pPr>
      <w:r w:rsidRPr="002620B0">
        <w:rPr>
          <w:bCs/>
          <w:szCs w:val="24"/>
          <w:u w:val="single"/>
        </w:rPr>
        <w:t>Zvláštní opatření určené osobám, které podávají veterinární léčivý přípravek zvířatům</w:t>
      </w:r>
    </w:p>
    <w:p w:rsidR="003D0AFB" w:rsidRDefault="003D0AFB" w:rsidP="003D0AFB">
      <w:r>
        <w:t xml:space="preserve">Lidé se známou přecitlivělostí na </w:t>
      </w:r>
      <w:proofErr w:type="spellStart"/>
      <w:r>
        <w:t>linkomycin</w:t>
      </w:r>
      <w:proofErr w:type="spellEnd"/>
      <w:r>
        <w:t xml:space="preserve"> nebo </w:t>
      </w:r>
      <w:proofErr w:type="spellStart"/>
      <w:r>
        <w:t>spektinomycin</w:t>
      </w:r>
      <w:proofErr w:type="spellEnd"/>
      <w:r>
        <w:t xml:space="preserve"> by se měli vyhnout kontaktu s veterinárním léčivým přípravkem. Předcházejte zvíření a inhalaci prášku. Zabraňte kontaktu přípravku s kůží a očima.</w:t>
      </w:r>
    </w:p>
    <w:p w:rsidR="003D0AFB" w:rsidRDefault="003D0AFB" w:rsidP="003D0AFB">
      <w:r>
        <w:t>Při manipulaci a míchání přípravku by se měly používat osobní ochranné prostředky skládající se z respirátoru (buď jednorázový respirátor vyhovující Evropské normě EN149, nebo respirátor pro více použití vyhovující Evropské normě EN140, vybavený filtrem podle normy EN143), rukavic a ochranných brýlí.</w:t>
      </w:r>
    </w:p>
    <w:p w:rsidR="003D0AFB" w:rsidRDefault="003D0AFB" w:rsidP="003D0AFB">
      <w:r>
        <w:t>Po použití si ihned umyjte ruce a zasaženou kůži mýdlem a vodou.</w:t>
      </w:r>
    </w:p>
    <w:p w:rsidR="003D0AFB" w:rsidRDefault="003D0AFB" w:rsidP="003D0AFB">
      <w:r>
        <w:t>Pokud příznaky jako vyrážka nebo podráždění očí přetrvávají, vyhledejte ihned lékařskou pomoc a ukažte příbalovou informaci nebo etiketu praktickému lékaři.</w:t>
      </w:r>
    </w:p>
    <w:p w:rsidR="00A61C40" w:rsidRDefault="00A61C40">
      <w:pPr>
        <w:rPr>
          <w:szCs w:val="24"/>
        </w:rPr>
      </w:pPr>
    </w:p>
    <w:p w:rsidR="00204B83" w:rsidRDefault="00204B83">
      <w:pPr>
        <w:rPr>
          <w:szCs w:val="24"/>
          <w:u w:val="single"/>
        </w:rPr>
      </w:pPr>
      <w:r w:rsidRPr="00204B83">
        <w:rPr>
          <w:szCs w:val="24"/>
          <w:u w:val="single"/>
        </w:rPr>
        <w:t>Březost</w:t>
      </w:r>
      <w:r>
        <w:rPr>
          <w:szCs w:val="24"/>
          <w:u w:val="single"/>
        </w:rPr>
        <w:t>, l</w:t>
      </w:r>
      <w:r w:rsidRPr="00204B83">
        <w:rPr>
          <w:szCs w:val="24"/>
          <w:u w:val="single"/>
        </w:rPr>
        <w:t>aktace:</w:t>
      </w:r>
    </w:p>
    <w:p w:rsidR="00204B83" w:rsidRDefault="00204B83">
      <w:pPr>
        <w:rPr>
          <w:szCs w:val="24"/>
          <w:u w:val="single"/>
        </w:rPr>
      </w:pPr>
      <w:r w:rsidRPr="009B6238">
        <w:t>Nebyla stanovena bezpečnost veterinárního léčivého přípravku pro použití během</w:t>
      </w:r>
      <w:r>
        <w:t xml:space="preserve"> březosti a laktace</w:t>
      </w:r>
      <w:r w:rsidR="00180EFC">
        <w:t xml:space="preserve"> u prasat</w:t>
      </w:r>
      <w:r>
        <w:t>.</w:t>
      </w:r>
    </w:p>
    <w:p w:rsidR="00204B83" w:rsidRDefault="00204B83">
      <w:pPr>
        <w:rPr>
          <w:szCs w:val="24"/>
          <w:u w:val="single"/>
        </w:rPr>
      </w:pPr>
    </w:p>
    <w:p w:rsidR="002620B0" w:rsidRPr="002620B0" w:rsidRDefault="002620B0">
      <w:pPr>
        <w:rPr>
          <w:szCs w:val="24"/>
          <w:u w:val="single"/>
        </w:rPr>
      </w:pPr>
      <w:r w:rsidRPr="002620B0">
        <w:rPr>
          <w:szCs w:val="24"/>
          <w:u w:val="single"/>
        </w:rPr>
        <w:t>Snáška</w:t>
      </w:r>
    </w:p>
    <w:p w:rsidR="002620B0" w:rsidRDefault="002620B0" w:rsidP="002620B0">
      <w:pPr>
        <w:tabs>
          <w:tab w:val="num" w:pos="360"/>
        </w:tabs>
        <w:rPr>
          <w:szCs w:val="24"/>
        </w:rPr>
      </w:pPr>
      <w:r w:rsidRPr="002620B0">
        <w:rPr>
          <w:szCs w:val="24"/>
        </w:rPr>
        <w:t>Nepodávat nosnicím, jejichž vejce jsou určena pro lidskou spotřebu.</w:t>
      </w:r>
    </w:p>
    <w:p w:rsidR="002620B0" w:rsidRDefault="002620B0" w:rsidP="002620B0">
      <w:pPr>
        <w:tabs>
          <w:tab w:val="num" w:pos="360"/>
        </w:tabs>
        <w:rPr>
          <w:szCs w:val="24"/>
        </w:rPr>
      </w:pPr>
    </w:p>
    <w:p w:rsidR="002620B0" w:rsidRPr="002620B0" w:rsidRDefault="002620B0" w:rsidP="002620B0">
      <w:pPr>
        <w:tabs>
          <w:tab w:val="num" w:pos="360"/>
        </w:tabs>
        <w:rPr>
          <w:bCs/>
          <w:szCs w:val="24"/>
          <w:u w:val="single"/>
        </w:rPr>
      </w:pPr>
      <w:r w:rsidRPr="002620B0">
        <w:rPr>
          <w:bCs/>
          <w:szCs w:val="24"/>
          <w:u w:val="single"/>
        </w:rPr>
        <w:t>Interakce s dalšími léčivými přípravky a další formy interakce</w:t>
      </w:r>
    </w:p>
    <w:p w:rsidR="00204B83" w:rsidRDefault="002620B0" w:rsidP="00AC335D">
      <w:pPr>
        <w:rPr>
          <w:szCs w:val="24"/>
        </w:rPr>
      </w:pPr>
      <w:r w:rsidRPr="002620B0">
        <w:rPr>
          <w:szCs w:val="24"/>
        </w:rPr>
        <w:t xml:space="preserve">Nepodávat současně s </w:t>
      </w:r>
      <w:proofErr w:type="spellStart"/>
      <w:r w:rsidRPr="002620B0">
        <w:rPr>
          <w:szCs w:val="24"/>
        </w:rPr>
        <w:t>myorelaxan</w:t>
      </w:r>
      <w:r w:rsidR="00204B83">
        <w:rPr>
          <w:szCs w:val="24"/>
        </w:rPr>
        <w:t>c</w:t>
      </w:r>
      <w:r w:rsidRPr="002620B0">
        <w:rPr>
          <w:szCs w:val="24"/>
        </w:rPr>
        <w:t>ii</w:t>
      </w:r>
      <w:proofErr w:type="spellEnd"/>
      <w:r w:rsidRPr="002620B0">
        <w:rPr>
          <w:szCs w:val="24"/>
        </w:rPr>
        <w:t>.</w:t>
      </w:r>
    </w:p>
    <w:p w:rsidR="00AC335D" w:rsidRDefault="002620B0" w:rsidP="00AC335D">
      <w:pPr>
        <w:rPr>
          <w:szCs w:val="24"/>
        </w:rPr>
      </w:pPr>
      <w:r w:rsidRPr="002620B0">
        <w:rPr>
          <w:szCs w:val="24"/>
        </w:rPr>
        <w:t xml:space="preserve"> </w:t>
      </w:r>
    </w:p>
    <w:p w:rsidR="00AC335D" w:rsidRPr="00AC335D" w:rsidRDefault="00AC335D" w:rsidP="00AC335D">
      <w:pPr>
        <w:rPr>
          <w:bCs/>
          <w:u w:val="single"/>
        </w:rPr>
      </w:pPr>
      <w:r w:rsidRPr="00AC335D">
        <w:rPr>
          <w:bCs/>
          <w:u w:val="single"/>
        </w:rPr>
        <w:t>Předávkování (symptomy, první pomoc, antidota)</w:t>
      </w:r>
    </w:p>
    <w:p w:rsidR="00AC335D" w:rsidRDefault="00AC335D" w:rsidP="00AC335D">
      <w:pPr>
        <w:tabs>
          <w:tab w:val="num" w:pos="360"/>
        </w:tabs>
      </w:pPr>
      <w:r w:rsidRPr="008F52D9">
        <w:t xml:space="preserve">Specifická antidota pro případ předávkování nejsou známa. </w:t>
      </w:r>
    </w:p>
    <w:p w:rsidR="00AC335D" w:rsidRDefault="00AC335D" w:rsidP="00AC335D">
      <w:pPr>
        <w:tabs>
          <w:tab w:val="num" w:pos="360"/>
        </w:tabs>
      </w:pPr>
    </w:p>
    <w:p w:rsidR="00AC335D" w:rsidRPr="00AC335D" w:rsidRDefault="00AC335D" w:rsidP="00AC335D">
      <w:pPr>
        <w:tabs>
          <w:tab w:val="num" w:pos="360"/>
        </w:tabs>
        <w:rPr>
          <w:bCs/>
          <w:szCs w:val="24"/>
          <w:u w:val="single"/>
        </w:rPr>
      </w:pPr>
      <w:r w:rsidRPr="00AC335D">
        <w:rPr>
          <w:bCs/>
          <w:szCs w:val="24"/>
          <w:u w:val="single"/>
        </w:rPr>
        <w:t>Inkompatibility</w:t>
      </w:r>
    </w:p>
    <w:p w:rsidR="00AC335D" w:rsidRPr="00AC335D" w:rsidRDefault="00AC335D" w:rsidP="00AC335D">
      <w:pPr>
        <w:rPr>
          <w:szCs w:val="24"/>
        </w:rPr>
      </w:pPr>
      <w:proofErr w:type="spellStart"/>
      <w:r w:rsidRPr="00AC335D">
        <w:rPr>
          <w:szCs w:val="24"/>
        </w:rPr>
        <w:t>Myorelaxan</w:t>
      </w:r>
      <w:r w:rsidR="00204B83">
        <w:rPr>
          <w:szCs w:val="24"/>
        </w:rPr>
        <w:t>c</w:t>
      </w:r>
      <w:r w:rsidRPr="00AC335D">
        <w:rPr>
          <w:szCs w:val="24"/>
        </w:rPr>
        <w:t>ia</w:t>
      </w:r>
      <w:proofErr w:type="spellEnd"/>
      <w:r w:rsidRPr="00AC335D">
        <w:rPr>
          <w:szCs w:val="24"/>
        </w:rPr>
        <w:t>.</w:t>
      </w:r>
    </w:p>
    <w:p w:rsidR="00AC335D" w:rsidRPr="008F52D9" w:rsidRDefault="00AC335D" w:rsidP="00AC335D"/>
    <w:p w:rsidR="00A61C40" w:rsidRPr="002620B0" w:rsidRDefault="00A61C40">
      <w:pPr>
        <w:ind w:left="567" w:hanging="567"/>
        <w:rPr>
          <w:b/>
          <w:bCs/>
          <w:caps/>
          <w:szCs w:val="24"/>
        </w:rPr>
      </w:pPr>
      <w:r w:rsidRPr="002620B0">
        <w:rPr>
          <w:b/>
          <w:bCs/>
          <w:szCs w:val="24"/>
        </w:rPr>
        <w:lastRenderedPageBreak/>
        <w:t>13.</w:t>
      </w:r>
      <w:r w:rsidRPr="002620B0">
        <w:rPr>
          <w:b/>
          <w:bCs/>
          <w:szCs w:val="24"/>
        </w:rPr>
        <w:tab/>
        <w:t xml:space="preserve">ZVLÁŠTNÍ OPATŘENÍ </w:t>
      </w:r>
      <w:r w:rsidRPr="002620B0">
        <w:rPr>
          <w:b/>
          <w:bCs/>
          <w:caps/>
          <w:szCs w:val="24"/>
        </w:rPr>
        <w:t>PRO zneškodňování NEPOUŽITÝch PŘÍPRAVKŮ NEBO ODPADU, pokud je jich třeba</w:t>
      </w:r>
    </w:p>
    <w:p w:rsidR="00A61C40" w:rsidRDefault="00A61C40">
      <w:pPr>
        <w:ind w:right="-318"/>
        <w:jc w:val="both"/>
        <w:rPr>
          <w:szCs w:val="24"/>
        </w:rPr>
      </w:pPr>
      <w:r w:rsidRPr="002620B0">
        <w:rPr>
          <w:szCs w:val="24"/>
        </w:rPr>
        <w:t>Všechen nepoužitý veterinární léčivý přípravek nebo odpad, který pochází z tohoto přípravku, musí být likvidován podle místních právních předpisů.</w:t>
      </w:r>
    </w:p>
    <w:p w:rsidR="00C77614" w:rsidRPr="002620B0" w:rsidRDefault="00C77614">
      <w:pPr>
        <w:ind w:right="-318"/>
        <w:jc w:val="both"/>
        <w:rPr>
          <w:szCs w:val="24"/>
        </w:rPr>
      </w:pPr>
      <w:r>
        <w:rPr>
          <w:szCs w:val="24"/>
        </w:rPr>
        <w:t xml:space="preserve">Léčivé přípravky se nesmí likvidovat prostřednictvím odpadní vody či domovního odpadu. </w:t>
      </w:r>
    </w:p>
    <w:p w:rsidR="00A61C40" w:rsidRPr="002620B0" w:rsidRDefault="00A61C40">
      <w:pPr>
        <w:ind w:right="-318"/>
        <w:rPr>
          <w:szCs w:val="24"/>
        </w:rPr>
      </w:pPr>
    </w:p>
    <w:p w:rsidR="00A61C40" w:rsidRPr="002620B0" w:rsidRDefault="00A61C40">
      <w:pPr>
        <w:ind w:left="567" w:hanging="567"/>
        <w:rPr>
          <w:b/>
          <w:bCs/>
          <w:szCs w:val="24"/>
        </w:rPr>
      </w:pPr>
      <w:r w:rsidRPr="002620B0">
        <w:rPr>
          <w:b/>
          <w:bCs/>
          <w:szCs w:val="24"/>
        </w:rPr>
        <w:t>14.</w:t>
      </w:r>
      <w:r w:rsidRPr="002620B0">
        <w:rPr>
          <w:b/>
          <w:bCs/>
          <w:szCs w:val="24"/>
        </w:rPr>
        <w:tab/>
        <w:t xml:space="preserve">DATUM POSLEDNÍ REVIZE </w:t>
      </w:r>
      <w:r w:rsidRPr="002620B0">
        <w:rPr>
          <w:b/>
          <w:bCs/>
          <w:caps/>
          <w:szCs w:val="24"/>
        </w:rPr>
        <w:t>PŘÍBALOVÉ Informace</w:t>
      </w:r>
    </w:p>
    <w:p w:rsidR="00A61C40" w:rsidRPr="002620B0" w:rsidRDefault="00FB5F44">
      <w:pPr>
        <w:ind w:right="-318"/>
        <w:rPr>
          <w:szCs w:val="24"/>
        </w:rPr>
      </w:pPr>
      <w:r>
        <w:rPr>
          <w:szCs w:val="24"/>
        </w:rPr>
        <w:t>Srpen</w:t>
      </w:r>
      <w:bookmarkStart w:id="0" w:name="_GoBack"/>
      <w:bookmarkEnd w:id="0"/>
      <w:r w:rsidR="00C77614">
        <w:rPr>
          <w:szCs w:val="24"/>
        </w:rPr>
        <w:t xml:space="preserve"> 2017</w:t>
      </w:r>
    </w:p>
    <w:p w:rsidR="00A61C40" w:rsidRPr="002620B0" w:rsidRDefault="00A61C40">
      <w:pPr>
        <w:ind w:right="-318"/>
        <w:rPr>
          <w:szCs w:val="24"/>
        </w:rPr>
      </w:pPr>
    </w:p>
    <w:p w:rsidR="00A61C40" w:rsidRPr="002620B0" w:rsidRDefault="00A61C40">
      <w:pPr>
        <w:ind w:left="567" w:hanging="567"/>
        <w:rPr>
          <w:szCs w:val="24"/>
        </w:rPr>
      </w:pPr>
      <w:r w:rsidRPr="002620B0">
        <w:rPr>
          <w:b/>
          <w:bCs/>
          <w:szCs w:val="24"/>
        </w:rPr>
        <w:t>15.</w:t>
      </w:r>
      <w:r w:rsidRPr="002620B0">
        <w:rPr>
          <w:b/>
          <w:bCs/>
          <w:szCs w:val="24"/>
        </w:rPr>
        <w:tab/>
        <w:t>DALŠÍ INFORMACE</w:t>
      </w:r>
    </w:p>
    <w:p w:rsidR="00A61C40" w:rsidRPr="002620B0" w:rsidRDefault="00A61C40">
      <w:pPr>
        <w:ind w:right="-2"/>
        <w:rPr>
          <w:szCs w:val="24"/>
        </w:rPr>
      </w:pPr>
      <w:r w:rsidRPr="002620B0">
        <w:rPr>
          <w:szCs w:val="24"/>
        </w:rPr>
        <w:t>Pouze pro zvířata.</w:t>
      </w:r>
    </w:p>
    <w:p w:rsidR="00A61C40" w:rsidRPr="002620B0" w:rsidRDefault="00A61C40">
      <w:pPr>
        <w:ind w:right="-2"/>
        <w:rPr>
          <w:szCs w:val="24"/>
        </w:rPr>
      </w:pPr>
      <w:r w:rsidRPr="002620B0">
        <w:rPr>
          <w:szCs w:val="24"/>
        </w:rPr>
        <w:t>Veterinární léčivý přípravek je vydáván pouze na předpis.</w:t>
      </w:r>
    </w:p>
    <w:p w:rsidR="007A102F" w:rsidRDefault="007A102F"/>
    <w:p w:rsidR="00A61C40" w:rsidRPr="002620B0" w:rsidRDefault="00A61C40" w:rsidP="00654A16">
      <w:pPr>
        <w:rPr>
          <w:szCs w:val="24"/>
        </w:rPr>
      </w:pPr>
      <w:r w:rsidRPr="002620B0">
        <w:t>Balení:</w:t>
      </w:r>
      <w:r w:rsidR="007A102F">
        <w:t xml:space="preserve"> </w:t>
      </w:r>
      <w:r w:rsidRPr="002620B0">
        <w:t xml:space="preserve">1 x </w:t>
      </w:r>
      <w:smartTag w:uri="urn:schemas-microsoft-com:office:smarttags" w:element="metricconverter">
        <w:smartTagPr>
          <w:attr w:name="ProductID" w:val="250 g"/>
        </w:smartTagPr>
        <w:r w:rsidRPr="002620B0">
          <w:t>250 g</w:t>
        </w:r>
      </w:smartTag>
    </w:p>
    <w:p w:rsidR="00A61C40" w:rsidRPr="002620B0" w:rsidRDefault="00A61C40">
      <w:pPr>
        <w:ind w:right="-2"/>
      </w:pPr>
    </w:p>
    <w:sectPr w:rsidR="00A61C40" w:rsidRPr="002620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3C" w:rsidRDefault="00F97C3C" w:rsidP="002620B0">
      <w:r>
        <w:separator/>
      </w:r>
    </w:p>
  </w:endnote>
  <w:endnote w:type="continuationSeparator" w:id="0">
    <w:p w:rsidR="00F97C3C" w:rsidRDefault="00F97C3C" w:rsidP="0026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3C" w:rsidRDefault="00F97C3C" w:rsidP="002620B0">
      <w:r>
        <w:separator/>
      </w:r>
    </w:p>
  </w:footnote>
  <w:footnote w:type="continuationSeparator" w:id="0">
    <w:p w:rsidR="00F97C3C" w:rsidRDefault="00F97C3C" w:rsidP="0026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0" w:rsidRPr="00792A69" w:rsidRDefault="00204B83" w:rsidP="00792A69">
    <w:pPr>
      <w:pStyle w:val="Zhlav"/>
    </w:pPr>
    <w:r w:rsidRPr="00792A6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512ED"/>
    <w:multiLevelType w:val="singleLevel"/>
    <w:tmpl w:val="AE04749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FC76B9"/>
    <w:multiLevelType w:val="singleLevel"/>
    <w:tmpl w:val="06287CA0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4FF50A1"/>
    <w:multiLevelType w:val="multilevel"/>
    <w:tmpl w:val="D07253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16438B"/>
    <w:multiLevelType w:val="singleLevel"/>
    <w:tmpl w:val="FDFC597A"/>
    <w:lvl w:ilvl="0">
      <w:start w:val="7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A0F2359"/>
    <w:multiLevelType w:val="hybridMultilevel"/>
    <w:tmpl w:val="7DD6E694"/>
    <w:lvl w:ilvl="0" w:tplc="F4BA3C6A">
      <w:start w:val="1"/>
      <w:numFmt w:val="decimal"/>
      <w:pStyle w:val="Styl1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E58F8"/>
    <w:multiLevelType w:val="singleLevel"/>
    <w:tmpl w:val="3A1E100E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4373B66"/>
    <w:multiLevelType w:val="singleLevel"/>
    <w:tmpl w:val="732020D0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0075217"/>
    <w:multiLevelType w:val="singleLevel"/>
    <w:tmpl w:val="55D06FD4"/>
    <w:lvl w:ilvl="0">
      <w:start w:val="3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5FB4FF6"/>
    <w:multiLevelType w:val="singleLevel"/>
    <w:tmpl w:val="4830ED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7855CA0"/>
    <w:multiLevelType w:val="singleLevel"/>
    <w:tmpl w:val="BB52C40A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B896A08"/>
    <w:multiLevelType w:val="singleLevel"/>
    <w:tmpl w:val="23EA1A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EF064BE"/>
    <w:multiLevelType w:val="singleLevel"/>
    <w:tmpl w:val="1B04DAD0"/>
    <w:lvl w:ilvl="0">
      <w:start w:val="8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38D87933"/>
    <w:multiLevelType w:val="singleLevel"/>
    <w:tmpl w:val="21E223A0"/>
    <w:lvl w:ilvl="0">
      <w:start w:val="5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B0F79FB"/>
    <w:multiLevelType w:val="singleLevel"/>
    <w:tmpl w:val="694862EC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40972C61"/>
    <w:multiLevelType w:val="singleLevel"/>
    <w:tmpl w:val="DB74B0CE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1AB0FC2"/>
    <w:multiLevelType w:val="singleLevel"/>
    <w:tmpl w:val="055CF51A"/>
    <w:lvl w:ilvl="0">
      <w:start w:val="1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20574E1"/>
    <w:multiLevelType w:val="singleLevel"/>
    <w:tmpl w:val="6AE68B50"/>
    <w:lvl w:ilvl="0"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4A82195"/>
    <w:multiLevelType w:val="multilevel"/>
    <w:tmpl w:val="0ACEBA9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D052FB"/>
    <w:multiLevelType w:val="singleLevel"/>
    <w:tmpl w:val="1B644A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D25420F"/>
    <w:multiLevelType w:val="singleLevel"/>
    <w:tmpl w:val="2862A0E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0923572"/>
    <w:multiLevelType w:val="singleLevel"/>
    <w:tmpl w:val="BD96C6FE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12C55C3"/>
    <w:multiLevelType w:val="multilevel"/>
    <w:tmpl w:val="D94259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E137D8"/>
    <w:multiLevelType w:val="singleLevel"/>
    <w:tmpl w:val="06A8A6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3FA765A"/>
    <w:multiLevelType w:val="singleLevel"/>
    <w:tmpl w:val="B48858BE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546C67EB"/>
    <w:multiLevelType w:val="singleLevel"/>
    <w:tmpl w:val="2BF4B8AA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565D6697"/>
    <w:multiLevelType w:val="singleLevel"/>
    <w:tmpl w:val="25F20908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5C6427C9"/>
    <w:multiLevelType w:val="hybridMultilevel"/>
    <w:tmpl w:val="73D662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607B2D"/>
    <w:multiLevelType w:val="hybridMultilevel"/>
    <w:tmpl w:val="19CAB23A"/>
    <w:lvl w:ilvl="0" w:tplc="A9EC7158">
      <w:start w:val="1"/>
      <w:numFmt w:val="decimal"/>
      <w:pStyle w:val="Nadpis2"/>
      <w:lvlText w:val="%1.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312A5E"/>
    <w:multiLevelType w:val="multilevel"/>
    <w:tmpl w:val="2C38E6B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D1E697A"/>
    <w:multiLevelType w:val="singleLevel"/>
    <w:tmpl w:val="64E064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1552D40"/>
    <w:multiLevelType w:val="singleLevel"/>
    <w:tmpl w:val="C316B3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752D0963"/>
    <w:multiLevelType w:val="singleLevel"/>
    <w:tmpl w:val="F6828434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7E322370"/>
    <w:multiLevelType w:val="singleLevel"/>
    <w:tmpl w:val="E306EE78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4">
    <w:nsid w:val="7E3E54D9"/>
    <w:multiLevelType w:val="singleLevel"/>
    <w:tmpl w:val="D6AE6DB4"/>
    <w:lvl w:ilvl="0">
      <w:start w:val="5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7F121E73"/>
    <w:multiLevelType w:val="hybridMultilevel"/>
    <w:tmpl w:val="A2725FDC"/>
    <w:lvl w:ilvl="0" w:tplc="AF0A7E18">
      <w:start w:val="1"/>
      <w:numFmt w:val="decimal"/>
      <w:pStyle w:val="Nadpis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5"/>
  </w:num>
  <w:num w:numId="4">
    <w:abstractNumId w:val="35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31"/>
  </w:num>
  <w:num w:numId="8">
    <w:abstractNumId w:val="30"/>
  </w:num>
  <w:num w:numId="9">
    <w:abstractNumId w:val="9"/>
  </w:num>
  <w:num w:numId="10">
    <w:abstractNumId w:val="19"/>
  </w:num>
  <w:num w:numId="11">
    <w:abstractNumId w:val="23"/>
  </w:num>
  <w:num w:numId="12">
    <w:abstractNumId w:val="17"/>
  </w:num>
  <w:num w:numId="13">
    <w:abstractNumId w:val="21"/>
  </w:num>
  <w:num w:numId="14">
    <w:abstractNumId w:val="15"/>
  </w:num>
  <w:num w:numId="15">
    <w:abstractNumId w:val="10"/>
  </w:num>
  <w:num w:numId="16">
    <w:abstractNumId w:val="33"/>
  </w:num>
  <w:num w:numId="17">
    <w:abstractNumId w:val="34"/>
  </w:num>
  <w:num w:numId="18">
    <w:abstractNumId w:val="7"/>
  </w:num>
  <w:num w:numId="19">
    <w:abstractNumId w:val="4"/>
  </w:num>
  <w:num w:numId="20">
    <w:abstractNumId w:val="12"/>
  </w:num>
  <w:num w:numId="21">
    <w:abstractNumId w:val="2"/>
  </w:num>
  <w:num w:numId="22">
    <w:abstractNumId w:val="16"/>
  </w:num>
  <w:num w:numId="23">
    <w:abstractNumId w:val="11"/>
  </w:num>
  <w:num w:numId="24">
    <w:abstractNumId w:val="14"/>
  </w:num>
  <w:num w:numId="25">
    <w:abstractNumId w:val="24"/>
  </w:num>
  <w:num w:numId="26">
    <w:abstractNumId w:val="32"/>
  </w:num>
  <w:num w:numId="27">
    <w:abstractNumId w:val="6"/>
  </w:num>
  <w:num w:numId="28">
    <w:abstractNumId w:val="13"/>
  </w:num>
  <w:num w:numId="29">
    <w:abstractNumId w:val="26"/>
  </w:num>
  <w:num w:numId="30">
    <w:abstractNumId w:val="1"/>
  </w:num>
  <w:num w:numId="31">
    <w:abstractNumId w:val="20"/>
  </w:num>
  <w:num w:numId="32">
    <w:abstractNumId w:val="25"/>
  </w:num>
  <w:num w:numId="33">
    <w:abstractNumId w:val="8"/>
  </w:num>
  <w:num w:numId="3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5">
    <w:abstractNumId w:val="27"/>
  </w:num>
  <w:num w:numId="36">
    <w:abstractNumId w:val="22"/>
  </w:num>
  <w:num w:numId="37">
    <w:abstractNumId w:val="18"/>
  </w:num>
  <w:num w:numId="3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na Spindlerova">
    <w15:presenceInfo w15:providerId="AD" w15:userId="S-1-5-21-1115827556-2044003451-623647154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08"/>
    <w:rsid w:val="0000258A"/>
    <w:rsid w:val="000E24D6"/>
    <w:rsid w:val="001304C5"/>
    <w:rsid w:val="00134855"/>
    <w:rsid w:val="00157966"/>
    <w:rsid w:val="00180EFC"/>
    <w:rsid w:val="00204B83"/>
    <w:rsid w:val="002620B0"/>
    <w:rsid w:val="002702B0"/>
    <w:rsid w:val="002C035E"/>
    <w:rsid w:val="002C4EDE"/>
    <w:rsid w:val="002F4659"/>
    <w:rsid w:val="003026F9"/>
    <w:rsid w:val="00343298"/>
    <w:rsid w:val="0036550A"/>
    <w:rsid w:val="003A6B01"/>
    <w:rsid w:val="003B0D0A"/>
    <w:rsid w:val="003D0AFB"/>
    <w:rsid w:val="003E37F2"/>
    <w:rsid w:val="00406B22"/>
    <w:rsid w:val="00415AFF"/>
    <w:rsid w:val="00472554"/>
    <w:rsid w:val="004B6F9E"/>
    <w:rsid w:val="004E68EA"/>
    <w:rsid w:val="004F1898"/>
    <w:rsid w:val="005C79D2"/>
    <w:rsid w:val="005D68E5"/>
    <w:rsid w:val="00631CEE"/>
    <w:rsid w:val="00636053"/>
    <w:rsid w:val="00654A16"/>
    <w:rsid w:val="00684000"/>
    <w:rsid w:val="006C5298"/>
    <w:rsid w:val="006D4295"/>
    <w:rsid w:val="00744839"/>
    <w:rsid w:val="00792A69"/>
    <w:rsid w:val="0079303D"/>
    <w:rsid w:val="00797C61"/>
    <w:rsid w:val="007A102F"/>
    <w:rsid w:val="009008A8"/>
    <w:rsid w:val="009109BA"/>
    <w:rsid w:val="009254A6"/>
    <w:rsid w:val="00954E30"/>
    <w:rsid w:val="009606EE"/>
    <w:rsid w:val="00A36BF1"/>
    <w:rsid w:val="00A61C40"/>
    <w:rsid w:val="00AC335D"/>
    <w:rsid w:val="00AE128E"/>
    <w:rsid w:val="00B1246B"/>
    <w:rsid w:val="00B67AF6"/>
    <w:rsid w:val="00BF4C19"/>
    <w:rsid w:val="00C55803"/>
    <w:rsid w:val="00C77614"/>
    <w:rsid w:val="00CC0508"/>
    <w:rsid w:val="00CE59F0"/>
    <w:rsid w:val="00D454BA"/>
    <w:rsid w:val="00D678D8"/>
    <w:rsid w:val="00D85826"/>
    <w:rsid w:val="00E123C6"/>
    <w:rsid w:val="00F253FB"/>
    <w:rsid w:val="00F274B3"/>
    <w:rsid w:val="00F97C3C"/>
    <w:rsid w:val="00FB5F44"/>
    <w:rsid w:val="00FE1D45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olor w:val="3366F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rPr>
      <w:color w:val="3366FF"/>
      <w:szCs w:val="24"/>
    </w:rPr>
  </w:style>
  <w:style w:type="paragraph" w:styleId="Zhlav">
    <w:name w:val="header"/>
    <w:basedOn w:val="Normln"/>
    <w:link w:val="ZhlavChar"/>
    <w:uiPriority w:val="99"/>
    <w:rsid w:val="002620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20B0"/>
    <w:rPr>
      <w:sz w:val="24"/>
    </w:rPr>
  </w:style>
  <w:style w:type="paragraph" w:styleId="Zpat">
    <w:name w:val="footer"/>
    <w:basedOn w:val="Normln"/>
    <w:link w:val="ZpatChar"/>
    <w:rsid w:val="002620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620B0"/>
    <w:rPr>
      <w:sz w:val="24"/>
    </w:rPr>
  </w:style>
  <w:style w:type="paragraph" w:styleId="Textbubliny">
    <w:name w:val="Balloon Text"/>
    <w:basedOn w:val="Normln"/>
    <w:link w:val="TextbublinyChar"/>
    <w:rsid w:val="004B6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B6F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2C4E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ED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olor w:val="3366F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rPr>
      <w:color w:val="3366FF"/>
      <w:szCs w:val="24"/>
    </w:rPr>
  </w:style>
  <w:style w:type="paragraph" w:styleId="Zhlav">
    <w:name w:val="header"/>
    <w:basedOn w:val="Normln"/>
    <w:link w:val="ZhlavChar"/>
    <w:uiPriority w:val="99"/>
    <w:rsid w:val="002620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20B0"/>
    <w:rPr>
      <w:sz w:val="24"/>
    </w:rPr>
  </w:style>
  <w:style w:type="paragraph" w:styleId="Zpat">
    <w:name w:val="footer"/>
    <w:basedOn w:val="Normln"/>
    <w:link w:val="ZpatChar"/>
    <w:rsid w:val="002620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620B0"/>
    <w:rPr>
      <w:sz w:val="24"/>
    </w:rPr>
  </w:style>
  <w:style w:type="paragraph" w:styleId="Textbubliny">
    <w:name w:val="Balloon Text"/>
    <w:basedOn w:val="Normln"/>
    <w:link w:val="TextbublinyChar"/>
    <w:rsid w:val="004B6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B6F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2C4EDE"/>
    <w:rPr>
      <w:sz w:val="16"/>
      <w:szCs w:val="16"/>
    </w:rPr>
  </w:style>
  <w:style w:type="paragraph" w:styleId="Textkomente">
    <w:name w:val="annotation text"/>
    <w:basedOn w:val="Normln"/>
    <w:link w:val="TextkomenteChar"/>
    <w:rsid w:val="002C4ED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949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 ÚDAJŮ  O PŘÍPRAVKU</vt:lpstr>
    </vt:vector>
  </TitlesOfParts>
  <Company>BIOPHARM, a.s.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 ÚDAJŮ  O PŘÍPRAVKU</dc:title>
  <dc:creator>Ivana Pištěková</dc:creator>
  <cp:lastModifiedBy>Šťastná Hana</cp:lastModifiedBy>
  <cp:revision>23</cp:revision>
  <cp:lastPrinted>2017-08-03T08:00:00Z</cp:lastPrinted>
  <dcterms:created xsi:type="dcterms:W3CDTF">2016-11-16T11:02:00Z</dcterms:created>
  <dcterms:modified xsi:type="dcterms:W3CDTF">2017-08-03T08:00:00Z</dcterms:modified>
</cp:coreProperties>
</file>