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4B0D2F" w:rsidRDefault="004B0D2F" w:rsidP="003B4E3A">
      <w:pPr>
        <w:widowControl w:val="0"/>
        <w:jc w:val="center"/>
        <w:rPr>
          <w:b/>
          <w:sz w:val="22"/>
          <w:szCs w:val="22"/>
        </w:rPr>
      </w:pPr>
    </w:p>
    <w:p w:rsidR="003B4E3A" w:rsidRPr="00A10DC9" w:rsidRDefault="003B4E3A" w:rsidP="003B4E3A">
      <w:pPr>
        <w:widowControl w:val="0"/>
        <w:jc w:val="center"/>
        <w:rPr>
          <w:b/>
          <w:sz w:val="22"/>
          <w:szCs w:val="22"/>
        </w:rPr>
      </w:pPr>
      <w:r w:rsidRPr="00A10DC9">
        <w:rPr>
          <w:b/>
          <w:sz w:val="22"/>
          <w:szCs w:val="22"/>
        </w:rPr>
        <w:t>B. PŘÍBALOV</w:t>
      </w:r>
      <w:r w:rsidR="003B79E2" w:rsidRPr="00A10DC9">
        <w:rPr>
          <w:b/>
          <w:sz w:val="22"/>
          <w:szCs w:val="22"/>
        </w:rPr>
        <w:t>Á</w:t>
      </w:r>
      <w:r w:rsidRPr="008B6BC2">
        <w:rPr>
          <w:b/>
          <w:sz w:val="22"/>
          <w:szCs w:val="22"/>
        </w:rPr>
        <w:t xml:space="preserve"> </w:t>
      </w:r>
      <w:r w:rsidR="003B79E2" w:rsidRPr="008B6BC2">
        <w:rPr>
          <w:b/>
          <w:sz w:val="22"/>
          <w:szCs w:val="22"/>
        </w:rPr>
        <w:t>INFORMACE</w:t>
      </w: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4E3A" w:rsidP="00582BD4">
      <w:pPr>
        <w:rPr>
          <w:bCs/>
          <w:sz w:val="22"/>
          <w:szCs w:val="22"/>
        </w:rPr>
      </w:pPr>
    </w:p>
    <w:p w:rsidR="003B4E3A" w:rsidRPr="00A10DC9" w:rsidRDefault="003B79E2" w:rsidP="003B4E3A">
      <w:pPr>
        <w:jc w:val="center"/>
        <w:rPr>
          <w:b/>
          <w:bCs/>
          <w:sz w:val="22"/>
          <w:szCs w:val="22"/>
        </w:rPr>
      </w:pPr>
      <w:r w:rsidRPr="008B6BC2">
        <w:rPr>
          <w:b/>
          <w:sz w:val="22"/>
          <w:szCs w:val="22"/>
        </w:rPr>
        <w:lastRenderedPageBreak/>
        <w:t>PŘÍBALOVÁ INFORMACE</w:t>
      </w:r>
      <w:r w:rsidRPr="008B6BC2" w:rsidDel="003B79E2">
        <w:rPr>
          <w:b/>
          <w:sz w:val="22"/>
          <w:szCs w:val="22"/>
        </w:rPr>
        <w:t xml:space="preserve"> </w:t>
      </w:r>
      <w:proofErr w:type="spellStart"/>
      <w:r w:rsidR="00AB6AA2" w:rsidRPr="008B6BC2">
        <w:rPr>
          <w:b/>
          <w:sz w:val="22"/>
          <w:szCs w:val="22"/>
        </w:rPr>
        <w:t>Clindaseptin</w:t>
      </w:r>
      <w:proofErr w:type="spellEnd"/>
      <w:r w:rsidR="00AB6AA2" w:rsidRPr="008B6BC2">
        <w:rPr>
          <w:b/>
          <w:sz w:val="22"/>
          <w:szCs w:val="22"/>
        </w:rPr>
        <w:t xml:space="preserve"> </w:t>
      </w:r>
      <w:r w:rsidR="003B4E3A" w:rsidRPr="00D751DA">
        <w:rPr>
          <w:b/>
          <w:sz w:val="22"/>
          <w:szCs w:val="22"/>
        </w:rPr>
        <w:t xml:space="preserve">25 mg/ml </w:t>
      </w:r>
      <w:r w:rsidR="00AB6AA2" w:rsidRPr="00D751DA">
        <w:rPr>
          <w:b/>
          <w:sz w:val="22"/>
          <w:szCs w:val="22"/>
        </w:rPr>
        <w:t xml:space="preserve">perorální </w:t>
      </w:r>
      <w:r w:rsidR="003B4E3A" w:rsidRPr="00D751DA">
        <w:rPr>
          <w:b/>
          <w:sz w:val="22"/>
          <w:szCs w:val="22"/>
        </w:rPr>
        <w:t>roztok pro kočky a psy</w:t>
      </w:r>
    </w:p>
    <w:p w:rsidR="003B4E3A" w:rsidRPr="00A10DC9" w:rsidRDefault="003B4E3A" w:rsidP="003B4E3A">
      <w:pPr>
        <w:ind w:hanging="567"/>
        <w:rPr>
          <w:sz w:val="22"/>
          <w:szCs w:val="22"/>
        </w:rPr>
      </w:pPr>
    </w:p>
    <w:p w:rsidR="003B4E3A" w:rsidRPr="00A10DC9" w:rsidRDefault="003B4E3A" w:rsidP="003B4E3A">
      <w:pPr>
        <w:ind w:hanging="567"/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ind w:left="567" w:hanging="567"/>
        <w:rPr>
          <w:b/>
          <w:bCs/>
          <w:sz w:val="22"/>
          <w:szCs w:val="22"/>
        </w:rPr>
      </w:pPr>
      <w:r w:rsidRPr="008B6BC2">
        <w:rPr>
          <w:b/>
          <w:sz w:val="22"/>
          <w:szCs w:val="22"/>
        </w:rPr>
        <w:t>1.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 xml:space="preserve">NÁZEV A ADRESA DRŽITELE ROZHODNUTÍ O REGISTRACI A DRŽITELE POVOLENÍ K VÝROBĚ ODPOVĚDNÉHO ZA PROPOUŠTĚNÍ ŠARŽÍ, POKUD SE </w:t>
      </w:r>
      <w:r w:rsidR="003B79E2" w:rsidRPr="00D751DA">
        <w:rPr>
          <w:b/>
          <w:sz w:val="22"/>
          <w:szCs w:val="22"/>
        </w:rPr>
        <w:t>NESHODUJE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</w:rPr>
      </w:pPr>
      <w:proofErr w:type="spellStart"/>
      <w:r w:rsidRPr="008B6BC2">
        <w:rPr>
          <w:sz w:val="22"/>
          <w:szCs w:val="22"/>
        </w:rPr>
        <w:t>Chanelle</w:t>
      </w:r>
      <w:proofErr w:type="spellEnd"/>
      <w:r w:rsidRPr="008B6BC2">
        <w:rPr>
          <w:sz w:val="22"/>
          <w:szCs w:val="22"/>
        </w:rPr>
        <w:t xml:space="preserve"> </w:t>
      </w:r>
      <w:proofErr w:type="spellStart"/>
      <w:r w:rsidRPr="008B6BC2">
        <w:rPr>
          <w:sz w:val="22"/>
          <w:szCs w:val="22"/>
        </w:rPr>
        <w:t>Pharmaceuticals</w:t>
      </w:r>
      <w:proofErr w:type="spellEnd"/>
      <w:r w:rsidRPr="008B6BC2">
        <w:rPr>
          <w:sz w:val="22"/>
          <w:szCs w:val="22"/>
        </w:rPr>
        <w:t xml:space="preserve"> </w:t>
      </w:r>
      <w:proofErr w:type="spellStart"/>
      <w:r w:rsidRPr="008B6BC2">
        <w:rPr>
          <w:sz w:val="22"/>
          <w:szCs w:val="22"/>
        </w:rPr>
        <w:t>Manufacturing</w:t>
      </w:r>
      <w:proofErr w:type="spellEnd"/>
      <w:r w:rsidRPr="008B6BC2">
        <w:rPr>
          <w:sz w:val="22"/>
          <w:szCs w:val="22"/>
        </w:rPr>
        <w:t xml:space="preserve"> Ltd., </w:t>
      </w:r>
      <w:proofErr w:type="spellStart"/>
      <w:r w:rsidRPr="008B6BC2">
        <w:rPr>
          <w:sz w:val="22"/>
          <w:szCs w:val="22"/>
        </w:rPr>
        <w:t>Loughrea</w:t>
      </w:r>
      <w:proofErr w:type="spellEnd"/>
      <w:r w:rsidRPr="008B6BC2">
        <w:rPr>
          <w:sz w:val="22"/>
          <w:szCs w:val="22"/>
        </w:rPr>
        <w:t xml:space="preserve">, Co. </w:t>
      </w:r>
      <w:proofErr w:type="spellStart"/>
      <w:r w:rsidRPr="008B6BC2">
        <w:rPr>
          <w:sz w:val="22"/>
          <w:szCs w:val="22"/>
        </w:rPr>
        <w:t>Galway</w:t>
      </w:r>
      <w:proofErr w:type="spellEnd"/>
      <w:r w:rsidRPr="008B6BC2">
        <w:rPr>
          <w:sz w:val="22"/>
          <w:szCs w:val="22"/>
        </w:rPr>
        <w:t>, Irsko.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ind w:left="567" w:hanging="567"/>
        <w:rPr>
          <w:sz w:val="22"/>
          <w:szCs w:val="22"/>
        </w:rPr>
      </w:pPr>
      <w:r w:rsidRPr="008B6BC2">
        <w:rPr>
          <w:b/>
          <w:sz w:val="22"/>
          <w:szCs w:val="22"/>
        </w:rPr>
        <w:t>2.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NÁZEV VETERINÁRNÍHO PŘÍPR</w:t>
      </w:r>
      <w:r w:rsidRPr="00D751DA">
        <w:rPr>
          <w:b/>
          <w:sz w:val="22"/>
          <w:szCs w:val="22"/>
        </w:rPr>
        <w:t>AVKU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rPr>
          <w:sz w:val="22"/>
          <w:szCs w:val="22"/>
        </w:rPr>
      </w:pPr>
      <w:proofErr w:type="spellStart"/>
      <w:r w:rsidRPr="008B6BC2">
        <w:rPr>
          <w:sz w:val="22"/>
          <w:szCs w:val="22"/>
        </w:rPr>
        <w:t>Clindaseptin</w:t>
      </w:r>
      <w:proofErr w:type="spellEnd"/>
      <w:r w:rsidRPr="008B6BC2">
        <w:rPr>
          <w:sz w:val="22"/>
          <w:szCs w:val="22"/>
        </w:rPr>
        <w:t xml:space="preserve"> 25 mg/ml</w:t>
      </w:r>
      <w:r w:rsidRPr="00D751DA">
        <w:rPr>
          <w:sz w:val="22"/>
          <w:szCs w:val="22"/>
        </w:rPr>
        <w:t xml:space="preserve"> perorální roztok pro kočky a psy.</w:t>
      </w:r>
    </w:p>
    <w:p w:rsidR="003B4E3A" w:rsidRPr="00A10DC9" w:rsidRDefault="00AB6AA2" w:rsidP="003B4E3A">
      <w:pPr>
        <w:rPr>
          <w:sz w:val="22"/>
          <w:szCs w:val="22"/>
        </w:rPr>
      </w:pPr>
      <w:proofErr w:type="spellStart"/>
      <w:r w:rsidRPr="00D751DA">
        <w:rPr>
          <w:sz w:val="22"/>
          <w:szCs w:val="22"/>
        </w:rPr>
        <w:t>Clindamycinum</w:t>
      </w:r>
      <w:proofErr w:type="spellEnd"/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ind w:hanging="567"/>
        <w:rPr>
          <w:b/>
          <w:bCs/>
          <w:sz w:val="22"/>
          <w:szCs w:val="22"/>
        </w:rPr>
      </w:pP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3.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OBSAH ÚČINNÝCH A OSTATNÍCH LÁTEK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 w:rsidRPr="008B6BC2">
        <w:rPr>
          <w:sz w:val="22"/>
          <w:szCs w:val="22"/>
        </w:rPr>
        <w:t>Jeden ml obsahuje: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b/>
          <w:bCs/>
          <w:sz w:val="22"/>
          <w:szCs w:val="22"/>
        </w:rPr>
      </w:pPr>
      <w:r w:rsidRPr="008B6BC2">
        <w:rPr>
          <w:b/>
          <w:sz w:val="22"/>
          <w:szCs w:val="22"/>
        </w:rPr>
        <w:t>Účinná látka:</w:t>
      </w:r>
    </w:p>
    <w:p w:rsidR="003B4E3A" w:rsidRPr="00A10DC9" w:rsidRDefault="00AB6AA2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  <w:rtl/>
        </w:rPr>
      </w:pPr>
      <w:proofErr w:type="spellStart"/>
      <w:r w:rsidRPr="00D751DA">
        <w:rPr>
          <w:sz w:val="22"/>
          <w:szCs w:val="22"/>
        </w:rPr>
        <w:t>Clindamycinum</w:t>
      </w:r>
      <w:proofErr w:type="spellEnd"/>
      <w:r w:rsidR="003B4E3A" w:rsidRPr="00FE6F26">
        <w:rPr>
          <w:sz w:val="22"/>
          <w:szCs w:val="22"/>
        </w:rPr>
        <w:tab/>
      </w:r>
      <w:r w:rsidR="003B4E3A" w:rsidRPr="00FE6F26">
        <w:rPr>
          <w:sz w:val="22"/>
          <w:szCs w:val="22"/>
        </w:rPr>
        <w:tab/>
        <w:t>25 mg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  <w:rtl/>
        </w:rPr>
      </w:pPr>
      <w:r w:rsidRPr="008B6BC2">
        <w:rPr>
          <w:sz w:val="22"/>
          <w:szCs w:val="22"/>
        </w:rPr>
        <w:t>(</w:t>
      </w:r>
      <w:proofErr w:type="spellStart"/>
      <w:r w:rsidR="00AB6AA2" w:rsidRPr="00D751DA">
        <w:rPr>
          <w:sz w:val="22"/>
          <w:szCs w:val="22"/>
        </w:rPr>
        <w:t>ut</w:t>
      </w:r>
      <w:proofErr w:type="spellEnd"/>
      <w:r w:rsidRPr="00D751DA">
        <w:rPr>
          <w:sz w:val="22"/>
          <w:szCs w:val="22"/>
        </w:rPr>
        <w:t xml:space="preserve"> </w:t>
      </w:r>
      <w:proofErr w:type="spellStart"/>
      <w:r w:rsidR="00AB6AA2" w:rsidRPr="00D751DA">
        <w:rPr>
          <w:sz w:val="22"/>
          <w:szCs w:val="22"/>
        </w:rPr>
        <w:t>clindamycini</w:t>
      </w:r>
      <w:proofErr w:type="spellEnd"/>
      <w:r w:rsidR="00AB6AA2" w:rsidRPr="00D751DA">
        <w:rPr>
          <w:sz w:val="22"/>
          <w:szCs w:val="22"/>
        </w:rPr>
        <w:t xml:space="preserve"> </w:t>
      </w:r>
      <w:proofErr w:type="spellStart"/>
      <w:r w:rsidRPr="00D751DA">
        <w:rPr>
          <w:sz w:val="22"/>
          <w:szCs w:val="22"/>
        </w:rPr>
        <w:t>hydrochloridu</w:t>
      </w:r>
      <w:r w:rsidR="00AB6AA2" w:rsidRPr="00D751DA">
        <w:rPr>
          <w:sz w:val="22"/>
          <w:szCs w:val="22"/>
        </w:rPr>
        <w:t>m</w:t>
      </w:r>
      <w:proofErr w:type="spellEnd"/>
      <w:r w:rsidRPr="00D751DA">
        <w:rPr>
          <w:sz w:val="22"/>
          <w:szCs w:val="22"/>
        </w:rPr>
        <w:t xml:space="preserve"> 27,15 mg)   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  <w:rtl/>
        </w:rPr>
      </w:pPr>
      <w:r w:rsidRPr="008B6BC2">
        <w:rPr>
          <w:b/>
          <w:sz w:val="22"/>
          <w:szCs w:val="22"/>
        </w:rPr>
        <w:t>Pomocné látky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 w:rsidRPr="008B6BC2">
        <w:rPr>
          <w:sz w:val="22"/>
          <w:szCs w:val="22"/>
        </w:rPr>
        <w:t>Ethanol</w:t>
      </w:r>
      <w:r w:rsidRPr="00FE6F26">
        <w:rPr>
          <w:sz w:val="22"/>
          <w:szCs w:val="22"/>
        </w:rPr>
        <w:tab/>
        <w:t>96 %</w:t>
      </w:r>
      <w:r w:rsidR="00AB6AA2" w:rsidRPr="008B6BC2">
        <w:rPr>
          <w:sz w:val="22"/>
          <w:szCs w:val="22"/>
        </w:rPr>
        <w:t xml:space="preserve"> E1510</w:t>
      </w:r>
      <w:r w:rsidRPr="00FE6F26">
        <w:rPr>
          <w:sz w:val="22"/>
          <w:szCs w:val="22"/>
        </w:rPr>
        <w:tab/>
      </w:r>
      <w:r w:rsidRPr="00FE6F26">
        <w:rPr>
          <w:sz w:val="22"/>
          <w:szCs w:val="22"/>
        </w:rPr>
        <w:tab/>
        <w:t>90,56 mg</w:t>
      </w:r>
    </w:p>
    <w:p w:rsidR="003B4E3A" w:rsidRPr="00A10DC9" w:rsidRDefault="003B4E3A" w:rsidP="003B4E3A">
      <w:pPr>
        <w:tabs>
          <w:tab w:val="left" w:pos="567"/>
          <w:tab w:val="left" w:pos="1701"/>
        </w:tabs>
        <w:spacing w:line="260" w:lineRule="exact"/>
        <w:jc w:val="both"/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 w:rsidRPr="008B6BC2">
        <w:rPr>
          <w:sz w:val="22"/>
          <w:szCs w:val="22"/>
        </w:rPr>
        <w:t>Čirý, bezbarvý roztok.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rPr>
          <w:b/>
          <w:bCs/>
          <w:sz w:val="22"/>
          <w:szCs w:val="22"/>
        </w:rPr>
      </w:pPr>
      <w:r w:rsidRPr="008B6BC2">
        <w:rPr>
          <w:b/>
          <w:sz w:val="22"/>
          <w:szCs w:val="22"/>
        </w:rPr>
        <w:t>4.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INDIKACE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>Kočky: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 xml:space="preserve">Léčba infikovaných poranění a abscesů vyvolaných druhy z rodů </w:t>
      </w:r>
      <w:r w:rsidRPr="00D751DA">
        <w:rPr>
          <w:i/>
          <w:sz w:val="22"/>
          <w:szCs w:val="22"/>
        </w:rPr>
        <w:t>Staphylococcus</w:t>
      </w:r>
      <w:r w:rsidRPr="00D751DA">
        <w:rPr>
          <w:sz w:val="22"/>
          <w:szCs w:val="22"/>
        </w:rPr>
        <w:t xml:space="preserve"> a </w:t>
      </w:r>
      <w:r w:rsidRPr="00D751DA">
        <w:rPr>
          <w:i/>
          <w:sz w:val="22"/>
          <w:szCs w:val="22"/>
        </w:rPr>
        <w:t>Streptococcus</w:t>
      </w:r>
      <w:r w:rsidRPr="00D751DA">
        <w:rPr>
          <w:sz w:val="22"/>
          <w:szCs w:val="22"/>
        </w:rPr>
        <w:t xml:space="preserve"> citlivými na klindamycin.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>Psi:</w:t>
      </w:r>
    </w:p>
    <w:p w:rsidR="003B4E3A" w:rsidRPr="00A10DC9" w:rsidRDefault="003B4E3A" w:rsidP="00883377">
      <w:pPr>
        <w:numPr>
          <w:ilvl w:val="0"/>
          <w:numId w:val="8"/>
        </w:numPr>
        <w:tabs>
          <w:tab w:val="left" w:pos="567"/>
        </w:tabs>
        <w:spacing w:after="200" w:line="260" w:lineRule="exact"/>
        <w:rPr>
          <w:i/>
          <w:iCs/>
          <w:sz w:val="22"/>
          <w:szCs w:val="22"/>
        </w:rPr>
      </w:pPr>
      <w:r w:rsidRPr="008B6BC2">
        <w:rPr>
          <w:sz w:val="22"/>
          <w:szCs w:val="22"/>
        </w:rPr>
        <w:t xml:space="preserve">Léčba infikovaných poranění, </w:t>
      </w:r>
      <w:r w:rsidRPr="00D751DA">
        <w:rPr>
          <w:sz w:val="22"/>
          <w:szCs w:val="22"/>
        </w:rPr>
        <w:t>abscesů a infekcí dutiny</w:t>
      </w:r>
      <w:r w:rsidR="00D751DA">
        <w:rPr>
          <w:sz w:val="22"/>
          <w:szCs w:val="22"/>
        </w:rPr>
        <w:t xml:space="preserve"> ústní</w:t>
      </w:r>
      <w:r w:rsidRPr="00D751DA">
        <w:rPr>
          <w:sz w:val="22"/>
          <w:szCs w:val="22"/>
        </w:rPr>
        <w:t xml:space="preserve">/dentálních infekcí způsobených nebo souvisejících s rody </w:t>
      </w:r>
      <w:proofErr w:type="spellStart"/>
      <w:r w:rsidRPr="00D751DA">
        <w:rPr>
          <w:i/>
          <w:sz w:val="22"/>
          <w:szCs w:val="22"/>
        </w:rPr>
        <w:t>Sta</w:t>
      </w:r>
      <w:r w:rsidR="00D751DA">
        <w:rPr>
          <w:i/>
          <w:sz w:val="22"/>
          <w:szCs w:val="22"/>
        </w:rPr>
        <w:t>ph</w:t>
      </w:r>
      <w:r w:rsidRPr="00D751DA">
        <w:rPr>
          <w:i/>
          <w:sz w:val="22"/>
          <w:szCs w:val="22"/>
        </w:rPr>
        <w:t>ylococcus</w:t>
      </w:r>
      <w:proofErr w:type="spellEnd"/>
      <w:r w:rsidR="00D751DA">
        <w:rPr>
          <w:i/>
          <w:sz w:val="22"/>
          <w:szCs w:val="22"/>
        </w:rPr>
        <w:t xml:space="preserve"> </w:t>
      </w:r>
      <w:proofErr w:type="spellStart"/>
      <w:r w:rsidR="00D751DA">
        <w:rPr>
          <w:sz w:val="22"/>
          <w:szCs w:val="22"/>
        </w:rPr>
        <w:t>spp</w:t>
      </w:r>
      <w:proofErr w:type="spellEnd"/>
      <w:r w:rsidR="00D751DA">
        <w:rPr>
          <w:sz w:val="22"/>
          <w:szCs w:val="22"/>
        </w:rPr>
        <w:t>.</w:t>
      </w:r>
      <w:r w:rsidRPr="00D751DA">
        <w:rPr>
          <w:sz w:val="22"/>
          <w:szCs w:val="22"/>
        </w:rPr>
        <w:t xml:space="preserve">, </w:t>
      </w:r>
      <w:proofErr w:type="spellStart"/>
      <w:r w:rsidRPr="00D751DA">
        <w:rPr>
          <w:i/>
          <w:sz w:val="22"/>
          <w:szCs w:val="22"/>
        </w:rPr>
        <w:t>Streptococcus</w:t>
      </w:r>
      <w:proofErr w:type="spellEnd"/>
      <w:r w:rsidR="00D751DA">
        <w:rPr>
          <w:i/>
          <w:sz w:val="22"/>
          <w:szCs w:val="22"/>
        </w:rPr>
        <w:t xml:space="preserve"> </w:t>
      </w:r>
      <w:r w:rsidR="00D751DA">
        <w:rPr>
          <w:sz w:val="22"/>
          <w:szCs w:val="22"/>
        </w:rPr>
        <w:t xml:space="preserve"> </w:t>
      </w:r>
      <w:proofErr w:type="spellStart"/>
      <w:r w:rsidR="00D751DA">
        <w:rPr>
          <w:sz w:val="22"/>
          <w:szCs w:val="22"/>
        </w:rPr>
        <w:t>spp</w:t>
      </w:r>
      <w:proofErr w:type="spellEnd"/>
      <w:r w:rsidR="00D751DA">
        <w:rPr>
          <w:sz w:val="22"/>
          <w:szCs w:val="22"/>
        </w:rPr>
        <w:t>.</w:t>
      </w:r>
      <w:r w:rsidRPr="00D751DA">
        <w:rPr>
          <w:sz w:val="22"/>
          <w:szCs w:val="22"/>
        </w:rPr>
        <w:t xml:space="preserve">, </w:t>
      </w:r>
      <w:proofErr w:type="spellStart"/>
      <w:r w:rsidRPr="00D751DA">
        <w:rPr>
          <w:i/>
          <w:sz w:val="22"/>
          <w:szCs w:val="22"/>
        </w:rPr>
        <w:t>Bacteroides</w:t>
      </w:r>
      <w:proofErr w:type="spellEnd"/>
      <w:r w:rsidR="00D751DA">
        <w:rPr>
          <w:i/>
          <w:sz w:val="22"/>
          <w:szCs w:val="22"/>
        </w:rPr>
        <w:t xml:space="preserve"> </w:t>
      </w:r>
      <w:proofErr w:type="spellStart"/>
      <w:proofErr w:type="gramStart"/>
      <w:r w:rsidR="00D751DA">
        <w:rPr>
          <w:sz w:val="22"/>
          <w:szCs w:val="22"/>
        </w:rPr>
        <w:t>spp</w:t>
      </w:r>
      <w:proofErr w:type="spellEnd"/>
      <w:r w:rsidR="00D751DA">
        <w:rPr>
          <w:sz w:val="22"/>
          <w:szCs w:val="22"/>
        </w:rPr>
        <w:t>.</w:t>
      </w:r>
      <w:r w:rsidRPr="00D751DA">
        <w:rPr>
          <w:sz w:val="22"/>
          <w:szCs w:val="22"/>
        </w:rPr>
        <w:t xml:space="preserve">, </w:t>
      </w:r>
      <w:r w:rsidR="00D751DA">
        <w:rPr>
          <w:sz w:val="22"/>
          <w:szCs w:val="22"/>
        </w:rPr>
        <w:t xml:space="preserve"> druhy</w:t>
      </w:r>
      <w:proofErr w:type="gramEnd"/>
      <w:r w:rsidR="00D751DA">
        <w:rPr>
          <w:sz w:val="22"/>
          <w:szCs w:val="22"/>
        </w:rPr>
        <w:t xml:space="preserve"> </w:t>
      </w:r>
      <w:r w:rsidRPr="00D751DA">
        <w:rPr>
          <w:i/>
          <w:sz w:val="22"/>
          <w:szCs w:val="22"/>
        </w:rPr>
        <w:t>Clostridium</w:t>
      </w:r>
      <w:r w:rsidRPr="00D751DA">
        <w:rPr>
          <w:sz w:val="22"/>
          <w:szCs w:val="22"/>
        </w:rPr>
        <w:t xml:space="preserve"> </w:t>
      </w:r>
      <w:proofErr w:type="spellStart"/>
      <w:r w:rsidRPr="00FE6F26">
        <w:rPr>
          <w:i/>
          <w:sz w:val="22"/>
          <w:szCs w:val="22"/>
        </w:rPr>
        <w:t>perfringens</w:t>
      </w:r>
      <w:proofErr w:type="spellEnd"/>
      <w:r w:rsidRPr="00D751DA">
        <w:rPr>
          <w:sz w:val="22"/>
          <w:szCs w:val="22"/>
        </w:rPr>
        <w:t xml:space="preserve"> a </w:t>
      </w:r>
      <w:proofErr w:type="spellStart"/>
      <w:r w:rsidRPr="00D751DA">
        <w:rPr>
          <w:i/>
          <w:sz w:val="22"/>
          <w:szCs w:val="22"/>
        </w:rPr>
        <w:t>Fusobacterium</w:t>
      </w:r>
      <w:proofErr w:type="spellEnd"/>
      <w:r w:rsidRPr="00D751DA">
        <w:rPr>
          <w:sz w:val="22"/>
          <w:szCs w:val="22"/>
        </w:rPr>
        <w:t xml:space="preserve"> </w:t>
      </w:r>
      <w:proofErr w:type="spellStart"/>
      <w:r w:rsidRPr="00FE6F26">
        <w:rPr>
          <w:i/>
          <w:sz w:val="22"/>
          <w:szCs w:val="22"/>
        </w:rPr>
        <w:t>necrophorum</w:t>
      </w:r>
      <w:proofErr w:type="spellEnd"/>
      <w:r w:rsidRPr="00D751DA">
        <w:rPr>
          <w:sz w:val="22"/>
          <w:szCs w:val="22"/>
        </w:rPr>
        <w:t>, citlivými na klindamycin.</w:t>
      </w:r>
    </w:p>
    <w:p w:rsidR="003B4E3A" w:rsidRPr="00A10DC9" w:rsidRDefault="003B4E3A" w:rsidP="003B4E3A">
      <w:pPr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8B6BC2">
        <w:rPr>
          <w:sz w:val="22"/>
          <w:szCs w:val="22"/>
        </w:rPr>
        <w:t>Podpůrná léčba mechanické</w:t>
      </w:r>
      <w:r w:rsidRPr="00D751DA">
        <w:rPr>
          <w:sz w:val="22"/>
          <w:szCs w:val="22"/>
        </w:rPr>
        <w:t xml:space="preserve"> nebo chirurg</w:t>
      </w:r>
      <w:r w:rsidR="00D751DA">
        <w:rPr>
          <w:sz w:val="22"/>
          <w:szCs w:val="22"/>
        </w:rPr>
        <w:t>ic</w:t>
      </w:r>
      <w:r w:rsidRPr="00D751DA">
        <w:rPr>
          <w:sz w:val="22"/>
          <w:szCs w:val="22"/>
        </w:rPr>
        <w:t>ké periodontální terapie při léčbě infekcí tkání</w:t>
      </w:r>
      <w:r w:rsidR="00D751DA">
        <w:rPr>
          <w:sz w:val="22"/>
          <w:szCs w:val="22"/>
        </w:rPr>
        <w:t xml:space="preserve"> dásní a </w:t>
      </w:r>
      <w:proofErr w:type="spellStart"/>
      <w:r w:rsidR="00D751DA">
        <w:rPr>
          <w:sz w:val="22"/>
          <w:szCs w:val="22"/>
        </w:rPr>
        <w:t>periodontu</w:t>
      </w:r>
      <w:proofErr w:type="spellEnd"/>
      <w:r w:rsidRPr="00D751DA">
        <w:rPr>
          <w:sz w:val="22"/>
          <w:szCs w:val="22"/>
        </w:rPr>
        <w:t>.</w:t>
      </w:r>
    </w:p>
    <w:p w:rsidR="003B4E3A" w:rsidRPr="00A10DC9" w:rsidRDefault="003B4E3A" w:rsidP="003B4E3A">
      <w:pPr>
        <w:numPr>
          <w:ilvl w:val="0"/>
          <w:numId w:val="8"/>
        </w:numPr>
        <w:tabs>
          <w:tab w:val="left" w:pos="567"/>
        </w:tabs>
        <w:spacing w:after="200"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 xml:space="preserve">Léčba osteomyelitidy způsobené </w:t>
      </w:r>
      <w:proofErr w:type="spellStart"/>
      <w:r w:rsidRPr="00D751DA">
        <w:rPr>
          <w:i/>
          <w:sz w:val="22"/>
          <w:szCs w:val="22"/>
        </w:rPr>
        <w:t>Staphylococcus</w:t>
      </w:r>
      <w:proofErr w:type="spellEnd"/>
      <w:r w:rsidRPr="00D751DA">
        <w:rPr>
          <w:i/>
          <w:sz w:val="22"/>
          <w:szCs w:val="22"/>
        </w:rPr>
        <w:t xml:space="preserve"> aureus</w:t>
      </w:r>
      <w:r w:rsidR="00A10DC9" w:rsidRPr="00D751DA">
        <w:rPr>
          <w:i/>
          <w:sz w:val="22"/>
          <w:szCs w:val="22"/>
        </w:rPr>
        <w:t>.</w:t>
      </w:r>
    </w:p>
    <w:p w:rsidR="003B4E3A" w:rsidRPr="00A10DC9" w:rsidRDefault="003B4E3A" w:rsidP="003B4E3A">
      <w:pPr>
        <w:rPr>
          <w:sz w:val="22"/>
          <w:szCs w:val="22"/>
        </w:rPr>
      </w:pPr>
    </w:p>
    <w:p w:rsidR="00FE6F26" w:rsidRDefault="00FE6F26" w:rsidP="003B4E3A">
      <w:pPr>
        <w:rPr>
          <w:b/>
          <w:sz w:val="22"/>
          <w:szCs w:val="22"/>
        </w:rPr>
      </w:pPr>
    </w:p>
    <w:p w:rsidR="003B4E3A" w:rsidRPr="00A10DC9" w:rsidRDefault="003B4E3A" w:rsidP="003B4E3A">
      <w:pPr>
        <w:rPr>
          <w:b/>
          <w:bCs/>
          <w:sz w:val="22"/>
          <w:szCs w:val="22"/>
        </w:rPr>
      </w:pPr>
      <w:r w:rsidRPr="008B6BC2">
        <w:rPr>
          <w:b/>
          <w:sz w:val="22"/>
          <w:szCs w:val="22"/>
        </w:rPr>
        <w:t>5.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KONTRAINDIKACE</w:t>
      </w:r>
    </w:p>
    <w:p w:rsidR="003B4E3A" w:rsidRPr="00A10DC9" w:rsidRDefault="003B4E3A" w:rsidP="003B4E3A">
      <w:pPr>
        <w:tabs>
          <w:tab w:val="left" w:pos="0"/>
          <w:tab w:val="left" w:pos="720"/>
        </w:tabs>
        <w:rPr>
          <w:sz w:val="22"/>
          <w:szCs w:val="22"/>
        </w:rPr>
      </w:pPr>
    </w:p>
    <w:p w:rsidR="003B4E3A" w:rsidRPr="00A10DC9" w:rsidRDefault="003B4E3A" w:rsidP="00FE6F26">
      <w:pPr>
        <w:keepNext/>
        <w:tabs>
          <w:tab w:val="left" w:pos="0"/>
          <w:tab w:val="left" w:pos="720"/>
        </w:tabs>
        <w:jc w:val="both"/>
        <w:rPr>
          <w:sz w:val="22"/>
          <w:szCs w:val="22"/>
        </w:rPr>
      </w:pPr>
      <w:r w:rsidRPr="008B6BC2">
        <w:rPr>
          <w:sz w:val="22"/>
          <w:szCs w:val="22"/>
        </w:rPr>
        <w:t xml:space="preserve">Nepoužívejte u králíků, křečků, morčat, činčil, koní ani přežvýkavců, protože </w:t>
      </w:r>
    </w:p>
    <w:p w:rsidR="003B4E3A" w:rsidRPr="00A10DC9" w:rsidRDefault="003B4E3A" w:rsidP="00FE6F26">
      <w:pPr>
        <w:keepNext/>
        <w:tabs>
          <w:tab w:val="left" w:pos="0"/>
          <w:tab w:val="left" w:pos="720"/>
        </w:tabs>
        <w:jc w:val="both"/>
        <w:rPr>
          <w:sz w:val="22"/>
          <w:szCs w:val="22"/>
          <w:rtl/>
        </w:rPr>
      </w:pPr>
      <w:r w:rsidRPr="008B6BC2">
        <w:rPr>
          <w:sz w:val="22"/>
          <w:szCs w:val="22"/>
        </w:rPr>
        <w:t xml:space="preserve">požití </w:t>
      </w:r>
      <w:proofErr w:type="spellStart"/>
      <w:r w:rsidRPr="008B6BC2">
        <w:rPr>
          <w:sz w:val="22"/>
          <w:szCs w:val="22"/>
        </w:rPr>
        <w:t>klindamycinu</w:t>
      </w:r>
      <w:proofErr w:type="spellEnd"/>
      <w:r w:rsidRPr="008B6BC2">
        <w:rPr>
          <w:sz w:val="22"/>
          <w:szCs w:val="22"/>
        </w:rPr>
        <w:t xml:space="preserve"> těmito druhy může vést k závažným gastrointestinálním poruchám, které mohou být někdy smrtelné.</w:t>
      </w:r>
    </w:p>
    <w:p w:rsidR="003B4E3A" w:rsidRPr="00A10DC9" w:rsidRDefault="003B4E3A" w:rsidP="00FE6F26">
      <w:pPr>
        <w:keepNext/>
        <w:tabs>
          <w:tab w:val="left" w:pos="0"/>
          <w:tab w:val="left" w:pos="720"/>
        </w:tabs>
        <w:jc w:val="both"/>
        <w:rPr>
          <w:sz w:val="22"/>
          <w:szCs w:val="22"/>
        </w:rPr>
      </w:pPr>
      <w:r w:rsidRPr="008B6BC2">
        <w:rPr>
          <w:sz w:val="22"/>
          <w:szCs w:val="22"/>
        </w:rPr>
        <w:t xml:space="preserve">Nepoužívejte v případě přecitlivělosti na </w:t>
      </w:r>
      <w:proofErr w:type="spellStart"/>
      <w:r w:rsidRPr="008B6BC2">
        <w:rPr>
          <w:sz w:val="22"/>
          <w:szCs w:val="22"/>
        </w:rPr>
        <w:t>klindamycin</w:t>
      </w:r>
      <w:proofErr w:type="spellEnd"/>
      <w:r w:rsidRPr="008B6BC2">
        <w:rPr>
          <w:sz w:val="22"/>
          <w:szCs w:val="22"/>
        </w:rPr>
        <w:t xml:space="preserve"> nebo </w:t>
      </w:r>
      <w:proofErr w:type="spellStart"/>
      <w:r w:rsidRPr="008B6BC2">
        <w:rPr>
          <w:sz w:val="22"/>
          <w:szCs w:val="22"/>
        </w:rPr>
        <w:t>li</w:t>
      </w:r>
      <w:r w:rsidRPr="00D751DA">
        <w:rPr>
          <w:sz w:val="22"/>
          <w:szCs w:val="22"/>
        </w:rPr>
        <w:t>nkomycin</w:t>
      </w:r>
      <w:proofErr w:type="spellEnd"/>
      <w:r w:rsidRPr="00D751DA">
        <w:rPr>
          <w:sz w:val="22"/>
          <w:szCs w:val="22"/>
        </w:rPr>
        <w:t xml:space="preserve"> nebo na jakoukoli z pomocných látek.</w:t>
      </w:r>
    </w:p>
    <w:p w:rsidR="003B4E3A" w:rsidRPr="00A10DC9" w:rsidRDefault="003B4E3A" w:rsidP="00FE6F26">
      <w:pPr>
        <w:tabs>
          <w:tab w:val="left" w:pos="567"/>
        </w:tabs>
        <w:jc w:val="both"/>
        <w:rPr>
          <w:b/>
          <w:bCs/>
          <w:strike/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rPr>
          <w:b/>
          <w:bCs/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</w:rPr>
      </w:pPr>
      <w:r w:rsidRPr="008B6BC2">
        <w:rPr>
          <w:b/>
          <w:sz w:val="22"/>
          <w:szCs w:val="22"/>
        </w:rPr>
        <w:lastRenderedPageBreak/>
        <w:t>6.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NEŽÁDOUCÍ ÚČINKY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256FE" w:rsidRPr="00A10DC9" w:rsidRDefault="003256FE" w:rsidP="00FE6F26">
      <w:pPr>
        <w:tabs>
          <w:tab w:val="left" w:pos="567"/>
        </w:tabs>
        <w:jc w:val="both"/>
        <w:rPr>
          <w:bCs/>
          <w:sz w:val="22"/>
          <w:szCs w:val="22"/>
        </w:rPr>
      </w:pPr>
      <w:r w:rsidRPr="008B6BC2">
        <w:rPr>
          <w:sz w:val="22"/>
          <w:szCs w:val="22"/>
        </w:rPr>
        <w:t xml:space="preserve">Ve velmi vzácných případech lze pozorovat letargii (unavenost), zvracení a průjem. </w:t>
      </w:r>
    </w:p>
    <w:p w:rsidR="003256FE" w:rsidRPr="00A10DC9" w:rsidRDefault="003256FE" w:rsidP="00FE6F26">
      <w:pPr>
        <w:tabs>
          <w:tab w:val="left" w:pos="567"/>
        </w:tabs>
        <w:jc w:val="both"/>
        <w:rPr>
          <w:sz w:val="22"/>
          <w:szCs w:val="22"/>
        </w:rPr>
      </w:pPr>
      <w:r w:rsidRPr="008B6BC2">
        <w:rPr>
          <w:sz w:val="22"/>
          <w:szCs w:val="22"/>
        </w:rPr>
        <w:t>Klindamycin může někdy vyvolat nadměrné pomnožení ne</w:t>
      </w:r>
      <w:r w:rsidR="00D751DA">
        <w:rPr>
          <w:sz w:val="22"/>
          <w:szCs w:val="22"/>
        </w:rPr>
        <w:t>citlivých</w:t>
      </w:r>
      <w:r w:rsidRPr="008B6BC2">
        <w:rPr>
          <w:sz w:val="22"/>
          <w:szCs w:val="22"/>
        </w:rPr>
        <w:t xml:space="preserve"> mikroorganismů, např. rezistentních </w:t>
      </w:r>
      <w:r w:rsidRPr="00D751DA">
        <w:rPr>
          <w:i/>
          <w:sz w:val="22"/>
          <w:szCs w:val="22"/>
        </w:rPr>
        <w:t>klostridií</w:t>
      </w:r>
      <w:r w:rsidRPr="00D751DA">
        <w:rPr>
          <w:sz w:val="22"/>
          <w:szCs w:val="22"/>
        </w:rPr>
        <w:t xml:space="preserve"> a kvasinek.  V případě </w:t>
      </w:r>
      <w:r w:rsidR="00D751DA">
        <w:rPr>
          <w:sz w:val="22"/>
          <w:szCs w:val="22"/>
        </w:rPr>
        <w:t xml:space="preserve">sekundární </w:t>
      </w:r>
      <w:r w:rsidRPr="00D751DA">
        <w:rPr>
          <w:sz w:val="22"/>
          <w:szCs w:val="22"/>
        </w:rPr>
        <w:t>infekce je nutno léčbu ukončit a přijmout vhodná opatření na základě klinických nálezů.</w:t>
      </w:r>
    </w:p>
    <w:p w:rsidR="00F86678" w:rsidRPr="00A10DC9" w:rsidRDefault="00F86678" w:rsidP="00FE6F26">
      <w:pPr>
        <w:tabs>
          <w:tab w:val="left" w:pos="567"/>
        </w:tabs>
        <w:jc w:val="both"/>
        <w:rPr>
          <w:sz w:val="22"/>
          <w:szCs w:val="22"/>
        </w:rPr>
      </w:pPr>
      <w:r w:rsidRPr="008B6BC2">
        <w:rPr>
          <w:sz w:val="22"/>
          <w:szCs w:val="22"/>
        </w:rPr>
        <w:t>Pokud si všimnete závažných účinků nebo dalších účinků, které nejsou uvedeny v tomto příbalovém letáku, informujte o tom prosím</w:t>
      </w:r>
      <w:r w:rsidRPr="00D751DA">
        <w:rPr>
          <w:sz w:val="22"/>
          <w:szCs w:val="22"/>
        </w:rPr>
        <w:t xml:space="preserve"> veterinárního lékaře.</w:t>
      </w:r>
    </w:p>
    <w:p w:rsidR="003256FE" w:rsidRPr="00A10DC9" w:rsidRDefault="00F7566E" w:rsidP="00FE6F26">
      <w:pPr>
        <w:tabs>
          <w:tab w:val="left" w:pos="2265"/>
        </w:tabs>
        <w:jc w:val="both"/>
        <w:rPr>
          <w:sz w:val="22"/>
          <w:szCs w:val="22"/>
        </w:rPr>
      </w:pPr>
      <w:r w:rsidRPr="00FE6F26">
        <w:rPr>
          <w:sz w:val="22"/>
          <w:szCs w:val="22"/>
        </w:rPr>
        <w:tab/>
      </w:r>
    </w:p>
    <w:p w:rsidR="003256FE" w:rsidRPr="00A10DC9" w:rsidRDefault="003256FE" w:rsidP="00FE6F26">
      <w:pPr>
        <w:tabs>
          <w:tab w:val="left" w:pos="567"/>
        </w:tabs>
        <w:jc w:val="both"/>
        <w:rPr>
          <w:bCs/>
          <w:sz w:val="22"/>
          <w:szCs w:val="22"/>
        </w:rPr>
      </w:pPr>
      <w:r w:rsidRPr="008B6BC2">
        <w:rPr>
          <w:sz w:val="22"/>
          <w:szCs w:val="22"/>
        </w:rPr>
        <w:t xml:space="preserve">Frekvence nežádoucích účinků je definována podle </w:t>
      </w:r>
      <w:r w:rsidR="006E3E5C" w:rsidRPr="003B1C84">
        <w:rPr>
          <w:sz w:val="22"/>
          <w:szCs w:val="22"/>
        </w:rPr>
        <w:t>následujících pravidel</w:t>
      </w:r>
      <w:r w:rsidRPr="00D751DA">
        <w:rPr>
          <w:sz w:val="22"/>
          <w:szCs w:val="22"/>
        </w:rPr>
        <w:t>:</w:t>
      </w:r>
    </w:p>
    <w:p w:rsidR="003256FE" w:rsidRPr="00A10DC9" w:rsidRDefault="003256FE" w:rsidP="00FE6F26">
      <w:pPr>
        <w:numPr>
          <w:ilvl w:val="0"/>
          <w:numId w:val="9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8B6BC2">
        <w:rPr>
          <w:sz w:val="22"/>
          <w:szCs w:val="22"/>
        </w:rPr>
        <w:t>velmi časté (</w:t>
      </w:r>
      <w:r w:rsidR="006E3E5C" w:rsidRPr="00DB0A80">
        <w:rPr>
          <w:sz w:val="22"/>
          <w:szCs w:val="22"/>
        </w:rPr>
        <w:t>nežádoucí účinky se projevily u více než 1 z 10 zvířat v průběhu jednoho ošetření</w:t>
      </w:r>
      <w:r w:rsidRPr="00D751DA">
        <w:rPr>
          <w:sz w:val="22"/>
          <w:szCs w:val="22"/>
        </w:rPr>
        <w:t>)</w:t>
      </w:r>
    </w:p>
    <w:p w:rsidR="003256FE" w:rsidRPr="00A10DC9" w:rsidRDefault="003256FE" w:rsidP="00FE6F26">
      <w:pPr>
        <w:numPr>
          <w:ilvl w:val="0"/>
          <w:numId w:val="9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8B6BC2">
        <w:rPr>
          <w:sz w:val="22"/>
          <w:szCs w:val="22"/>
        </w:rPr>
        <w:t>časté (více než 1 zvíře ale méně než 10 zvířat ze 100 zvířat)</w:t>
      </w:r>
    </w:p>
    <w:p w:rsidR="003256FE" w:rsidRPr="00A10DC9" w:rsidRDefault="003256FE" w:rsidP="00FE6F26">
      <w:pPr>
        <w:numPr>
          <w:ilvl w:val="0"/>
          <w:numId w:val="9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8B6BC2">
        <w:rPr>
          <w:sz w:val="22"/>
          <w:szCs w:val="22"/>
        </w:rPr>
        <w:t>méně časté (více než 1 zvíře ale méně než 10 zvířat z 1 000 zvířat)</w:t>
      </w:r>
    </w:p>
    <w:p w:rsidR="003256FE" w:rsidRPr="00A10DC9" w:rsidRDefault="003256FE" w:rsidP="00FE6F26">
      <w:pPr>
        <w:numPr>
          <w:ilvl w:val="0"/>
          <w:numId w:val="9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8B6BC2">
        <w:rPr>
          <w:sz w:val="22"/>
          <w:szCs w:val="22"/>
        </w:rPr>
        <w:t>vzácné (více než 1 zvíře ale méně než 10 zvířat z 10 000 zvířat)</w:t>
      </w:r>
    </w:p>
    <w:p w:rsidR="003256FE" w:rsidRPr="006E3E5C" w:rsidRDefault="003256FE" w:rsidP="00FE6F26">
      <w:pPr>
        <w:pStyle w:val="Odstavecseseznamem"/>
        <w:numPr>
          <w:ilvl w:val="0"/>
          <w:numId w:val="9"/>
        </w:numPr>
        <w:tabs>
          <w:tab w:val="left" w:pos="567"/>
        </w:tabs>
        <w:jc w:val="both"/>
        <w:rPr>
          <w:bCs/>
          <w:sz w:val="22"/>
          <w:szCs w:val="22"/>
        </w:rPr>
      </w:pPr>
      <w:r w:rsidRPr="008B6BC2">
        <w:rPr>
          <w:sz w:val="22"/>
          <w:szCs w:val="22"/>
        </w:rPr>
        <w:t>velmi vzácné (méně ne</w:t>
      </w:r>
      <w:r w:rsidRPr="00D751DA">
        <w:rPr>
          <w:sz w:val="22"/>
          <w:szCs w:val="22"/>
        </w:rPr>
        <w:t>ž 1 zvíře z 10 000 zvířat, včetně izolovaných hlášení).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ind w:hanging="567"/>
        <w:rPr>
          <w:sz w:val="22"/>
          <w:szCs w:val="22"/>
        </w:rPr>
      </w:pP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7.</w:t>
      </w:r>
      <w:r w:rsidRPr="00FE6F26">
        <w:rPr>
          <w:sz w:val="22"/>
          <w:szCs w:val="22"/>
        </w:rPr>
        <w:tab/>
      </w:r>
      <w:r w:rsidR="003B79E2" w:rsidRPr="00FE6F26">
        <w:rPr>
          <w:b/>
          <w:sz w:val="22"/>
          <w:szCs w:val="22"/>
        </w:rPr>
        <w:t>CÍLOVÝ DRUH ZVÍŘAT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rPr>
          <w:sz w:val="22"/>
          <w:szCs w:val="22"/>
        </w:rPr>
      </w:pPr>
      <w:r w:rsidRPr="008B6BC2">
        <w:rPr>
          <w:sz w:val="22"/>
          <w:szCs w:val="22"/>
        </w:rPr>
        <w:t>Kočky a psi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ind w:left="720" w:hanging="720"/>
        <w:rPr>
          <w:sz w:val="22"/>
          <w:szCs w:val="22"/>
        </w:rPr>
      </w:pPr>
      <w:r w:rsidRPr="008B6BC2">
        <w:rPr>
          <w:b/>
          <w:sz w:val="22"/>
          <w:szCs w:val="22"/>
        </w:rPr>
        <w:t>8.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DÁVKOVÁNÍ PRO KAŽDÝ DRUH, CESTA A ZPŮSOB PODÁNÍ</w:t>
      </w: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</w:rPr>
      </w:pPr>
      <w:r w:rsidRPr="00FE6F26">
        <w:rPr>
          <w:sz w:val="22"/>
          <w:szCs w:val="22"/>
        </w:rPr>
        <w:tab/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>Pouze pro perorální po</w:t>
      </w:r>
      <w:r w:rsidR="00D751DA">
        <w:rPr>
          <w:sz w:val="22"/>
          <w:szCs w:val="22"/>
        </w:rPr>
        <w:t>dání.</w:t>
      </w:r>
    </w:p>
    <w:p w:rsidR="003256FE" w:rsidRPr="00A10DC9" w:rsidRDefault="00D751DA" w:rsidP="003256FE">
      <w:pPr>
        <w:tabs>
          <w:tab w:val="left" w:pos="567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K </w:t>
      </w:r>
      <w:r w:rsidR="003256FE" w:rsidRPr="008B6BC2">
        <w:rPr>
          <w:sz w:val="22"/>
          <w:szCs w:val="22"/>
        </w:rPr>
        <w:t>zajištěn</w:t>
      </w:r>
      <w:r>
        <w:rPr>
          <w:sz w:val="22"/>
          <w:szCs w:val="22"/>
        </w:rPr>
        <w:t>í</w:t>
      </w:r>
      <w:r w:rsidR="003256FE" w:rsidRPr="008B6BC2">
        <w:rPr>
          <w:sz w:val="22"/>
          <w:szCs w:val="22"/>
        </w:rPr>
        <w:t xml:space="preserve"> podání správné dávky, je nutno co nejpřesněji stanovit </w:t>
      </w:r>
      <w:r w:rsidR="006E3E5C" w:rsidRPr="00DB0A80">
        <w:rPr>
          <w:sz w:val="22"/>
          <w:szCs w:val="22"/>
        </w:rPr>
        <w:t xml:space="preserve">živou </w:t>
      </w:r>
      <w:r w:rsidR="003256FE" w:rsidRPr="00D751DA">
        <w:rPr>
          <w:sz w:val="22"/>
          <w:szCs w:val="22"/>
        </w:rPr>
        <w:t>hmotnost.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>Doporučené dávkování: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>Kočky: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 xml:space="preserve">- infikované rána abscesy: 11 mg </w:t>
      </w:r>
      <w:proofErr w:type="spellStart"/>
      <w:r w:rsidRPr="008B6BC2">
        <w:rPr>
          <w:sz w:val="22"/>
          <w:szCs w:val="22"/>
        </w:rPr>
        <w:t>klindamycinu</w:t>
      </w:r>
      <w:proofErr w:type="spellEnd"/>
      <w:r w:rsidRPr="008B6BC2">
        <w:rPr>
          <w:sz w:val="22"/>
          <w:szCs w:val="22"/>
        </w:rPr>
        <w:t xml:space="preserve"> na kg </w:t>
      </w:r>
      <w:r w:rsidR="006E3E5C" w:rsidRPr="003B1C84">
        <w:rPr>
          <w:sz w:val="22"/>
          <w:szCs w:val="22"/>
        </w:rPr>
        <w:t xml:space="preserve">živé hmotnosti </w:t>
      </w:r>
      <w:r w:rsidRPr="00D751DA">
        <w:rPr>
          <w:sz w:val="22"/>
          <w:szCs w:val="22"/>
        </w:rPr>
        <w:t xml:space="preserve">za 24 hod nebo 5,5 mg/kg za 12 hod po dobu 7 až </w:t>
      </w:r>
      <w:r w:rsidRPr="00FE6F26">
        <w:rPr>
          <w:sz w:val="22"/>
          <w:szCs w:val="22"/>
        </w:rPr>
        <w:t xml:space="preserve">10 dnů 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>Pokud není po 4 dnech pozorován terapeutický účinek, je nutno léčbu zastavit.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>Psi: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>- Infikované rány, abscesy a infekce dutiny</w:t>
      </w:r>
      <w:r w:rsidR="00D751DA">
        <w:rPr>
          <w:sz w:val="22"/>
          <w:szCs w:val="22"/>
        </w:rPr>
        <w:t xml:space="preserve"> ústní</w:t>
      </w:r>
      <w:r w:rsidRPr="008B6BC2">
        <w:rPr>
          <w:sz w:val="22"/>
          <w:szCs w:val="22"/>
        </w:rPr>
        <w:t xml:space="preserve">/zubů: 11 mg </w:t>
      </w:r>
      <w:proofErr w:type="spellStart"/>
      <w:r w:rsidRPr="008B6BC2">
        <w:rPr>
          <w:sz w:val="22"/>
          <w:szCs w:val="22"/>
        </w:rPr>
        <w:t>klindamycinu</w:t>
      </w:r>
      <w:proofErr w:type="spellEnd"/>
      <w:r w:rsidRPr="008B6BC2">
        <w:rPr>
          <w:sz w:val="22"/>
          <w:szCs w:val="22"/>
        </w:rPr>
        <w:t xml:space="preserve"> na kg </w:t>
      </w:r>
      <w:r w:rsidR="006E3E5C" w:rsidRPr="003B1C84">
        <w:rPr>
          <w:sz w:val="22"/>
          <w:szCs w:val="22"/>
        </w:rPr>
        <w:t xml:space="preserve">živé hmotnosti </w:t>
      </w:r>
      <w:r w:rsidRPr="00D751DA">
        <w:rPr>
          <w:sz w:val="22"/>
          <w:szCs w:val="22"/>
        </w:rPr>
        <w:t>za 24 hod nebo 5,5 mg/kg za 12 hod po dobu 7 až 10 dnů.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  <w:highlight w:val="magenta"/>
        </w:rPr>
      </w:pPr>
      <w:r w:rsidRPr="008B6BC2">
        <w:rPr>
          <w:sz w:val="22"/>
          <w:szCs w:val="22"/>
        </w:rPr>
        <w:t>Pokud není po 4 dnech pozorován terapeutický účinek, je nutno léčbu zastavit.</w:t>
      </w:r>
      <w:r w:rsidRPr="00D751DA">
        <w:rPr>
          <w:sz w:val="22"/>
          <w:szCs w:val="22"/>
          <w:highlight w:val="magenta"/>
        </w:rPr>
        <w:t xml:space="preserve"> 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rPr>
          <w:sz w:val="22"/>
          <w:szCs w:val="22"/>
        </w:rPr>
      </w:pPr>
      <w:r w:rsidRPr="008B6BC2">
        <w:rPr>
          <w:sz w:val="22"/>
          <w:szCs w:val="22"/>
        </w:rPr>
        <w:t xml:space="preserve">- Léčba kostních infekcí (osteomyelitidy): 11 mg </w:t>
      </w:r>
      <w:proofErr w:type="spellStart"/>
      <w:r w:rsidRPr="008B6BC2">
        <w:rPr>
          <w:sz w:val="22"/>
          <w:szCs w:val="22"/>
        </w:rPr>
        <w:t>klindamycinu</w:t>
      </w:r>
      <w:proofErr w:type="spellEnd"/>
      <w:r w:rsidRPr="008B6BC2">
        <w:rPr>
          <w:sz w:val="22"/>
          <w:szCs w:val="22"/>
        </w:rPr>
        <w:t xml:space="preserve"> na kg </w:t>
      </w:r>
      <w:r w:rsidR="006E3E5C" w:rsidRPr="003B1C84">
        <w:rPr>
          <w:sz w:val="22"/>
          <w:szCs w:val="22"/>
        </w:rPr>
        <w:t xml:space="preserve">živé hmotnosti každých </w:t>
      </w:r>
      <w:r w:rsidRPr="00D751DA">
        <w:rPr>
          <w:sz w:val="22"/>
          <w:szCs w:val="22"/>
        </w:rPr>
        <w:t>12 hodin minimálně během 28 denního cyklu. Léčbu je nutno přerušit, pokud za prvních 14 dnů není pozorován terapeutický účinek.</w:t>
      </w:r>
    </w:p>
    <w:p w:rsidR="003B4E3A" w:rsidRPr="00A10DC9" w:rsidRDefault="003B4E3A" w:rsidP="003B4E3A">
      <w:pPr>
        <w:rPr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628"/>
        <w:gridCol w:w="4860"/>
      </w:tblGrid>
      <w:tr w:rsidR="003B4E3A" w:rsidRPr="00A10DC9" w:rsidTr="008A4E44">
        <w:trPr>
          <w:trHeight w:val="170"/>
        </w:trPr>
        <w:tc>
          <w:tcPr>
            <w:tcW w:w="2628" w:type="dxa"/>
          </w:tcPr>
          <w:p w:rsidR="003B4E3A" w:rsidRPr="00FE6F26" w:rsidRDefault="003B4E3A" w:rsidP="003B4E3A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3B4E3A" w:rsidRPr="00FE6F26" w:rsidRDefault="003B4E3A" w:rsidP="003B4E3A">
            <w:pPr>
              <w:rPr>
                <w:sz w:val="22"/>
                <w:szCs w:val="22"/>
              </w:rPr>
            </w:pPr>
          </w:p>
        </w:tc>
      </w:tr>
      <w:tr w:rsidR="006E3E5C" w:rsidRPr="00A10DC9" w:rsidTr="008A4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8" w:type="dxa"/>
          </w:tcPr>
          <w:p w:rsidR="006E3E5C" w:rsidRPr="00A10DC9" w:rsidRDefault="006E3E5C" w:rsidP="003B4E3A">
            <w:pPr>
              <w:rPr>
                <w:sz w:val="22"/>
                <w:szCs w:val="22"/>
              </w:rPr>
            </w:pPr>
            <w:r w:rsidRPr="00DB0A80">
              <w:rPr>
                <w:sz w:val="22"/>
                <w:szCs w:val="22"/>
              </w:rPr>
              <w:t>Dávkování</w:t>
            </w:r>
          </w:p>
        </w:tc>
        <w:tc>
          <w:tcPr>
            <w:tcW w:w="4860" w:type="dxa"/>
          </w:tcPr>
          <w:p w:rsidR="006E3E5C" w:rsidRPr="00A10DC9" w:rsidRDefault="006E3E5C" w:rsidP="003B4E3A">
            <w:pPr>
              <w:rPr>
                <w:sz w:val="22"/>
                <w:szCs w:val="22"/>
              </w:rPr>
            </w:pPr>
            <w:r w:rsidRPr="00DB0A80">
              <w:rPr>
                <w:sz w:val="22"/>
                <w:szCs w:val="22"/>
              </w:rPr>
              <w:t>Objem podávaný na kg živé hmotnosti</w:t>
            </w:r>
          </w:p>
        </w:tc>
      </w:tr>
      <w:tr w:rsidR="003B4E3A" w:rsidRPr="00A10DC9" w:rsidTr="008A4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8" w:type="dxa"/>
          </w:tcPr>
          <w:p w:rsidR="003B4E3A" w:rsidRPr="00FE6F26" w:rsidRDefault="003B4E3A" w:rsidP="003B4E3A">
            <w:pPr>
              <w:rPr>
                <w:sz w:val="22"/>
                <w:szCs w:val="22"/>
              </w:rPr>
            </w:pPr>
            <w:r w:rsidRPr="008B6BC2">
              <w:rPr>
                <w:sz w:val="22"/>
                <w:szCs w:val="22"/>
              </w:rPr>
              <w:t xml:space="preserve">5,5 mg/kg </w:t>
            </w:r>
          </w:p>
        </w:tc>
        <w:tc>
          <w:tcPr>
            <w:tcW w:w="4860" w:type="dxa"/>
          </w:tcPr>
          <w:p w:rsidR="003B4E3A" w:rsidRPr="00FE6F26" w:rsidRDefault="003B4E3A" w:rsidP="003B4E3A">
            <w:pPr>
              <w:rPr>
                <w:sz w:val="22"/>
                <w:szCs w:val="22"/>
              </w:rPr>
            </w:pPr>
            <w:r w:rsidRPr="008B6BC2">
              <w:rPr>
                <w:sz w:val="22"/>
                <w:szCs w:val="22"/>
              </w:rPr>
              <w:t xml:space="preserve">Odpovídá cca 0,25 ml na kg </w:t>
            </w:r>
          </w:p>
        </w:tc>
      </w:tr>
      <w:tr w:rsidR="003B4E3A" w:rsidRPr="00A10DC9" w:rsidTr="008A4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8" w:type="dxa"/>
          </w:tcPr>
          <w:p w:rsidR="003B4E3A" w:rsidRPr="00FE6F26" w:rsidRDefault="003B4E3A" w:rsidP="003B4E3A">
            <w:pPr>
              <w:rPr>
                <w:sz w:val="22"/>
                <w:szCs w:val="22"/>
              </w:rPr>
            </w:pPr>
            <w:r w:rsidRPr="008B6BC2">
              <w:rPr>
                <w:sz w:val="22"/>
                <w:szCs w:val="22"/>
              </w:rPr>
              <w:t xml:space="preserve">11 mg/kg </w:t>
            </w:r>
          </w:p>
        </w:tc>
        <w:tc>
          <w:tcPr>
            <w:tcW w:w="4860" w:type="dxa"/>
          </w:tcPr>
          <w:p w:rsidR="003B4E3A" w:rsidRPr="00FE6F26" w:rsidRDefault="003B4E3A" w:rsidP="003B4E3A">
            <w:pPr>
              <w:rPr>
                <w:sz w:val="22"/>
                <w:szCs w:val="22"/>
              </w:rPr>
            </w:pPr>
            <w:r w:rsidRPr="008B6BC2">
              <w:rPr>
                <w:sz w:val="22"/>
                <w:szCs w:val="22"/>
              </w:rPr>
              <w:t xml:space="preserve">Odpovídá cca 0,5 ml na kg </w:t>
            </w:r>
          </w:p>
        </w:tc>
      </w:tr>
    </w:tbl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40"/>
        </w:tabs>
        <w:rPr>
          <w:b/>
          <w:bCs/>
          <w:sz w:val="22"/>
          <w:szCs w:val="22"/>
        </w:rPr>
      </w:pPr>
      <w:r w:rsidRPr="008B6BC2">
        <w:rPr>
          <w:b/>
          <w:sz w:val="22"/>
          <w:szCs w:val="22"/>
        </w:rPr>
        <w:t>9.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 xml:space="preserve">POKYNY </w:t>
      </w:r>
      <w:r w:rsidRPr="00D751DA">
        <w:rPr>
          <w:b/>
          <w:sz w:val="22"/>
          <w:szCs w:val="22"/>
        </w:rPr>
        <w:t>PRO SPRÁVNÉ PODÁNÍ</w:t>
      </w:r>
      <w:r w:rsidRPr="00FE6F26">
        <w:rPr>
          <w:sz w:val="22"/>
          <w:szCs w:val="22"/>
        </w:rPr>
        <w:tab/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40"/>
        </w:tabs>
        <w:rPr>
          <w:b/>
          <w:bCs/>
          <w:sz w:val="22"/>
          <w:szCs w:val="22"/>
        </w:rPr>
      </w:pPr>
      <w:r w:rsidRPr="008B6BC2">
        <w:rPr>
          <w:sz w:val="22"/>
          <w:szCs w:val="22"/>
        </w:rPr>
        <w:t>Součástí balení je 3 ml odměrná stříkačka, která usnadňuje podávání tohoto veterinárního léčivého přípravku.</w:t>
      </w:r>
    </w:p>
    <w:p w:rsidR="003B4E3A" w:rsidRPr="00A10DC9" w:rsidRDefault="003B4E3A" w:rsidP="003B4E3A">
      <w:pPr>
        <w:rPr>
          <w:b/>
          <w:bCs/>
          <w:sz w:val="22"/>
          <w:szCs w:val="22"/>
        </w:rPr>
      </w:pPr>
    </w:p>
    <w:p w:rsidR="003B4E3A" w:rsidRPr="00A10DC9" w:rsidRDefault="003B4E3A" w:rsidP="003B4E3A">
      <w:pPr>
        <w:tabs>
          <w:tab w:val="left" w:pos="540"/>
        </w:tabs>
        <w:rPr>
          <w:sz w:val="22"/>
          <w:szCs w:val="22"/>
        </w:rPr>
      </w:pPr>
      <w:r w:rsidRPr="008B6BC2">
        <w:rPr>
          <w:b/>
          <w:sz w:val="22"/>
          <w:szCs w:val="22"/>
        </w:rPr>
        <w:t xml:space="preserve">10. 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OCHRANNÁ LHŮTA</w:t>
      </w:r>
    </w:p>
    <w:p w:rsidR="003B4E3A" w:rsidRPr="00A10DC9" w:rsidRDefault="003B4E3A" w:rsidP="003B4E3A">
      <w:pPr>
        <w:rPr>
          <w:sz w:val="22"/>
          <w:szCs w:val="22"/>
        </w:rPr>
      </w:pPr>
    </w:p>
    <w:p w:rsidR="0081440F" w:rsidRPr="00FE6F26" w:rsidRDefault="0081440F" w:rsidP="0081440F">
      <w:pPr>
        <w:rPr>
          <w:sz w:val="22"/>
          <w:szCs w:val="22"/>
        </w:rPr>
      </w:pPr>
      <w:r w:rsidRPr="00FE6F26">
        <w:rPr>
          <w:sz w:val="22"/>
          <w:szCs w:val="22"/>
        </w:rPr>
        <w:t xml:space="preserve">Není určeno pro potravinová zvířata. 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ind w:hanging="567"/>
        <w:rPr>
          <w:sz w:val="22"/>
          <w:szCs w:val="22"/>
        </w:rPr>
      </w:pPr>
      <w:r w:rsidRPr="00FE6F26">
        <w:rPr>
          <w:sz w:val="22"/>
          <w:szCs w:val="22"/>
        </w:rPr>
        <w:lastRenderedPageBreak/>
        <w:tab/>
      </w:r>
      <w:r w:rsidRPr="008B6BC2">
        <w:rPr>
          <w:b/>
          <w:sz w:val="22"/>
          <w:szCs w:val="22"/>
        </w:rPr>
        <w:t>11.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ZVLÁŠTNÍ OPATŘENÍ PRO UCHOVÁVÁNÍ</w:t>
      </w:r>
    </w:p>
    <w:p w:rsidR="003B4E3A" w:rsidRPr="00A10DC9" w:rsidRDefault="003B4E3A" w:rsidP="003B4E3A">
      <w:pPr>
        <w:numPr>
          <w:ilvl w:val="12"/>
          <w:numId w:val="0"/>
        </w:numPr>
        <w:tabs>
          <w:tab w:val="left" w:pos="567"/>
        </w:tabs>
        <w:rPr>
          <w:noProof/>
          <w:sz w:val="22"/>
          <w:szCs w:val="22"/>
        </w:rPr>
      </w:pPr>
    </w:p>
    <w:p w:rsidR="003B4E3A" w:rsidRPr="00A10DC9" w:rsidRDefault="003B4E3A" w:rsidP="00F73D05">
      <w:pPr>
        <w:numPr>
          <w:ilvl w:val="12"/>
          <w:numId w:val="0"/>
        </w:numPr>
        <w:tabs>
          <w:tab w:val="left" w:pos="567"/>
        </w:tabs>
        <w:rPr>
          <w:noProof/>
          <w:sz w:val="22"/>
          <w:szCs w:val="22"/>
        </w:rPr>
      </w:pPr>
      <w:r w:rsidRPr="008B6BC2">
        <w:rPr>
          <w:noProof/>
          <w:sz w:val="22"/>
          <w:szCs w:val="22"/>
        </w:rPr>
        <w:t>Uchováv</w:t>
      </w:r>
      <w:r w:rsidR="008B6BC2">
        <w:rPr>
          <w:noProof/>
          <w:sz w:val="22"/>
          <w:szCs w:val="22"/>
        </w:rPr>
        <w:t xml:space="preserve">at mimo </w:t>
      </w:r>
      <w:r w:rsidRPr="008B6BC2">
        <w:rPr>
          <w:noProof/>
          <w:sz w:val="22"/>
          <w:szCs w:val="22"/>
        </w:rPr>
        <w:t>dosah</w:t>
      </w:r>
      <w:r w:rsidR="008B6BC2">
        <w:rPr>
          <w:noProof/>
          <w:sz w:val="22"/>
          <w:szCs w:val="22"/>
        </w:rPr>
        <w:t xml:space="preserve"> </w:t>
      </w:r>
      <w:r w:rsidRPr="008B6BC2">
        <w:rPr>
          <w:noProof/>
          <w:sz w:val="22"/>
          <w:szCs w:val="22"/>
        </w:rPr>
        <w:t>dětí.</w:t>
      </w:r>
    </w:p>
    <w:p w:rsidR="003B4E3A" w:rsidRPr="00A10DC9" w:rsidRDefault="003B4E3A" w:rsidP="003B4E3A">
      <w:pPr>
        <w:numPr>
          <w:ilvl w:val="12"/>
          <w:numId w:val="0"/>
        </w:numPr>
        <w:tabs>
          <w:tab w:val="left" w:pos="567"/>
        </w:tabs>
        <w:rPr>
          <w:noProof/>
          <w:sz w:val="22"/>
          <w:szCs w:val="22"/>
        </w:rPr>
      </w:pPr>
      <w:r w:rsidRPr="008B6BC2">
        <w:rPr>
          <w:noProof/>
          <w:sz w:val="22"/>
          <w:szCs w:val="22"/>
        </w:rPr>
        <w:t xml:space="preserve">Nepoužívejte </w:t>
      </w:r>
      <w:r w:rsidR="00AB6AA2" w:rsidRPr="00D751DA">
        <w:rPr>
          <w:noProof/>
          <w:sz w:val="22"/>
          <w:szCs w:val="22"/>
        </w:rPr>
        <w:t xml:space="preserve">tento veterinární léčivý přípravek </w:t>
      </w:r>
      <w:r w:rsidRPr="00D751DA">
        <w:rPr>
          <w:noProof/>
          <w:sz w:val="22"/>
          <w:szCs w:val="22"/>
        </w:rPr>
        <w:t xml:space="preserve">po uplynutí doby použitelnosti uvedené na </w:t>
      </w:r>
      <w:r w:rsidR="00AB6AA2" w:rsidRPr="00FE6F26">
        <w:rPr>
          <w:noProof/>
          <w:sz w:val="22"/>
          <w:szCs w:val="22"/>
        </w:rPr>
        <w:t xml:space="preserve">etiketě </w:t>
      </w:r>
      <w:r w:rsidRPr="00FE6F26">
        <w:rPr>
          <w:noProof/>
          <w:sz w:val="22"/>
          <w:szCs w:val="22"/>
        </w:rPr>
        <w:t>a krabičce po EXP.</w:t>
      </w:r>
    </w:p>
    <w:p w:rsidR="003B4E3A" w:rsidRPr="00A10DC9" w:rsidRDefault="003B4E3A" w:rsidP="003B4E3A">
      <w:pPr>
        <w:numPr>
          <w:ilvl w:val="12"/>
          <w:numId w:val="0"/>
        </w:numPr>
        <w:tabs>
          <w:tab w:val="left" w:pos="567"/>
        </w:tabs>
        <w:rPr>
          <w:noProof/>
          <w:sz w:val="22"/>
          <w:szCs w:val="22"/>
        </w:rPr>
      </w:pPr>
      <w:r w:rsidRPr="008B6BC2">
        <w:rPr>
          <w:noProof/>
          <w:sz w:val="22"/>
          <w:szCs w:val="22"/>
        </w:rPr>
        <w:t xml:space="preserve">Doba použitelnosti po prvním otevření </w:t>
      </w:r>
      <w:r w:rsidR="00AB6AA2" w:rsidRPr="00D751DA">
        <w:rPr>
          <w:noProof/>
          <w:sz w:val="22"/>
          <w:szCs w:val="22"/>
        </w:rPr>
        <w:t>vnitřního obalu</w:t>
      </w:r>
      <w:r w:rsidRPr="00D751DA">
        <w:rPr>
          <w:noProof/>
          <w:sz w:val="22"/>
          <w:szCs w:val="22"/>
        </w:rPr>
        <w:t>: 28 dnů</w:t>
      </w:r>
      <w:r w:rsidR="00AB6AA2" w:rsidRPr="00D751DA">
        <w:rPr>
          <w:noProof/>
          <w:sz w:val="22"/>
          <w:szCs w:val="22"/>
        </w:rPr>
        <w:t>.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ind w:hanging="567"/>
        <w:rPr>
          <w:b/>
          <w:bCs/>
          <w:sz w:val="22"/>
          <w:szCs w:val="22"/>
        </w:rPr>
      </w:pP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12.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ZVLÁŠTNÍ UPOZORNĚNÍ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  <w:rtl/>
        </w:rPr>
      </w:pPr>
      <w:r w:rsidRPr="008B6BC2">
        <w:rPr>
          <w:b/>
          <w:sz w:val="22"/>
          <w:szCs w:val="22"/>
        </w:rPr>
        <w:t>Zvláštní opatření pro použití u zvířat</w:t>
      </w:r>
    </w:p>
    <w:p w:rsidR="003B4E3A" w:rsidRPr="00FE6F26" w:rsidRDefault="003B4E3A" w:rsidP="003B4E3A">
      <w:pPr>
        <w:tabs>
          <w:tab w:val="left" w:pos="567"/>
        </w:tabs>
        <w:spacing w:line="260" w:lineRule="exact"/>
        <w:jc w:val="both"/>
        <w:rPr>
          <w:color w:val="000000" w:themeColor="text1"/>
          <w:sz w:val="22"/>
          <w:szCs w:val="22"/>
        </w:rPr>
      </w:pPr>
      <w:r w:rsidRPr="00FE6F26">
        <w:rPr>
          <w:color w:val="000000" w:themeColor="text1"/>
          <w:sz w:val="22"/>
          <w:szCs w:val="22"/>
        </w:rPr>
        <w:t xml:space="preserve">Nevhodné používání tohoto přípravku může zvýšit prevalenci bakterií odolných proti </w:t>
      </w:r>
      <w:proofErr w:type="spellStart"/>
      <w:r w:rsidRPr="00FE6F26">
        <w:rPr>
          <w:color w:val="000000" w:themeColor="text1"/>
          <w:sz w:val="22"/>
          <w:szCs w:val="22"/>
        </w:rPr>
        <w:t>klindamycinu</w:t>
      </w:r>
      <w:proofErr w:type="spellEnd"/>
      <w:r w:rsidRPr="00FE6F26">
        <w:rPr>
          <w:color w:val="000000" w:themeColor="text1"/>
          <w:sz w:val="22"/>
          <w:szCs w:val="22"/>
        </w:rPr>
        <w:t>.</w:t>
      </w:r>
    </w:p>
    <w:p w:rsidR="006E3E5C" w:rsidRPr="00FE6F26" w:rsidRDefault="006E3E5C" w:rsidP="006E3E5C">
      <w:pPr>
        <w:autoSpaceDE w:val="0"/>
        <w:autoSpaceDN w:val="0"/>
        <w:adjustRightInd w:val="0"/>
        <w:spacing w:line="240" w:lineRule="atLeast"/>
        <w:jc w:val="both"/>
        <w:rPr>
          <w:color w:val="000000" w:themeColor="text1"/>
          <w:sz w:val="22"/>
          <w:szCs w:val="22"/>
        </w:rPr>
      </w:pPr>
      <w:r w:rsidRPr="00FE6F26">
        <w:rPr>
          <w:color w:val="000000" w:themeColor="text1"/>
          <w:sz w:val="22"/>
          <w:szCs w:val="22"/>
        </w:rPr>
        <w:t xml:space="preserve">Použití </w:t>
      </w:r>
      <w:proofErr w:type="spellStart"/>
      <w:r w:rsidRPr="00FE6F26">
        <w:rPr>
          <w:color w:val="000000" w:themeColor="text1"/>
          <w:sz w:val="22"/>
          <w:szCs w:val="22"/>
        </w:rPr>
        <w:t>klindamycinu</w:t>
      </w:r>
      <w:proofErr w:type="spellEnd"/>
      <w:r w:rsidRPr="00FE6F26">
        <w:rPr>
          <w:color w:val="000000" w:themeColor="text1"/>
          <w:sz w:val="22"/>
          <w:szCs w:val="22"/>
        </w:rPr>
        <w:t xml:space="preserve"> by mělo být vždy, pokud je to možné, založeno na výsledku testu citlivosti. </w:t>
      </w:r>
    </w:p>
    <w:p w:rsidR="003B4E3A" w:rsidRPr="00FE6F26" w:rsidRDefault="003B4E3A" w:rsidP="003B4E3A">
      <w:pPr>
        <w:tabs>
          <w:tab w:val="left" w:pos="567"/>
        </w:tabs>
        <w:spacing w:line="260" w:lineRule="exact"/>
        <w:jc w:val="both"/>
        <w:rPr>
          <w:color w:val="000000" w:themeColor="text1"/>
          <w:sz w:val="22"/>
          <w:szCs w:val="22"/>
        </w:rPr>
      </w:pPr>
      <w:r w:rsidRPr="00FE6F26">
        <w:rPr>
          <w:color w:val="000000" w:themeColor="text1"/>
          <w:sz w:val="22"/>
          <w:szCs w:val="22"/>
        </w:rPr>
        <w:t xml:space="preserve">Viz odstavec 15 uvádějící informace o klinických </w:t>
      </w:r>
      <w:r w:rsidR="006E3E5C" w:rsidRPr="00FE6F26">
        <w:rPr>
          <w:color w:val="000000" w:themeColor="text1"/>
          <w:sz w:val="22"/>
          <w:szCs w:val="22"/>
        </w:rPr>
        <w:t xml:space="preserve">hraničních hodnotách </w:t>
      </w:r>
      <w:r w:rsidRPr="00FE6F26">
        <w:rPr>
          <w:color w:val="000000" w:themeColor="text1"/>
          <w:sz w:val="22"/>
          <w:szCs w:val="22"/>
        </w:rPr>
        <w:t xml:space="preserve">pro </w:t>
      </w:r>
      <w:proofErr w:type="spellStart"/>
      <w:r w:rsidRPr="00FE6F26">
        <w:rPr>
          <w:color w:val="000000" w:themeColor="text1"/>
          <w:sz w:val="22"/>
          <w:szCs w:val="22"/>
        </w:rPr>
        <w:t>klindamycin</w:t>
      </w:r>
      <w:proofErr w:type="spellEnd"/>
      <w:r w:rsidRPr="00FE6F26">
        <w:rPr>
          <w:color w:val="000000" w:themeColor="text1"/>
          <w:sz w:val="22"/>
          <w:szCs w:val="22"/>
        </w:rPr>
        <w:t>.</w:t>
      </w:r>
    </w:p>
    <w:p w:rsidR="006E3E5C" w:rsidRPr="00DB0A80" w:rsidRDefault="006E3E5C" w:rsidP="006E3E5C">
      <w:pPr>
        <w:jc w:val="both"/>
        <w:rPr>
          <w:color w:val="0000FF"/>
          <w:sz w:val="22"/>
          <w:szCs w:val="22"/>
        </w:rPr>
      </w:pPr>
      <w:r w:rsidRPr="00FE6F26">
        <w:rPr>
          <w:color w:val="000000" w:themeColor="text1"/>
          <w:sz w:val="22"/>
          <w:szCs w:val="22"/>
        </w:rPr>
        <w:t>Při použití přípravku je nutno vzít v úvahu oficiální celostátní a místní pravidla antibiotické politiky</w:t>
      </w:r>
      <w:r w:rsidRPr="00DB0A80">
        <w:rPr>
          <w:color w:val="0000FF"/>
          <w:sz w:val="22"/>
          <w:szCs w:val="22"/>
        </w:rPr>
        <w:t xml:space="preserve">. 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b/>
          <w:bCs/>
          <w:sz w:val="22"/>
          <w:szCs w:val="22"/>
        </w:rPr>
      </w:pPr>
      <w:proofErr w:type="spellStart"/>
      <w:r w:rsidRPr="008B6BC2">
        <w:rPr>
          <w:sz w:val="22"/>
          <w:szCs w:val="22"/>
        </w:rPr>
        <w:t>Klindamycin</w:t>
      </w:r>
      <w:proofErr w:type="spellEnd"/>
      <w:r w:rsidRPr="008B6BC2">
        <w:rPr>
          <w:sz w:val="22"/>
          <w:szCs w:val="22"/>
        </w:rPr>
        <w:t xml:space="preserve"> vykazuje </w:t>
      </w:r>
      <w:r w:rsidR="00D751DA">
        <w:rPr>
          <w:sz w:val="22"/>
          <w:szCs w:val="22"/>
        </w:rPr>
        <w:t xml:space="preserve">zkříženou </w:t>
      </w:r>
      <w:r w:rsidRPr="008B6BC2">
        <w:rPr>
          <w:sz w:val="22"/>
          <w:szCs w:val="22"/>
        </w:rPr>
        <w:t xml:space="preserve">rezistenci s </w:t>
      </w:r>
      <w:proofErr w:type="spellStart"/>
      <w:r w:rsidRPr="008B6BC2">
        <w:rPr>
          <w:sz w:val="22"/>
          <w:szCs w:val="22"/>
        </w:rPr>
        <w:t>linkomycinem</w:t>
      </w:r>
      <w:proofErr w:type="spellEnd"/>
      <w:r w:rsidRPr="008B6BC2">
        <w:rPr>
          <w:sz w:val="22"/>
          <w:szCs w:val="22"/>
        </w:rPr>
        <w:t xml:space="preserve"> a </w:t>
      </w:r>
      <w:proofErr w:type="spellStart"/>
      <w:r w:rsidRPr="008B6BC2">
        <w:rPr>
          <w:sz w:val="22"/>
          <w:szCs w:val="22"/>
        </w:rPr>
        <w:t>ko</w:t>
      </w:r>
      <w:proofErr w:type="spellEnd"/>
      <w:r w:rsidRPr="008B6BC2">
        <w:rPr>
          <w:sz w:val="22"/>
          <w:szCs w:val="22"/>
        </w:rPr>
        <w:t xml:space="preserve">-rezistenci s </w:t>
      </w:r>
      <w:proofErr w:type="spellStart"/>
      <w:r w:rsidRPr="008B6BC2">
        <w:rPr>
          <w:sz w:val="22"/>
          <w:szCs w:val="22"/>
        </w:rPr>
        <w:t>erythromycinem</w:t>
      </w:r>
      <w:proofErr w:type="spellEnd"/>
      <w:r w:rsidRPr="008B6BC2">
        <w:rPr>
          <w:sz w:val="22"/>
          <w:szCs w:val="22"/>
        </w:rPr>
        <w:t xml:space="preserve">.  Existuje částečná </w:t>
      </w:r>
      <w:r w:rsidR="006E3E5C" w:rsidRPr="003B1C84">
        <w:rPr>
          <w:sz w:val="22"/>
          <w:szCs w:val="22"/>
        </w:rPr>
        <w:t xml:space="preserve">zkřížená </w:t>
      </w:r>
      <w:r w:rsidRPr="00D751DA">
        <w:rPr>
          <w:sz w:val="22"/>
          <w:szCs w:val="22"/>
        </w:rPr>
        <w:t xml:space="preserve">rezistence </w:t>
      </w:r>
      <w:r w:rsidR="00D751DA">
        <w:rPr>
          <w:sz w:val="22"/>
          <w:szCs w:val="22"/>
        </w:rPr>
        <w:t>s</w:t>
      </w:r>
      <w:r w:rsidRPr="00D751DA">
        <w:rPr>
          <w:sz w:val="22"/>
          <w:szCs w:val="22"/>
        </w:rPr>
        <w:t xml:space="preserve"> </w:t>
      </w:r>
      <w:proofErr w:type="spellStart"/>
      <w:r w:rsidRPr="00D751DA">
        <w:rPr>
          <w:sz w:val="22"/>
          <w:szCs w:val="22"/>
        </w:rPr>
        <w:t>erythromycin</w:t>
      </w:r>
      <w:r w:rsidR="00D751DA">
        <w:rPr>
          <w:sz w:val="22"/>
          <w:szCs w:val="22"/>
        </w:rPr>
        <w:t>em</w:t>
      </w:r>
      <w:proofErr w:type="spellEnd"/>
      <w:r w:rsidRPr="00D751DA">
        <w:rPr>
          <w:sz w:val="22"/>
          <w:szCs w:val="22"/>
        </w:rPr>
        <w:t xml:space="preserve"> a jiným</w:t>
      </w:r>
      <w:r w:rsidR="00D751DA">
        <w:rPr>
          <w:sz w:val="22"/>
          <w:szCs w:val="22"/>
        </w:rPr>
        <w:t>i</w:t>
      </w:r>
      <w:r w:rsidRPr="00D751DA">
        <w:rPr>
          <w:sz w:val="22"/>
          <w:szCs w:val="22"/>
        </w:rPr>
        <w:t xml:space="preserve"> </w:t>
      </w:r>
      <w:proofErr w:type="spellStart"/>
      <w:r w:rsidRPr="00D751DA">
        <w:rPr>
          <w:sz w:val="22"/>
          <w:szCs w:val="22"/>
        </w:rPr>
        <w:t>makrolid</w:t>
      </w:r>
      <w:r w:rsidR="00D751DA">
        <w:rPr>
          <w:sz w:val="22"/>
          <w:szCs w:val="22"/>
        </w:rPr>
        <w:t>y</w:t>
      </w:r>
      <w:proofErr w:type="spellEnd"/>
      <w:r w:rsidRPr="00D751DA">
        <w:rPr>
          <w:sz w:val="22"/>
          <w:szCs w:val="22"/>
        </w:rPr>
        <w:t>.</w:t>
      </w: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  <w:rtl/>
        </w:rPr>
      </w:pPr>
      <w:r w:rsidRPr="008B6BC2">
        <w:rPr>
          <w:sz w:val="22"/>
          <w:szCs w:val="22"/>
        </w:rPr>
        <w:t xml:space="preserve">V případě podávání vysokých dávek </w:t>
      </w:r>
      <w:proofErr w:type="spellStart"/>
      <w:r w:rsidRPr="008B6BC2">
        <w:rPr>
          <w:sz w:val="22"/>
          <w:szCs w:val="22"/>
        </w:rPr>
        <w:t>klindamycinu</w:t>
      </w:r>
      <w:proofErr w:type="spellEnd"/>
      <w:r w:rsidRPr="008B6BC2">
        <w:rPr>
          <w:sz w:val="22"/>
          <w:szCs w:val="22"/>
        </w:rPr>
        <w:t xml:space="preserve"> nebo během delší léčby trvající měsíc nebo déle, je nutno pravidelně provádět testy jaterních a renálních funkcí a krevní obraz.</w:t>
      </w: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</w:rPr>
      </w:pPr>
      <w:r w:rsidRPr="008B6BC2">
        <w:rPr>
          <w:sz w:val="22"/>
          <w:szCs w:val="22"/>
        </w:rPr>
        <w:t xml:space="preserve">U psů a koček s </w:t>
      </w:r>
      <w:r w:rsidRPr="00D751DA">
        <w:rPr>
          <w:sz w:val="22"/>
          <w:szCs w:val="22"/>
        </w:rPr>
        <w:t>ledvinovými/jaterními potížemi, doprovázenými závažnými metabolickými vadami, je nutno pečlivě určit podávané dávky a monitorovat zdravotní stav prováděním testů</w:t>
      </w:r>
      <w:r w:rsidR="00D751DA">
        <w:rPr>
          <w:sz w:val="22"/>
          <w:szCs w:val="22"/>
        </w:rPr>
        <w:t xml:space="preserve"> krevního séra</w:t>
      </w:r>
      <w:r w:rsidRPr="00D751DA">
        <w:rPr>
          <w:sz w:val="22"/>
          <w:szCs w:val="22"/>
        </w:rPr>
        <w:t xml:space="preserve"> během léčby.</w:t>
      </w:r>
    </w:p>
    <w:p w:rsidR="003256FE" w:rsidRPr="00A10DC9" w:rsidRDefault="003256FE" w:rsidP="003256FE">
      <w:pPr>
        <w:rPr>
          <w:bCs/>
          <w:i/>
          <w:sz w:val="22"/>
          <w:szCs w:val="22"/>
        </w:rPr>
      </w:pPr>
      <w:r w:rsidRPr="00FE6F26">
        <w:rPr>
          <w:sz w:val="22"/>
          <w:szCs w:val="22"/>
        </w:rPr>
        <w:t>Nedoporučuje se používat tento přípravek u novorozených zvířat.</w:t>
      </w:r>
    </w:p>
    <w:p w:rsidR="003256FE" w:rsidRPr="00A10DC9" w:rsidRDefault="003256FE" w:rsidP="003B4E3A">
      <w:pPr>
        <w:tabs>
          <w:tab w:val="left" w:pos="567"/>
        </w:tabs>
        <w:rPr>
          <w:sz w:val="22"/>
          <w:szCs w:val="22"/>
          <w:rtl/>
        </w:rPr>
      </w:pP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  <w:rtl/>
        </w:rPr>
      </w:pP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  <w:rtl/>
        </w:rPr>
      </w:pPr>
      <w:r w:rsidRPr="008B6BC2">
        <w:rPr>
          <w:b/>
          <w:sz w:val="22"/>
          <w:szCs w:val="22"/>
        </w:rPr>
        <w:t>Zvlášt</w:t>
      </w:r>
      <w:r w:rsidRPr="00D751DA">
        <w:rPr>
          <w:b/>
          <w:sz w:val="22"/>
          <w:szCs w:val="22"/>
        </w:rPr>
        <w:t>ní opatření určené osobám, které podávají veterinární léčivý přípravek zvířatům</w:t>
      </w:r>
    </w:p>
    <w:p w:rsidR="008B6BC2" w:rsidRPr="003B1C84" w:rsidRDefault="008B6BC2" w:rsidP="008B6BC2">
      <w:pPr>
        <w:rPr>
          <w:sz w:val="22"/>
          <w:szCs w:val="22"/>
        </w:rPr>
      </w:pPr>
      <w:r w:rsidRPr="003B1C84">
        <w:rPr>
          <w:sz w:val="22"/>
          <w:szCs w:val="22"/>
        </w:rPr>
        <w:t xml:space="preserve">Po podání </w:t>
      </w:r>
      <w:r>
        <w:rPr>
          <w:sz w:val="22"/>
          <w:szCs w:val="22"/>
        </w:rPr>
        <w:t xml:space="preserve">si </w:t>
      </w:r>
      <w:r w:rsidRPr="003B1C84">
        <w:rPr>
          <w:sz w:val="22"/>
          <w:szCs w:val="22"/>
        </w:rPr>
        <w:t>um</w:t>
      </w:r>
      <w:r>
        <w:rPr>
          <w:sz w:val="22"/>
          <w:szCs w:val="22"/>
        </w:rPr>
        <w:t>yjte</w:t>
      </w:r>
      <w:r w:rsidRPr="003B1C84">
        <w:rPr>
          <w:sz w:val="22"/>
          <w:szCs w:val="22"/>
        </w:rPr>
        <w:t xml:space="preserve"> ruce.  </w:t>
      </w:r>
    </w:p>
    <w:p w:rsidR="008B6BC2" w:rsidRPr="003B1C84" w:rsidRDefault="008B6BC2" w:rsidP="008B6BC2">
      <w:pPr>
        <w:rPr>
          <w:sz w:val="22"/>
          <w:szCs w:val="22"/>
        </w:rPr>
      </w:pPr>
      <w:r>
        <w:rPr>
          <w:sz w:val="22"/>
          <w:szCs w:val="22"/>
        </w:rPr>
        <w:t>Lidé</w:t>
      </w:r>
      <w:r w:rsidRPr="003B1C84">
        <w:rPr>
          <w:sz w:val="22"/>
          <w:szCs w:val="22"/>
        </w:rPr>
        <w:t xml:space="preserve"> se známou přecitlivělostí na </w:t>
      </w:r>
      <w:proofErr w:type="spellStart"/>
      <w:r w:rsidRPr="003B1C84">
        <w:rPr>
          <w:sz w:val="22"/>
          <w:szCs w:val="22"/>
        </w:rPr>
        <w:t>lincosamidy</w:t>
      </w:r>
      <w:proofErr w:type="spellEnd"/>
      <w:r w:rsidRPr="003B1C84">
        <w:rPr>
          <w:sz w:val="22"/>
          <w:szCs w:val="22"/>
        </w:rPr>
        <w:t xml:space="preserve"> (</w:t>
      </w:r>
      <w:proofErr w:type="spellStart"/>
      <w:r w:rsidRPr="003B1C84">
        <w:rPr>
          <w:sz w:val="22"/>
          <w:szCs w:val="22"/>
        </w:rPr>
        <w:t>linkomycin</w:t>
      </w:r>
      <w:proofErr w:type="spellEnd"/>
      <w:r w:rsidRPr="003B1C84">
        <w:rPr>
          <w:sz w:val="22"/>
          <w:szCs w:val="22"/>
        </w:rPr>
        <w:t xml:space="preserve"> a </w:t>
      </w:r>
      <w:proofErr w:type="spellStart"/>
      <w:r w:rsidRPr="003B1C84">
        <w:rPr>
          <w:sz w:val="22"/>
          <w:szCs w:val="22"/>
        </w:rPr>
        <w:t>klindamycin</w:t>
      </w:r>
      <w:proofErr w:type="spellEnd"/>
      <w:r w:rsidRPr="003B1C84">
        <w:rPr>
          <w:sz w:val="22"/>
          <w:szCs w:val="22"/>
        </w:rPr>
        <w:t>) by se měl</w:t>
      </w:r>
      <w:r>
        <w:rPr>
          <w:sz w:val="22"/>
          <w:szCs w:val="22"/>
        </w:rPr>
        <w:t>i</w:t>
      </w:r>
      <w:r w:rsidRPr="003B1C84">
        <w:rPr>
          <w:sz w:val="22"/>
          <w:szCs w:val="22"/>
        </w:rPr>
        <w:t xml:space="preserve"> vyhnout kontaktu s veterinárním léčivým přípravkem.</w:t>
      </w:r>
    </w:p>
    <w:p w:rsidR="008B6BC2" w:rsidRPr="003B1C84" w:rsidRDefault="008B6BC2" w:rsidP="008B6BC2">
      <w:pPr>
        <w:tabs>
          <w:tab w:val="left" w:pos="720"/>
        </w:tabs>
        <w:ind w:hanging="1440"/>
        <w:rPr>
          <w:sz w:val="22"/>
          <w:szCs w:val="22"/>
        </w:rPr>
      </w:pPr>
      <w:r w:rsidRPr="00AD4EB5">
        <w:rPr>
          <w:sz w:val="22"/>
          <w:szCs w:val="22"/>
        </w:rPr>
        <w:tab/>
      </w:r>
      <w:r w:rsidRPr="003B1C84">
        <w:rPr>
          <w:sz w:val="22"/>
          <w:szCs w:val="22"/>
        </w:rPr>
        <w:t>V případě náhodného po</w:t>
      </w:r>
      <w:r>
        <w:rPr>
          <w:sz w:val="22"/>
          <w:szCs w:val="22"/>
        </w:rPr>
        <w:t xml:space="preserve">zření </w:t>
      </w:r>
      <w:r w:rsidRPr="003B1C84">
        <w:rPr>
          <w:sz w:val="22"/>
          <w:szCs w:val="22"/>
        </w:rPr>
        <w:t>vyhledejte ihned lékařskou pomoc a ukažte příbalov</w:t>
      </w:r>
      <w:r>
        <w:rPr>
          <w:sz w:val="22"/>
          <w:szCs w:val="22"/>
        </w:rPr>
        <w:t xml:space="preserve">ou informaci nebo etiketu praktickému lékaři. 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ind w:left="567" w:hanging="567"/>
        <w:jc w:val="both"/>
        <w:rPr>
          <w:sz w:val="22"/>
          <w:szCs w:val="22"/>
        </w:rPr>
      </w:pPr>
      <w:r w:rsidRPr="008B6BC2">
        <w:rPr>
          <w:b/>
          <w:sz w:val="22"/>
          <w:szCs w:val="22"/>
        </w:rPr>
        <w:t>Použití v průběhu březosti, laktace nebo snášky</w:t>
      </w:r>
    </w:p>
    <w:p w:rsidR="00883377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 w:rsidRPr="008B6BC2">
        <w:rPr>
          <w:sz w:val="22"/>
          <w:szCs w:val="22"/>
        </w:rPr>
        <w:t>Přestože studie s vysokými dávkami u potkanů nasvědčují tomu, že klindamycin není teratogen a ne</w:t>
      </w:r>
      <w:r w:rsidRPr="00D751DA">
        <w:rPr>
          <w:sz w:val="22"/>
          <w:szCs w:val="22"/>
        </w:rPr>
        <w:t>má významný vliv na chovné schopnosti samců ani samic, bezpečnost tohoto veterinárního léčivého přípravku u březích fen/koček nebo chovných psů/kocourů ne</w:t>
      </w:r>
      <w:r w:rsidRPr="00FE6F26">
        <w:rPr>
          <w:sz w:val="22"/>
          <w:szCs w:val="22"/>
        </w:rPr>
        <w:t xml:space="preserve">byla stanovena. </w:t>
      </w:r>
    </w:p>
    <w:p w:rsidR="003B4E3A" w:rsidRPr="00A10DC9" w:rsidRDefault="007B2E99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 w:rsidRPr="00DB0A80">
        <w:rPr>
          <w:sz w:val="22"/>
          <w:szCs w:val="22"/>
        </w:rPr>
        <w:t>Použít pouze po zvážení poměru terapeutického prospěchu a rizika příslušným veterinárním lékařem</w:t>
      </w:r>
      <w:r w:rsidRPr="003B1C84">
        <w:rPr>
          <w:sz w:val="22"/>
          <w:szCs w:val="22"/>
        </w:rPr>
        <w:t>.</w:t>
      </w:r>
      <w:r w:rsidRPr="003B1C84" w:rsidDel="00F3751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 w:rsidR="003B4E3A" w:rsidRPr="00D751DA">
        <w:rPr>
          <w:sz w:val="22"/>
          <w:szCs w:val="22"/>
        </w:rPr>
        <w:t>lindamycin</w:t>
      </w:r>
      <w:proofErr w:type="spellEnd"/>
      <w:r w:rsidR="003B4E3A" w:rsidRPr="00D751DA">
        <w:rPr>
          <w:sz w:val="22"/>
          <w:szCs w:val="22"/>
        </w:rPr>
        <w:t xml:space="preserve"> může přecházet z krve do mléka. V důsledku toho může léčba laktujících samic způsobit průjem u štěňat a koťat.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</w:p>
    <w:p w:rsidR="00883377" w:rsidRPr="00A10DC9" w:rsidRDefault="00883377" w:rsidP="003B4E3A">
      <w:pPr>
        <w:tabs>
          <w:tab w:val="left" w:pos="567"/>
        </w:tabs>
        <w:spacing w:line="260" w:lineRule="exact"/>
        <w:ind w:left="567" w:hanging="567"/>
        <w:jc w:val="both"/>
        <w:rPr>
          <w:b/>
          <w:bCs/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ind w:left="567" w:hanging="567"/>
        <w:jc w:val="both"/>
        <w:rPr>
          <w:sz w:val="22"/>
          <w:szCs w:val="22"/>
        </w:rPr>
      </w:pPr>
      <w:r w:rsidRPr="008B6BC2">
        <w:rPr>
          <w:b/>
          <w:sz w:val="22"/>
          <w:szCs w:val="22"/>
        </w:rPr>
        <w:t xml:space="preserve">Interakce s dalšími léčivými </w:t>
      </w:r>
      <w:r w:rsidRPr="00D751DA">
        <w:rPr>
          <w:b/>
          <w:sz w:val="22"/>
          <w:szCs w:val="22"/>
        </w:rPr>
        <w:t>přípravky a další formy interakce</w:t>
      </w:r>
    </w:p>
    <w:p w:rsidR="003256FE" w:rsidRPr="00A10DC9" w:rsidDel="00E07D4B" w:rsidRDefault="003256FE" w:rsidP="00FE6F26">
      <w:pPr>
        <w:numPr>
          <w:ilvl w:val="0"/>
          <w:numId w:val="10"/>
        </w:numPr>
        <w:tabs>
          <w:tab w:val="left" w:pos="567"/>
        </w:tabs>
        <w:spacing w:line="260" w:lineRule="exact"/>
        <w:ind w:left="567" w:hanging="117"/>
        <w:jc w:val="both"/>
        <w:rPr>
          <w:sz w:val="22"/>
          <w:szCs w:val="22"/>
        </w:rPr>
      </w:pPr>
      <w:r w:rsidRPr="008B6BC2">
        <w:rPr>
          <w:sz w:val="22"/>
          <w:szCs w:val="22"/>
        </w:rPr>
        <w:t xml:space="preserve">Soli a hydroxidy hliníku, kaolin a </w:t>
      </w:r>
      <w:proofErr w:type="spellStart"/>
      <w:r w:rsidRPr="008B6BC2">
        <w:rPr>
          <w:sz w:val="22"/>
          <w:szCs w:val="22"/>
        </w:rPr>
        <w:t>hlinito</w:t>
      </w:r>
      <w:proofErr w:type="spellEnd"/>
      <w:r w:rsidRPr="008B6BC2">
        <w:rPr>
          <w:sz w:val="22"/>
          <w:szCs w:val="22"/>
        </w:rPr>
        <w:t>-</w:t>
      </w:r>
      <w:proofErr w:type="spellStart"/>
      <w:r w:rsidRPr="008B6BC2">
        <w:rPr>
          <w:sz w:val="22"/>
          <w:szCs w:val="22"/>
        </w:rPr>
        <w:t>hořečnato</w:t>
      </w:r>
      <w:proofErr w:type="spellEnd"/>
      <w:r w:rsidRPr="008B6BC2">
        <w:rPr>
          <w:sz w:val="22"/>
          <w:szCs w:val="22"/>
        </w:rPr>
        <w:t>-křemičitanový komplex mohou snížit</w:t>
      </w:r>
      <w:r w:rsidR="00D751DA">
        <w:rPr>
          <w:sz w:val="22"/>
          <w:szCs w:val="22"/>
        </w:rPr>
        <w:t xml:space="preserve"> </w:t>
      </w:r>
      <w:r w:rsidRPr="00FE6F26">
        <w:rPr>
          <w:sz w:val="22"/>
          <w:szCs w:val="22"/>
        </w:rPr>
        <w:t xml:space="preserve">vstřebávání trávicím traktem. Tyto digestivní přípravky je nutno podávat nejméně 2 hodiny před </w:t>
      </w:r>
      <w:proofErr w:type="spellStart"/>
      <w:r w:rsidRPr="00FE6F26">
        <w:rPr>
          <w:sz w:val="22"/>
          <w:szCs w:val="22"/>
        </w:rPr>
        <w:t>klindamycinem</w:t>
      </w:r>
      <w:proofErr w:type="spellEnd"/>
      <w:r w:rsidRPr="00FE6F26">
        <w:rPr>
          <w:sz w:val="22"/>
          <w:szCs w:val="22"/>
        </w:rPr>
        <w:t>.</w:t>
      </w:r>
    </w:p>
    <w:p w:rsidR="003256FE" w:rsidRPr="00A10DC9" w:rsidDel="00E07D4B" w:rsidRDefault="003256FE" w:rsidP="00FE6F26">
      <w:pPr>
        <w:numPr>
          <w:ilvl w:val="0"/>
          <w:numId w:val="10"/>
        </w:numPr>
        <w:tabs>
          <w:tab w:val="left" w:pos="567"/>
        </w:tabs>
        <w:spacing w:line="260" w:lineRule="exact"/>
        <w:ind w:left="567" w:hanging="117"/>
        <w:jc w:val="both"/>
        <w:rPr>
          <w:sz w:val="22"/>
          <w:szCs w:val="22"/>
        </w:rPr>
      </w:pPr>
      <w:r w:rsidRPr="008B6BC2">
        <w:rPr>
          <w:sz w:val="22"/>
          <w:szCs w:val="22"/>
        </w:rPr>
        <w:t>Cyklosporin: klindamycin</w:t>
      </w:r>
      <w:r w:rsidRPr="00D751DA">
        <w:rPr>
          <w:sz w:val="22"/>
          <w:szCs w:val="22"/>
        </w:rPr>
        <w:t xml:space="preserve"> může snižovat hladiny tohoto imunosupresivního léku s rizikem ztráty účinnosti.</w:t>
      </w:r>
    </w:p>
    <w:p w:rsidR="003256FE" w:rsidRPr="00A10DC9" w:rsidRDefault="003256FE" w:rsidP="003256FE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</w:p>
    <w:p w:rsidR="003256FE" w:rsidRPr="00A10DC9" w:rsidRDefault="003256FE" w:rsidP="00FE6F26">
      <w:pPr>
        <w:numPr>
          <w:ilvl w:val="0"/>
          <w:numId w:val="10"/>
        </w:numPr>
        <w:tabs>
          <w:tab w:val="left" w:pos="567"/>
        </w:tabs>
        <w:spacing w:line="260" w:lineRule="exact"/>
        <w:ind w:left="567" w:hanging="117"/>
        <w:jc w:val="both"/>
        <w:rPr>
          <w:sz w:val="22"/>
          <w:szCs w:val="22"/>
        </w:rPr>
      </w:pPr>
      <w:r w:rsidRPr="008B6BC2">
        <w:rPr>
          <w:sz w:val="22"/>
          <w:szCs w:val="22"/>
        </w:rPr>
        <w:t xml:space="preserve">Neuromuskulární blokátory: </w:t>
      </w:r>
      <w:proofErr w:type="spellStart"/>
      <w:r w:rsidR="005D5A9B">
        <w:rPr>
          <w:sz w:val="22"/>
          <w:szCs w:val="22"/>
        </w:rPr>
        <w:t>k</w:t>
      </w:r>
      <w:r w:rsidRPr="00D751DA">
        <w:rPr>
          <w:sz w:val="22"/>
          <w:szCs w:val="22"/>
        </w:rPr>
        <w:t>lindamycin</w:t>
      </w:r>
      <w:proofErr w:type="spellEnd"/>
      <w:r w:rsidRPr="00D751DA">
        <w:rPr>
          <w:sz w:val="22"/>
          <w:szCs w:val="22"/>
        </w:rPr>
        <w:t xml:space="preserve"> sám o sobě vykazuje blokující neuromuskulární činnost a při použití s jinými neuromuskulárními blokátory (kurare) je nutná opatrnost. Klindamycin může zvyšovat neuromuskulární blokádu.</w:t>
      </w:r>
    </w:p>
    <w:p w:rsidR="003256FE" w:rsidRPr="00A10DC9" w:rsidRDefault="003256FE" w:rsidP="003256FE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</w:p>
    <w:p w:rsidR="00E33219" w:rsidRPr="00A10DC9" w:rsidRDefault="00E33219" w:rsidP="00FE6F26">
      <w:pPr>
        <w:numPr>
          <w:ilvl w:val="0"/>
          <w:numId w:val="10"/>
        </w:numPr>
        <w:tabs>
          <w:tab w:val="left" w:pos="567"/>
        </w:tabs>
        <w:spacing w:line="260" w:lineRule="exact"/>
        <w:ind w:left="567" w:hanging="117"/>
        <w:jc w:val="both"/>
        <w:rPr>
          <w:sz w:val="22"/>
          <w:szCs w:val="22"/>
        </w:rPr>
      </w:pPr>
      <w:r w:rsidRPr="008B6BC2">
        <w:rPr>
          <w:sz w:val="22"/>
          <w:szCs w:val="22"/>
        </w:rPr>
        <w:t xml:space="preserve">Nepoužívejte klindamycin současně s chloramfenikolem nebo </w:t>
      </w:r>
      <w:proofErr w:type="spellStart"/>
      <w:r w:rsidRPr="008B6BC2">
        <w:rPr>
          <w:sz w:val="22"/>
          <w:szCs w:val="22"/>
        </w:rPr>
        <w:t>makrolidy</w:t>
      </w:r>
      <w:proofErr w:type="spellEnd"/>
      <w:r w:rsidR="005D5A9B">
        <w:rPr>
          <w:sz w:val="22"/>
          <w:szCs w:val="22"/>
        </w:rPr>
        <w:t xml:space="preserve"> </w:t>
      </w:r>
      <w:r w:rsidR="005D5A9B" w:rsidRPr="00FE6F26">
        <w:rPr>
          <w:sz w:val="22"/>
          <w:szCs w:val="22"/>
        </w:rPr>
        <w:t>(</w:t>
      </w:r>
      <w:proofErr w:type="spellStart"/>
      <w:r w:rsidR="005D5A9B" w:rsidRPr="00FE6F26">
        <w:rPr>
          <w:sz w:val="22"/>
          <w:szCs w:val="22"/>
        </w:rPr>
        <w:t>erythromycin</w:t>
      </w:r>
      <w:proofErr w:type="spellEnd"/>
      <w:r w:rsidR="005D5A9B" w:rsidRPr="00FE6F26">
        <w:rPr>
          <w:sz w:val="22"/>
          <w:szCs w:val="22"/>
        </w:rPr>
        <w:t>)</w:t>
      </w:r>
      <w:r w:rsidRPr="008B6BC2">
        <w:rPr>
          <w:sz w:val="22"/>
          <w:szCs w:val="22"/>
        </w:rPr>
        <w:t xml:space="preserve">, protože </w:t>
      </w:r>
      <w:r w:rsidR="005D5A9B">
        <w:rPr>
          <w:sz w:val="22"/>
          <w:szCs w:val="22"/>
        </w:rPr>
        <w:t xml:space="preserve">může dojít k rozvinutí </w:t>
      </w:r>
      <w:proofErr w:type="spellStart"/>
      <w:r w:rsidRPr="00D751DA">
        <w:rPr>
          <w:sz w:val="22"/>
          <w:szCs w:val="22"/>
        </w:rPr>
        <w:t>antagonistnick</w:t>
      </w:r>
      <w:r w:rsidR="005D5A9B">
        <w:rPr>
          <w:sz w:val="22"/>
          <w:szCs w:val="22"/>
        </w:rPr>
        <w:t>ých</w:t>
      </w:r>
      <w:proofErr w:type="spellEnd"/>
      <w:r w:rsidRPr="00D751DA">
        <w:rPr>
          <w:sz w:val="22"/>
          <w:szCs w:val="22"/>
        </w:rPr>
        <w:t xml:space="preserve"> účink</w:t>
      </w:r>
      <w:r w:rsidR="005D5A9B">
        <w:rPr>
          <w:sz w:val="22"/>
          <w:szCs w:val="22"/>
        </w:rPr>
        <w:t>ů</w:t>
      </w:r>
      <w:r w:rsidRPr="00D751DA">
        <w:rPr>
          <w:sz w:val="22"/>
          <w:szCs w:val="22"/>
        </w:rPr>
        <w:t>.</w:t>
      </w:r>
    </w:p>
    <w:p w:rsidR="00E33219" w:rsidRPr="00A10DC9" w:rsidRDefault="00E33219" w:rsidP="005843AA">
      <w:pPr>
        <w:pStyle w:val="Odstavecseseznamem"/>
        <w:rPr>
          <w:sz w:val="22"/>
          <w:szCs w:val="22"/>
        </w:rPr>
      </w:pPr>
    </w:p>
    <w:p w:rsidR="003256FE" w:rsidRPr="00A10DC9" w:rsidRDefault="003256FE" w:rsidP="00FE6F26">
      <w:pPr>
        <w:numPr>
          <w:ilvl w:val="0"/>
          <w:numId w:val="10"/>
        </w:numPr>
        <w:tabs>
          <w:tab w:val="left" w:pos="567"/>
        </w:tabs>
        <w:spacing w:line="260" w:lineRule="exact"/>
        <w:ind w:left="567" w:hanging="117"/>
        <w:jc w:val="both"/>
        <w:rPr>
          <w:sz w:val="22"/>
          <w:szCs w:val="22"/>
        </w:rPr>
      </w:pPr>
      <w:r w:rsidRPr="008B6BC2">
        <w:rPr>
          <w:sz w:val="22"/>
          <w:szCs w:val="22"/>
        </w:rPr>
        <w:lastRenderedPageBreak/>
        <w:t xml:space="preserve">Při současném použití </w:t>
      </w:r>
      <w:proofErr w:type="spellStart"/>
      <w:r w:rsidRPr="008B6BC2">
        <w:rPr>
          <w:sz w:val="22"/>
          <w:szCs w:val="22"/>
        </w:rPr>
        <w:t>klindamycinu</w:t>
      </w:r>
      <w:proofErr w:type="spellEnd"/>
      <w:r w:rsidRPr="00D751DA">
        <w:rPr>
          <w:sz w:val="22"/>
          <w:szCs w:val="22"/>
        </w:rPr>
        <w:t xml:space="preserve"> a aminoglykosidů (tj. </w:t>
      </w:r>
      <w:proofErr w:type="spellStart"/>
      <w:r w:rsidRPr="00D751DA">
        <w:rPr>
          <w:sz w:val="22"/>
          <w:szCs w:val="22"/>
        </w:rPr>
        <w:t>gentam</w:t>
      </w:r>
      <w:r w:rsidR="00D751DA">
        <w:rPr>
          <w:sz w:val="22"/>
          <w:szCs w:val="22"/>
        </w:rPr>
        <w:t>i</w:t>
      </w:r>
      <w:r w:rsidRPr="00D751DA">
        <w:rPr>
          <w:sz w:val="22"/>
          <w:szCs w:val="22"/>
        </w:rPr>
        <w:t>cinu</w:t>
      </w:r>
      <w:proofErr w:type="spellEnd"/>
      <w:r w:rsidRPr="00D751DA">
        <w:rPr>
          <w:sz w:val="22"/>
          <w:szCs w:val="22"/>
        </w:rPr>
        <w:t>) nelze vyloučit riziko nežádoucích interakcí (aku</w:t>
      </w:r>
      <w:r w:rsidRPr="00FE6F26">
        <w:rPr>
          <w:sz w:val="22"/>
          <w:szCs w:val="22"/>
        </w:rPr>
        <w:t xml:space="preserve">tní selhání ledvin). 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b/>
          <w:bCs/>
          <w:sz w:val="22"/>
          <w:szCs w:val="22"/>
        </w:rPr>
      </w:pPr>
      <w:r w:rsidRPr="008B6BC2">
        <w:rPr>
          <w:b/>
          <w:sz w:val="22"/>
          <w:szCs w:val="22"/>
        </w:rPr>
        <w:t xml:space="preserve">Předávkování (symptomy, první pomoc, </w:t>
      </w:r>
      <w:proofErr w:type="spellStart"/>
      <w:r w:rsidRPr="008B6BC2">
        <w:rPr>
          <w:b/>
          <w:sz w:val="22"/>
          <w:szCs w:val="22"/>
        </w:rPr>
        <w:t>antidota</w:t>
      </w:r>
      <w:proofErr w:type="spellEnd"/>
      <w:r w:rsidRPr="008B6BC2">
        <w:rPr>
          <w:b/>
          <w:sz w:val="22"/>
          <w:szCs w:val="22"/>
        </w:rPr>
        <w:t>)</w:t>
      </w:r>
      <w:r w:rsidR="00FE6F26">
        <w:rPr>
          <w:b/>
          <w:sz w:val="22"/>
          <w:szCs w:val="22"/>
        </w:rPr>
        <w:t>,</w:t>
      </w:r>
      <w:r w:rsidRPr="008B6BC2">
        <w:rPr>
          <w:b/>
          <w:sz w:val="22"/>
          <w:szCs w:val="22"/>
        </w:rPr>
        <w:t xml:space="preserve"> (v případě potřeby)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  <w:rtl/>
        </w:rPr>
      </w:pPr>
      <w:r w:rsidRPr="008B6BC2">
        <w:rPr>
          <w:sz w:val="22"/>
          <w:szCs w:val="22"/>
        </w:rPr>
        <w:t>U psů byla bez nežádoucích účinků tolerována dávka 300 mg/kg. Občas bylo pozorován</w:t>
      </w:r>
      <w:r w:rsidRPr="00D751DA">
        <w:rPr>
          <w:sz w:val="22"/>
          <w:szCs w:val="22"/>
        </w:rPr>
        <w:t xml:space="preserve">o zvracení, ztráta chuti k </w:t>
      </w:r>
      <w:r w:rsidR="005D5A9B" w:rsidRPr="003B1C84">
        <w:rPr>
          <w:sz w:val="22"/>
          <w:szCs w:val="22"/>
        </w:rPr>
        <w:t>příjmu potravy</w:t>
      </w:r>
      <w:r w:rsidRPr="00D751DA">
        <w:rPr>
          <w:sz w:val="22"/>
          <w:szCs w:val="22"/>
        </w:rPr>
        <w:t>, průjem, leukocytóza a zvýšení jaterních enzymů (AST, ALT). V těchto případech je nutno okamžitě vysadit léčbu a zavést symptomatickou léčbu.</w:t>
      </w:r>
    </w:p>
    <w:p w:rsidR="003B4E3A" w:rsidRPr="00A10DC9" w:rsidRDefault="003B4E3A" w:rsidP="003B4E3A">
      <w:pPr>
        <w:tabs>
          <w:tab w:val="left" w:pos="567"/>
        </w:tabs>
        <w:spacing w:line="260" w:lineRule="exact"/>
        <w:ind w:left="567" w:hanging="567"/>
        <w:jc w:val="both"/>
        <w:rPr>
          <w:b/>
          <w:bCs/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spacing w:line="260" w:lineRule="exact"/>
        <w:ind w:left="567" w:hanging="567"/>
        <w:jc w:val="both"/>
        <w:rPr>
          <w:sz w:val="22"/>
          <w:szCs w:val="22"/>
        </w:rPr>
      </w:pPr>
      <w:r w:rsidRPr="008B6BC2">
        <w:rPr>
          <w:b/>
          <w:sz w:val="22"/>
          <w:szCs w:val="22"/>
        </w:rPr>
        <w:t>Inkompatibility</w:t>
      </w:r>
    </w:p>
    <w:p w:rsidR="003B4E3A" w:rsidRPr="00A10DC9" w:rsidRDefault="00AB6AA2" w:rsidP="003B4E3A">
      <w:pPr>
        <w:tabs>
          <w:tab w:val="left" w:pos="567"/>
        </w:tabs>
        <w:spacing w:line="260" w:lineRule="exact"/>
        <w:jc w:val="both"/>
        <w:rPr>
          <w:sz w:val="22"/>
          <w:szCs w:val="22"/>
        </w:rPr>
      </w:pPr>
      <w:r w:rsidRPr="008B6BC2">
        <w:rPr>
          <w:sz w:val="22"/>
          <w:szCs w:val="22"/>
        </w:rPr>
        <w:t>Tento veterinární léčivý přípravek nesmí být mísen</w:t>
      </w:r>
      <w:r w:rsidRPr="00D751DA">
        <w:rPr>
          <w:sz w:val="22"/>
          <w:szCs w:val="22"/>
        </w:rPr>
        <w:t xml:space="preserve"> s žádnými dalšími veterinárními léčivými přípravky.</w:t>
      </w:r>
    </w:p>
    <w:p w:rsidR="003B4E3A" w:rsidRPr="00A10DC9" w:rsidRDefault="003B4E3A" w:rsidP="003B4E3A">
      <w:pPr>
        <w:tabs>
          <w:tab w:val="left" w:pos="567"/>
        </w:tabs>
        <w:ind w:left="567" w:hanging="567"/>
        <w:rPr>
          <w:b/>
          <w:bCs/>
          <w:sz w:val="22"/>
          <w:szCs w:val="22"/>
        </w:rPr>
      </w:pPr>
    </w:p>
    <w:p w:rsidR="003B4E3A" w:rsidRPr="00A10DC9" w:rsidRDefault="003B4E3A" w:rsidP="003B79E2">
      <w:pPr>
        <w:tabs>
          <w:tab w:val="left" w:pos="567"/>
        </w:tabs>
        <w:ind w:left="567" w:hanging="567"/>
        <w:rPr>
          <w:sz w:val="22"/>
          <w:szCs w:val="22"/>
        </w:rPr>
      </w:pPr>
      <w:r w:rsidRPr="008B6BC2">
        <w:rPr>
          <w:b/>
          <w:sz w:val="22"/>
          <w:szCs w:val="22"/>
        </w:rPr>
        <w:t>13.</w:t>
      </w:r>
      <w:r w:rsidRPr="00FE6F26">
        <w:rPr>
          <w:sz w:val="22"/>
          <w:szCs w:val="22"/>
        </w:rPr>
        <w:tab/>
      </w:r>
      <w:r w:rsidR="003B79E2" w:rsidRPr="00FE6F26">
        <w:rPr>
          <w:b/>
          <w:sz w:val="22"/>
          <w:szCs w:val="22"/>
        </w:rPr>
        <w:t xml:space="preserve">ZVLÁŠTNÍ OPATŘENÍ PRO ZNEŠKODŇOVÁNÍ NEPOUŽITÝCH PŘÍPRAVKŮ NEBO ODPADU, POKUD JE JICH TŘEBA </w:t>
      </w:r>
    </w:p>
    <w:p w:rsidR="0026116E" w:rsidRPr="00A10DC9" w:rsidRDefault="0026116E" w:rsidP="0026116E">
      <w:pPr>
        <w:rPr>
          <w:sz w:val="22"/>
          <w:szCs w:val="22"/>
        </w:rPr>
      </w:pPr>
      <w:r w:rsidRPr="008B6BC2">
        <w:rPr>
          <w:sz w:val="22"/>
          <w:szCs w:val="22"/>
        </w:rPr>
        <w:t>O možnostech likvidace nepotřebných léčivých přípravků se poraďte s</w:t>
      </w:r>
      <w:r w:rsidR="008B6BC2">
        <w:rPr>
          <w:sz w:val="22"/>
          <w:szCs w:val="22"/>
        </w:rPr>
        <w:t xml:space="preserve"> vaším </w:t>
      </w:r>
      <w:r w:rsidRPr="008B6BC2">
        <w:rPr>
          <w:sz w:val="22"/>
          <w:szCs w:val="22"/>
        </w:rPr>
        <w:t xml:space="preserve">veterinárním lékařem. Tato opatření </w:t>
      </w:r>
      <w:r w:rsidR="008B6BC2">
        <w:rPr>
          <w:sz w:val="22"/>
          <w:szCs w:val="22"/>
        </w:rPr>
        <w:t>na</w:t>
      </w:r>
      <w:r w:rsidRPr="008B6BC2">
        <w:rPr>
          <w:sz w:val="22"/>
          <w:szCs w:val="22"/>
        </w:rPr>
        <w:t>pomáhají chránit životní prostředí.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ind w:hanging="567"/>
        <w:rPr>
          <w:sz w:val="22"/>
          <w:szCs w:val="22"/>
        </w:rPr>
      </w:pP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14.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DATUM POSLEDNÍ REVIZE PŘÍBALOVÉ</w:t>
      </w:r>
      <w:r w:rsidRPr="00D751DA">
        <w:rPr>
          <w:b/>
          <w:sz w:val="22"/>
          <w:szCs w:val="22"/>
        </w:rPr>
        <w:t xml:space="preserve"> </w:t>
      </w:r>
      <w:r w:rsidR="003B79E2" w:rsidRPr="00D751DA">
        <w:rPr>
          <w:b/>
          <w:sz w:val="22"/>
          <w:szCs w:val="22"/>
        </w:rPr>
        <w:t>INFORMACE</w:t>
      </w:r>
    </w:p>
    <w:p w:rsidR="003B4E3A" w:rsidRPr="00A10DC9" w:rsidRDefault="003B4E3A" w:rsidP="003B4E3A">
      <w:pPr>
        <w:rPr>
          <w:sz w:val="22"/>
          <w:szCs w:val="22"/>
        </w:rPr>
      </w:pPr>
    </w:p>
    <w:p w:rsidR="003B4E3A" w:rsidRPr="00A10DC9" w:rsidRDefault="004B0D2F" w:rsidP="003B4E3A">
      <w:pPr>
        <w:rPr>
          <w:sz w:val="22"/>
          <w:szCs w:val="22"/>
        </w:rPr>
      </w:pPr>
      <w:r>
        <w:rPr>
          <w:sz w:val="22"/>
          <w:szCs w:val="22"/>
        </w:rPr>
        <w:t>Duben</w:t>
      </w:r>
      <w:bookmarkStart w:id="0" w:name="_GoBack"/>
      <w:bookmarkEnd w:id="0"/>
      <w:r w:rsidR="003B79E2" w:rsidRPr="00D751DA">
        <w:rPr>
          <w:sz w:val="22"/>
          <w:szCs w:val="22"/>
        </w:rPr>
        <w:t xml:space="preserve"> 2017</w:t>
      </w:r>
    </w:p>
    <w:p w:rsidR="003B4E3A" w:rsidRPr="00A10DC9" w:rsidRDefault="003B4E3A" w:rsidP="003B4E3A">
      <w:pPr>
        <w:tabs>
          <w:tab w:val="left" w:pos="567"/>
        </w:tabs>
        <w:ind w:hanging="567"/>
        <w:rPr>
          <w:b/>
          <w:bCs/>
          <w:sz w:val="22"/>
          <w:szCs w:val="22"/>
        </w:rPr>
      </w:pPr>
    </w:p>
    <w:p w:rsidR="003B4E3A" w:rsidRPr="00A10DC9" w:rsidRDefault="003B4E3A" w:rsidP="003B4E3A">
      <w:pPr>
        <w:tabs>
          <w:tab w:val="left" w:pos="567"/>
        </w:tabs>
        <w:ind w:hanging="567"/>
        <w:rPr>
          <w:b/>
          <w:bCs/>
          <w:sz w:val="22"/>
          <w:szCs w:val="22"/>
        </w:rPr>
      </w:pPr>
      <w:r w:rsidRPr="00FE6F26">
        <w:rPr>
          <w:sz w:val="22"/>
          <w:szCs w:val="22"/>
        </w:rPr>
        <w:tab/>
      </w:r>
    </w:p>
    <w:p w:rsidR="003B4E3A" w:rsidRPr="00A10DC9" w:rsidRDefault="003B4E3A" w:rsidP="003B4E3A">
      <w:pPr>
        <w:tabs>
          <w:tab w:val="left" w:pos="567"/>
        </w:tabs>
        <w:ind w:hanging="567"/>
        <w:rPr>
          <w:sz w:val="22"/>
          <w:szCs w:val="22"/>
        </w:rPr>
      </w:pP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15.</w:t>
      </w: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DALŠÍ INFORMACE</w:t>
      </w:r>
    </w:p>
    <w:p w:rsidR="003B4E3A" w:rsidRPr="00A10DC9" w:rsidRDefault="003B4E3A" w:rsidP="003B4E3A">
      <w:pPr>
        <w:tabs>
          <w:tab w:val="left" w:pos="567"/>
        </w:tabs>
        <w:rPr>
          <w:b/>
          <w:bCs/>
          <w:sz w:val="22"/>
          <w:szCs w:val="22"/>
        </w:rPr>
      </w:pPr>
      <w:r w:rsidRPr="00FE6F26">
        <w:rPr>
          <w:sz w:val="22"/>
          <w:szCs w:val="22"/>
        </w:rPr>
        <w:tab/>
      </w:r>
    </w:p>
    <w:p w:rsidR="003B4E3A" w:rsidRPr="00A10DC9" w:rsidRDefault="003B4E3A" w:rsidP="003B4E3A">
      <w:pPr>
        <w:tabs>
          <w:tab w:val="left" w:pos="567"/>
        </w:tabs>
        <w:rPr>
          <w:b/>
          <w:bCs/>
          <w:sz w:val="22"/>
          <w:szCs w:val="22"/>
        </w:rPr>
      </w:pPr>
      <w:r w:rsidRPr="00FE6F26">
        <w:rPr>
          <w:sz w:val="22"/>
          <w:szCs w:val="22"/>
        </w:rPr>
        <w:tab/>
      </w:r>
      <w:r w:rsidRPr="008B6BC2">
        <w:rPr>
          <w:b/>
          <w:sz w:val="22"/>
          <w:szCs w:val="22"/>
        </w:rPr>
        <w:t>Velikost balení:</w:t>
      </w: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</w:rPr>
      </w:pPr>
      <w:r w:rsidRPr="00FE6F26">
        <w:rPr>
          <w:sz w:val="22"/>
          <w:szCs w:val="22"/>
        </w:rPr>
        <w:tab/>
        <w:t>Papírová krabička s lahvičkou o objemu 22 ml</w:t>
      </w:r>
      <w:r w:rsidR="00AB6AA2" w:rsidRPr="008B6BC2">
        <w:rPr>
          <w:sz w:val="22"/>
          <w:szCs w:val="22"/>
        </w:rPr>
        <w:t>.</w:t>
      </w:r>
    </w:p>
    <w:p w:rsidR="003B4E3A" w:rsidRPr="00A10DC9" w:rsidRDefault="003B4E3A" w:rsidP="003B4E3A">
      <w:pPr>
        <w:tabs>
          <w:tab w:val="left" w:pos="567"/>
        </w:tabs>
        <w:rPr>
          <w:sz w:val="22"/>
          <w:szCs w:val="22"/>
        </w:rPr>
      </w:pPr>
    </w:p>
    <w:p w:rsidR="00D751DA" w:rsidRDefault="002262C7" w:rsidP="002262C7">
      <w:pPr>
        <w:autoSpaceDE w:val="0"/>
        <w:autoSpaceDN w:val="0"/>
        <w:adjustRightInd w:val="0"/>
        <w:rPr>
          <w:sz w:val="22"/>
          <w:szCs w:val="22"/>
        </w:rPr>
      </w:pPr>
      <w:r w:rsidRPr="00FE6F26">
        <w:rPr>
          <w:sz w:val="22"/>
          <w:szCs w:val="22"/>
        </w:rPr>
        <w:t xml:space="preserve">CLSI veterinární </w:t>
      </w:r>
      <w:r w:rsidR="005D5A9B" w:rsidRPr="00DB0A80">
        <w:rPr>
          <w:sz w:val="22"/>
          <w:szCs w:val="22"/>
        </w:rPr>
        <w:t xml:space="preserve">hraniční hodnoty </w:t>
      </w:r>
      <w:r w:rsidRPr="00FE6F26">
        <w:rPr>
          <w:sz w:val="22"/>
          <w:szCs w:val="22"/>
        </w:rPr>
        <w:t xml:space="preserve">pro klindamycin u infekce kůže a měkkých tkání psů způsobených rodem </w:t>
      </w:r>
      <w:proofErr w:type="spellStart"/>
      <w:r w:rsidRPr="00FE6F26">
        <w:rPr>
          <w:i/>
          <w:sz w:val="22"/>
          <w:szCs w:val="22"/>
        </w:rPr>
        <w:t>Staphylococcus</w:t>
      </w:r>
      <w:proofErr w:type="spellEnd"/>
      <w:r w:rsidRPr="00FE6F26">
        <w:rPr>
          <w:sz w:val="22"/>
          <w:szCs w:val="22"/>
        </w:rPr>
        <w:t xml:space="preserve"> a skupinou </w:t>
      </w:r>
      <w:r w:rsidR="00D751DA">
        <w:rPr>
          <w:sz w:val="22"/>
          <w:szCs w:val="22"/>
        </w:rPr>
        <w:t xml:space="preserve">beta-hemolytických </w:t>
      </w:r>
      <w:r w:rsidRPr="00FE6F26">
        <w:rPr>
          <w:sz w:val="22"/>
          <w:szCs w:val="22"/>
        </w:rPr>
        <w:t xml:space="preserve">streptokoků: </w:t>
      </w:r>
    </w:p>
    <w:p w:rsidR="002262C7" w:rsidRPr="00FE6F26" w:rsidRDefault="00D751DA" w:rsidP="002262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</w:t>
      </w:r>
      <w:r w:rsidR="002262C7" w:rsidRPr="00FE6F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(citlivé) </w:t>
      </w:r>
      <w:r w:rsidR="002262C7" w:rsidRPr="00FE6F26">
        <w:rPr>
          <w:sz w:val="22"/>
          <w:szCs w:val="22"/>
        </w:rPr>
        <w:t xml:space="preserve">≤ 0,5 </w:t>
      </w:r>
      <w:proofErr w:type="spellStart"/>
      <w:r w:rsidR="002262C7" w:rsidRPr="00FE6F26">
        <w:rPr>
          <w:rFonts w:hint="eastAsia"/>
          <w:sz w:val="22"/>
          <w:szCs w:val="22"/>
        </w:rPr>
        <w:t>μ</w:t>
      </w:r>
      <w:r w:rsidR="002262C7" w:rsidRPr="00FE6F26">
        <w:rPr>
          <w:sz w:val="22"/>
          <w:szCs w:val="22"/>
        </w:rPr>
        <w:t>g</w:t>
      </w:r>
      <w:proofErr w:type="spellEnd"/>
      <w:r w:rsidR="002262C7" w:rsidRPr="00FE6F26">
        <w:rPr>
          <w:sz w:val="22"/>
          <w:szCs w:val="22"/>
        </w:rPr>
        <w:t xml:space="preserve">/ml; </w:t>
      </w:r>
    </w:p>
    <w:p w:rsidR="00D751DA" w:rsidRDefault="002262C7" w:rsidP="002262C7">
      <w:pPr>
        <w:autoSpaceDE w:val="0"/>
        <w:autoSpaceDN w:val="0"/>
        <w:adjustRightInd w:val="0"/>
        <w:rPr>
          <w:sz w:val="22"/>
          <w:szCs w:val="22"/>
        </w:rPr>
      </w:pPr>
      <w:r w:rsidRPr="00FE6F26">
        <w:rPr>
          <w:sz w:val="22"/>
          <w:szCs w:val="22"/>
        </w:rPr>
        <w:t>I</w:t>
      </w:r>
      <w:r w:rsidR="00D751DA">
        <w:rPr>
          <w:sz w:val="22"/>
          <w:szCs w:val="22"/>
        </w:rPr>
        <w:t xml:space="preserve"> (intermediárně citlivé) </w:t>
      </w:r>
      <w:r w:rsidRPr="00FE6F26">
        <w:rPr>
          <w:sz w:val="22"/>
          <w:szCs w:val="22"/>
        </w:rPr>
        <w:t xml:space="preserve">=1-2 </w:t>
      </w:r>
      <w:proofErr w:type="spellStart"/>
      <w:r w:rsidRPr="00FE6F26">
        <w:rPr>
          <w:rFonts w:hint="eastAsia"/>
          <w:sz w:val="22"/>
          <w:szCs w:val="22"/>
        </w:rPr>
        <w:t>μ</w:t>
      </w:r>
      <w:r w:rsidRPr="00FE6F26">
        <w:rPr>
          <w:sz w:val="22"/>
          <w:szCs w:val="22"/>
        </w:rPr>
        <w:t>g</w:t>
      </w:r>
      <w:proofErr w:type="spellEnd"/>
      <w:r w:rsidRPr="00FE6F26">
        <w:rPr>
          <w:sz w:val="22"/>
          <w:szCs w:val="22"/>
        </w:rPr>
        <w:t xml:space="preserve">/ml; </w:t>
      </w:r>
    </w:p>
    <w:p w:rsidR="002262C7" w:rsidRPr="00FE6F26" w:rsidRDefault="002262C7" w:rsidP="002262C7">
      <w:pPr>
        <w:autoSpaceDE w:val="0"/>
        <w:autoSpaceDN w:val="0"/>
        <w:adjustRightInd w:val="0"/>
        <w:rPr>
          <w:sz w:val="22"/>
          <w:szCs w:val="22"/>
        </w:rPr>
      </w:pPr>
      <w:r w:rsidRPr="00FE6F26">
        <w:rPr>
          <w:sz w:val="22"/>
          <w:szCs w:val="22"/>
        </w:rPr>
        <w:t xml:space="preserve">R </w:t>
      </w:r>
      <w:r w:rsidR="00D751DA">
        <w:rPr>
          <w:sz w:val="22"/>
          <w:szCs w:val="22"/>
        </w:rPr>
        <w:t xml:space="preserve">(rezistentní) </w:t>
      </w:r>
      <w:r w:rsidRPr="00FE6F26">
        <w:rPr>
          <w:sz w:val="22"/>
          <w:szCs w:val="22"/>
        </w:rPr>
        <w:t xml:space="preserve">≥ 4 </w:t>
      </w:r>
      <w:proofErr w:type="spellStart"/>
      <w:r w:rsidRPr="00FE6F26">
        <w:rPr>
          <w:rFonts w:hint="eastAsia"/>
          <w:sz w:val="22"/>
          <w:szCs w:val="22"/>
        </w:rPr>
        <w:t>μ</w:t>
      </w:r>
      <w:r w:rsidRPr="00FE6F26">
        <w:rPr>
          <w:sz w:val="22"/>
          <w:szCs w:val="22"/>
        </w:rPr>
        <w:t>g</w:t>
      </w:r>
      <w:proofErr w:type="spellEnd"/>
      <w:r w:rsidRPr="00FE6F26">
        <w:rPr>
          <w:sz w:val="22"/>
          <w:szCs w:val="22"/>
        </w:rPr>
        <w:t xml:space="preserve">/ml. (CLSI </w:t>
      </w:r>
      <w:r w:rsidRPr="00FE6F26">
        <w:rPr>
          <w:rFonts w:hint="eastAsia"/>
          <w:sz w:val="22"/>
          <w:szCs w:val="22"/>
        </w:rPr>
        <w:t>č</w:t>
      </w:r>
      <w:r w:rsidRPr="00FE6F26">
        <w:rPr>
          <w:sz w:val="22"/>
          <w:szCs w:val="22"/>
        </w:rPr>
        <w:t>ervenec 2013).</w:t>
      </w:r>
    </w:p>
    <w:p w:rsidR="003B4E3A" w:rsidRDefault="003B4E3A" w:rsidP="002262C7">
      <w:pPr>
        <w:rPr>
          <w:bCs/>
          <w:sz w:val="22"/>
          <w:szCs w:val="22"/>
        </w:rPr>
      </w:pPr>
    </w:p>
    <w:p w:rsidR="00D751DA" w:rsidRDefault="00D751DA" w:rsidP="002262C7">
      <w:pPr>
        <w:rPr>
          <w:bCs/>
          <w:sz w:val="22"/>
          <w:szCs w:val="22"/>
        </w:rPr>
      </w:pPr>
    </w:p>
    <w:p w:rsidR="00D751DA" w:rsidRPr="00A10DC9" w:rsidRDefault="00D751DA" w:rsidP="002262C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Veterinární léčivý přípravek je vydáván pouze na předpis.</w:t>
      </w:r>
    </w:p>
    <w:sectPr w:rsidR="00D751DA" w:rsidRPr="00A10DC9" w:rsidSect="00090E45">
      <w:headerReference w:type="default" r:id="rId9"/>
      <w:footerReference w:type="default" r:id="rId10"/>
      <w:pgSz w:w="1188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95" w:rsidRDefault="007F2695">
      <w:r>
        <w:separator/>
      </w:r>
    </w:p>
  </w:endnote>
  <w:endnote w:type="continuationSeparator" w:id="0">
    <w:p w:rsidR="007F2695" w:rsidRDefault="007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860"/>
      <w:gridCol w:w="3510"/>
      <w:gridCol w:w="2340"/>
    </w:tblGrid>
    <w:tr w:rsidR="000769E0" w:rsidRPr="00090E45" w:rsidTr="00090E45">
      <w:trPr>
        <w:cantSplit/>
      </w:trPr>
      <w:tc>
        <w:tcPr>
          <w:tcW w:w="3860" w:type="dxa"/>
        </w:tcPr>
        <w:p w:rsidR="000769E0" w:rsidRPr="00090E45" w:rsidRDefault="000769E0" w:rsidP="00090E45">
          <w:pPr>
            <w:pStyle w:val="Zpat"/>
            <w:ind w:right="-360"/>
            <w:rPr>
              <w:rFonts w:ascii="Times New Roman" w:hAnsi="Times New Roman"/>
              <w:position w:val="6"/>
              <w:sz w:val="18"/>
              <w:szCs w:val="18"/>
            </w:rPr>
          </w:pPr>
        </w:p>
      </w:tc>
      <w:tc>
        <w:tcPr>
          <w:tcW w:w="3510" w:type="dxa"/>
        </w:tcPr>
        <w:p w:rsidR="000769E0" w:rsidRPr="00090E45" w:rsidRDefault="000769E0" w:rsidP="00090E45">
          <w:pPr>
            <w:pStyle w:val="Zpat"/>
            <w:ind w:right="-360"/>
            <w:rPr>
              <w:rFonts w:ascii="Times New Roman" w:hAnsi="Times New Roman"/>
              <w:position w:val="6"/>
              <w:sz w:val="18"/>
              <w:szCs w:val="18"/>
            </w:rPr>
          </w:pPr>
        </w:p>
      </w:tc>
      <w:tc>
        <w:tcPr>
          <w:tcW w:w="2340" w:type="dxa"/>
        </w:tcPr>
        <w:p w:rsidR="000769E0" w:rsidRPr="00090E45" w:rsidRDefault="000769E0" w:rsidP="00090E45">
          <w:pPr>
            <w:pStyle w:val="Zpat"/>
            <w:tabs>
              <w:tab w:val="right" w:pos="2000"/>
            </w:tabs>
            <w:ind w:right="-360"/>
            <w:rPr>
              <w:rFonts w:ascii="Times New Roman" w:hAnsi="Times New Roman"/>
              <w:position w:val="6"/>
              <w:sz w:val="18"/>
              <w:szCs w:val="18"/>
            </w:rPr>
          </w:pPr>
          <w:r>
            <w:tab/>
          </w:r>
          <w:r>
            <w:rPr>
              <w:rFonts w:ascii="Times New Roman" w:hAnsi="Times New Roman"/>
              <w:position w:val="6"/>
              <w:sz w:val="18"/>
            </w:rPr>
            <w:t xml:space="preserve">Strana </w:t>
          </w:r>
          <w:r w:rsidRPr="00090E45">
            <w:rPr>
              <w:rFonts w:ascii="Times New Roman" w:hAnsi="Times New Roman"/>
              <w:position w:val="6"/>
              <w:sz w:val="18"/>
              <w:szCs w:val="18"/>
            </w:rPr>
            <w:fldChar w:fldCharType="begin"/>
          </w:r>
          <w:r w:rsidRPr="00090E45">
            <w:rPr>
              <w:rFonts w:ascii="Times New Roman" w:hAnsi="Times New Roman"/>
              <w:position w:val="6"/>
              <w:sz w:val="18"/>
              <w:szCs w:val="18"/>
            </w:rPr>
            <w:instrText xml:space="preserve"> PAGE </w:instrText>
          </w:r>
          <w:r w:rsidRPr="00090E45">
            <w:rPr>
              <w:rFonts w:ascii="Times New Roman" w:hAnsi="Times New Roman"/>
              <w:position w:val="6"/>
              <w:sz w:val="18"/>
              <w:szCs w:val="18"/>
            </w:rPr>
            <w:fldChar w:fldCharType="separate"/>
          </w:r>
          <w:r w:rsidR="004B0D2F">
            <w:rPr>
              <w:rFonts w:ascii="Times New Roman" w:hAnsi="Times New Roman"/>
              <w:noProof/>
              <w:position w:val="6"/>
              <w:sz w:val="18"/>
              <w:szCs w:val="18"/>
            </w:rPr>
            <w:t>5</w:t>
          </w:r>
          <w:r w:rsidRPr="00090E45">
            <w:rPr>
              <w:rFonts w:ascii="Times New Roman" w:hAnsi="Times New Roman"/>
              <w:position w:val="6"/>
              <w:sz w:val="18"/>
              <w:szCs w:val="18"/>
            </w:rPr>
            <w:fldChar w:fldCharType="end"/>
          </w:r>
          <w:r>
            <w:rPr>
              <w:rFonts w:ascii="Times New Roman" w:hAnsi="Times New Roman"/>
              <w:position w:val="6"/>
              <w:sz w:val="18"/>
            </w:rPr>
            <w:t xml:space="preserve"> z </w:t>
          </w:r>
          <w:r w:rsidRPr="00090E45">
            <w:rPr>
              <w:rFonts w:ascii="Times New Roman" w:hAnsi="Times New Roman"/>
              <w:position w:val="6"/>
              <w:sz w:val="18"/>
              <w:szCs w:val="18"/>
            </w:rPr>
            <w:fldChar w:fldCharType="begin"/>
          </w:r>
          <w:r w:rsidRPr="00090E45">
            <w:rPr>
              <w:rFonts w:ascii="Times New Roman" w:hAnsi="Times New Roman"/>
              <w:position w:val="6"/>
              <w:sz w:val="18"/>
              <w:szCs w:val="18"/>
            </w:rPr>
            <w:instrText xml:space="preserve"> NUMPAGES </w:instrText>
          </w:r>
          <w:r w:rsidRPr="00090E45">
            <w:rPr>
              <w:rFonts w:ascii="Times New Roman" w:hAnsi="Times New Roman"/>
              <w:position w:val="6"/>
              <w:sz w:val="18"/>
              <w:szCs w:val="18"/>
            </w:rPr>
            <w:fldChar w:fldCharType="separate"/>
          </w:r>
          <w:r w:rsidR="004B0D2F">
            <w:rPr>
              <w:rFonts w:ascii="Times New Roman" w:hAnsi="Times New Roman"/>
              <w:noProof/>
              <w:position w:val="6"/>
              <w:sz w:val="18"/>
              <w:szCs w:val="18"/>
            </w:rPr>
            <w:t>5</w:t>
          </w:r>
          <w:r w:rsidRPr="00090E45">
            <w:rPr>
              <w:rFonts w:ascii="Times New Roman" w:hAnsi="Times New Roman"/>
              <w:position w:val="6"/>
              <w:sz w:val="18"/>
              <w:szCs w:val="18"/>
            </w:rPr>
            <w:fldChar w:fldCharType="end"/>
          </w:r>
        </w:p>
      </w:tc>
    </w:tr>
  </w:tbl>
  <w:p w:rsidR="000769E0" w:rsidRDefault="000769E0">
    <w:pPr>
      <w:pStyle w:val="Zpat"/>
      <w:rPr>
        <w:rFonts w:ascii="Helvetica" w:hAnsi="Helvetica" w:cs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95" w:rsidRDefault="007F2695">
      <w:r>
        <w:separator/>
      </w:r>
    </w:p>
  </w:footnote>
  <w:footnote w:type="continuationSeparator" w:id="0">
    <w:p w:rsidR="007F2695" w:rsidRDefault="007F2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E0" w:rsidRDefault="000769E0">
    <w:pPr>
      <w:pStyle w:val="Zhlav"/>
      <w:spacing w:line="360" w:lineRule="atLeast"/>
      <w:ind w:right="-360"/>
      <w:rPr>
        <w:rFonts w:ascii="Helvetica" w:hAnsi="Helvetica" w:cs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15"/>
    <w:multiLevelType w:val="hybridMultilevel"/>
    <w:tmpl w:val="6FE667FA"/>
    <w:lvl w:ilvl="0" w:tplc="531E003C">
      <w:start w:val="8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5E1C06"/>
    <w:multiLevelType w:val="hybridMultilevel"/>
    <w:tmpl w:val="AE7E9BAE"/>
    <w:lvl w:ilvl="0" w:tplc="D692408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6A852F0">
      <w:numFmt w:val="none"/>
      <w:lvlText w:val=""/>
      <w:lvlJc w:val="left"/>
      <w:pPr>
        <w:tabs>
          <w:tab w:val="num" w:pos="360"/>
        </w:tabs>
      </w:pPr>
    </w:lvl>
    <w:lvl w:ilvl="2" w:tplc="3A7636A0">
      <w:numFmt w:val="none"/>
      <w:lvlText w:val=""/>
      <w:lvlJc w:val="left"/>
      <w:pPr>
        <w:tabs>
          <w:tab w:val="num" w:pos="360"/>
        </w:tabs>
      </w:pPr>
    </w:lvl>
    <w:lvl w:ilvl="3" w:tplc="0D605E0E">
      <w:numFmt w:val="none"/>
      <w:lvlText w:val=""/>
      <w:lvlJc w:val="left"/>
      <w:pPr>
        <w:tabs>
          <w:tab w:val="num" w:pos="360"/>
        </w:tabs>
      </w:pPr>
    </w:lvl>
    <w:lvl w:ilvl="4" w:tplc="A4D2A464">
      <w:numFmt w:val="none"/>
      <w:lvlText w:val=""/>
      <w:lvlJc w:val="left"/>
      <w:pPr>
        <w:tabs>
          <w:tab w:val="num" w:pos="360"/>
        </w:tabs>
      </w:pPr>
    </w:lvl>
    <w:lvl w:ilvl="5" w:tplc="2776302C">
      <w:numFmt w:val="none"/>
      <w:lvlText w:val=""/>
      <w:lvlJc w:val="left"/>
      <w:pPr>
        <w:tabs>
          <w:tab w:val="num" w:pos="360"/>
        </w:tabs>
      </w:pPr>
    </w:lvl>
    <w:lvl w:ilvl="6" w:tplc="8CD669EE">
      <w:numFmt w:val="none"/>
      <w:lvlText w:val=""/>
      <w:lvlJc w:val="left"/>
      <w:pPr>
        <w:tabs>
          <w:tab w:val="num" w:pos="360"/>
        </w:tabs>
      </w:pPr>
    </w:lvl>
    <w:lvl w:ilvl="7" w:tplc="3F5C1EA4">
      <w:numFmt w:val="none"/>
      <w:lvlText w:val=""/>
      <w:lvlJc w:val="left"/>
      <w:pPr>
        <w:tabs>
          <w:tab w:val="num" w:pos="360"/>
        </w:tabs>
      </w:pPr>
    </w:lvl>
    <w:lvl w:ilvl="8" w:tplc="F0A818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1E4DEC"/>
    <w:multiLevelType w:val="hybridMultilevel"/>
    <w:tmpl w:val="00ECDE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9809A6"/>
    <w:multiLevelType w:val="hybridMultilevel"/>
    <w:tmpl w:val="1ABA9E76"/>
    <w:lvl w:ilvl="0" w:tplc="FC3E91E2">
      <w:start w:val="4"/>
      <w:numFmt w:val="bullet"/>
      <w:lvlText w:val="-"/>
      <w:lvlJc w:val="left"/>
      <w:pPr>
        <w:ind w:left="81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23E66A0"/>
    <w:multiLevelType w:val="hybridMultilevel"/>
    <w:tmpl w:val="B91E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E1C83"/>
    <w:multiLevelType w:val="hybridMultilevel"/>
    <w:tmpl w:val="E9F4BB9C"/>
    <w:lvl w:ilvl="0" w:tplc="C910E6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16F2A18"/>
    <w:multiLevelType w:val="hybridMultilevel"/>
    <w:tmpl w:val="0888850E"/>
    <w:lvl w:ilvl="0" w:tplc="2CE26076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7B83B7B"/>
    <w:multiLevelType w:val="hybridMultilevel"/>
    <w:tmpl w:val="B70A6846"/>
    <w:lvl w:ilvl="0" w:tplc="0FB04E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5EE3"/>
    <w:multiLevelType w:val="hybridMultilevel"/>
    <w:tmpl w:val="DEF8824C"/>
    <w:lvl w:ilvl="0" w:tplc="2CE26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B2403A"/>
    <w:multiLevelType w:val="multilevel"/>
    <w:tmpl w:val="3EDCD3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F7800B9"/>
    <w:multiLevelType w:val="hybridMultilevel"/>
    <w:tmpl w:val="6E0E728E"/>
    <w:lvl w:ilvl="0" w:tplc="0FB04E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4E542F"/>
    <w:multiLevelType w:val="multilevel"/>
    <w:tmpl w:val="CCAC5A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645E43C6"/>
    <w:multiLevelType w:val="hybridMultilevel"/>
    <w:tmpl w:val="78B2ACD4"/>
    <w:lvl w:ilvl="0" w:tplc="C910E6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A7B2E2F"/>
    <w:multiLevelType w:val="hybridMultilevel"/>
    <w:tmpl w:val="0F966314"/>
    <w:lvl w:ilvl="0" w:tplc="79BEF6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10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DB"/>
    <w:rsid w:val="0000542A"/>
    <w:rsid w:val="00010302"/>
    <w:rsid w:val="00011567"/>
    <w:rsid w:val="000648B8"/>
    <w:rsid w:val="000769E0"/>
    <w:rsid w:val="00087DAF"/>
    <w:rsid w:val="00090E45"/>
    <w:rsid w:val="000B0DF7"/>
    <w:rsid w:val="000C04A1"/>
    <w:rsid w:val="000C0CAE"/>
    <w:rsid w:val="000C1A8B"/>
    <w:rsid w:val="000E2036"/>
    <w:rsid w:val="000F3DB2"/>
    <w:rsid w:val="001145C8"/>
    <w:rsid w:val="00135A59"/>
    <w:rsid w:val="0017055A"/>
    <w:rsid w:val="00180C7F"/>
    <w:rsid w:val="001947AD"/>
    <w:rsid w:val="001A78DC"/>
    <w:rsid w:val="001B0F7F"/>
    <w:rsid w:val="001C2AD7"/>
    <w:rsid w:val="001D55E0"/>
    <w:rsid w:val="001E26B3"/>
    <w:rsid w:val="001E74B8"/>
    <w:rsid w:val="0020349E"/>
    <w:rsid w:val="002127F8"/>
    <w:rsid w:val="002144D1"/>
    <w:rsid w:val="00220AAA"/>
    <w:rsid w:val="002262C7"/>
    <w:rsid w:val="0025564B"/>
    <w:rsid w:val="0026116E"/>
    <w:rsid w:val="002716C0"/>
    <w:rsid w:val="002D150D"/>
    <w:rsid w:val="002D6AA8"/>
    <w:rsid w:val="002D6E29"/>
    <w:rsid w:val="0031081D"/>
    <w:rsid w:val="003164FB"/>
    <w:rsid w:val="003256FE"/>
    <w:rsid w:val="0033112C"/>
    <w:rsid w:val="00336A2C"/>
    <w:rsid w:val="00353270"/>
    <w:rsid w:val="003560B0"/>
    <w:rsid w:val="00372219"/>
    <w:rsid w:val="0038542A"/>
    <w:rsid w:val="003909A2"/>
    <w:rsid w:val="003B4E3A"/>
    <w:rsid w:val="003B5E1A"/>
    <w:rsid w:val="003B79E2"/>
    <w:rsid w:val="003C15F9"/>
    <w:rsid w:val="003D2D7E"/>
    <w:rsid w:val="003E078F"/>
    <w:rsid w:val="003E1255"/>
    <w:rsid w:val="0040752D"/>
    <w:rsid w:val="0042348A"/>
    <w:rsid w:val="004336A7"/>
    <w:rsid w:val="00440AA2"/>
    <w:rsid w:val="00461981"/>
    <w:rsid w:val="00461A21"/>
    <w:rsid w:val="00467EF4"/>
    <w:rsid w:val="004830DE"/>
    <w:rsid w:val="004B0D2F"/>
    <w:rsid w:val="004E7134"/>
    <w:rsid w:val="0051650C"/>
    <w:rsid w:val="00521991"/>
    <w:rsid w:val="00530FB3"/>
    <w:rsid w:val="005330D1"/>
    <w:rsid w:val="0053571D"/>
    <w:rsid w:val="00541C21"/>
    <w:rsid w:val="00573369"/>
    <w:rsid w:val="00582BD4"/>
    <w:rsid w:val="005843AA"/>
    <w:rsid w:val="00595A74"/>
    <w:rsid w:val="005A442D"/>
    <w:rsid w:val="005A4E7D"/>
    <w:rsid w:val="005B7D72"/>
    <w:rsid w:val="005C3331"/>
    <w:rsid w:val="005D1237"/>
    <w:rsid w:val="005D5A9B"/>
    <w:rsid w:val="00600E1C"/>
    <w:rsid w:val="00600E99"/>
    <w:rsid w:val="00621CDA"/>
    <w:rsid w:val="006258FA"/>
    <w:rsid w:val="00627BFA"/>
    <w:rsid w:val="00682EA6"/>
    <w:rsid w:val="00683529"/>
    <w:rsid w:val="0068759B"/>
    <w:rsid w:val="006A478E"/>
    <w:rsid w:val="006A6A1E"/>
    <w:rsid w:val="006B1019"/>
    <w:rsid w:val="006C4207"/>
    <w:rsid w:val="006D5AA5"/>
    <w:rsid w:val="006D648E"/>
    <w:rsid w:val="006D6D1D"/>
    <w:rsid w:val="006E2C6D"/>
    <w:rsid w:val="006E3E5C"/>
    <w:rsid w:val="006F30CF"/>
    <w:rsid w:val="00704BFD"/>
    <w:rsid w:val="007335EA"/>
    <w:rsid w:val="00740C1F"/>
    <w:rsid w:val="00744070"/>
    <w:rsid w:val="007764CC"/>
    <w:rsid w:val="00791ECA"/>
    <w:rsid w:val="00794AC7"/>
    <w:rsid w:val="007A2037"/>
    <w:rsid w:val="007B2E99"/>
    <w:rsid w:val="007D079A"/>
    <w:rsid w:val="007E440F"/>
    <w:rsid w:val="007F2695"/>
    <w:rsid w:val="007F6A31"/>
    <w:rsid w:val="00800AA8"/>
    <w:rsid w:val="00807C02"/>
    <w:rsid w:val="008104F9"/>
    <w:rsid w:val="00810DC2"/>
    <w:rsid w:val="0081440F"/>
    <w:rsid w:val="008153FE"/>
    <w:rsid w:val="00834A32"/>
    <w:rsid w:val="008359F0"/>
    <w:rsid w:val="008454F5"/>
    <w:rsid w:val="00863A92"/>
    <w:rsid w:val="00866F93"/>
    <w:rsid w:val="008773C7"/>
    <w:rsid w:val="00883377"/>
    <w:rsid w:val="00896F10"/>
    <w:rsid w:val="008A1853"/>
    <w:rsid w:val="008A30FA"/>
    <w:rsid w:val="008A3C13"/>
    <w:rsid w:val="008A4E44"/>
    <w:rsid w:val="008B6084"/>
    <w:rsid w:val="008B6338"/>
    <w:rsid w:val="008B6BC2"/>
    <w:rsid w:val="008C5506"/>
    <w:rsid w:val="008D1480"/>
    <w:rsid w:val="008E1F19"/>
    <w:rsid w:val="009066C7"/>
    <w:rsid w:val="00906E6B"/>
    <w:rsid w:val="0092249E"/>
    <w:rsid w:val="00924528"/>
    <w:rsid w:val="00955592"/>
    <w:rsid w:val="009724FB"/>
    <w:rsid w:val="00980D28"/>
    <w:rsid w:val="00982A2E"/>
    <w:rsid w:val="00983718"/>
    <w:rsid w:val="00983E1B"/>
    <w:rsid w:val="0098711E"/>
    <w:rsid w:val="009A4BCB"/>
    <w:rsid w:val="009B11F0"/>
    <w:rsid w:val="009B3F4E"/>
    <w:rsid w:val="009D1450"/>
    <w:rsid w:val="009E5799"/>
    <w:rsid w:val="00A01CAF"/>
    <w:rsid w:val="00A10DC9"/>
    <w:rsid w:val="00A11871"/>
    <w:rsid w:val="00A13C42"/>
    <w:rsid w:val="00A212F3"/>
    <w:rsid w:val="00A21A22"/>
    <w:rsid w:val="00A31274"/>
    <w:rsid w:val="00A5712A"/>
    <w:rsid w:val="00A577B7"/>
    <w:rsid w:val="00A80FE1"/>
    <w:rsid w:val="00A87FB3"/>
    <w:rsid w:val="00AB6728"/>
    <w:rsid w:val="00AB6AA2"/>
    <w:rsid w:val="00AD19B9"/>
    <w:rsid w:val="00AE2E73"/>
    <w:rsid w:val="00AE4730"/>
    <w:rsid w:val="00AF4C33"/>
    <w:rsid w:val="00B0149C"/>
    <w:rsid w:val="00B11E19"/>
    <w:rsid w:val="00B1471B"/>
    <w:rsid w:val="00B24EB7"/>
    <w:rsid w:val="00B41772"/>
    <w:rsid w:val="00B47894"/>
    <w:rsid w:val="00B72FDB"/>
    <w:rsid w:val="00B839E3"/>
    <w:rsid w:val="00B94AC9"/>
    <w:rsid w:val="00BB073A"/>
    <w:rsid w:val="00C04196"/>
    <w:rsid w:val="00C067AC"/>
    <w:rsid w:val="00C145EE"/>
    <w:rsid w:val="00C17B5C"/>
    <w:rsid w:val="00C23FB8"/>
    <w:rsid w:val="00C26F22"/>
    <w:rsid w:val="00C530E9"/>
    <w:rsid w:val="00C740CE"/>
    <w:rsid w:val="00C80DEC"/>
    <w:rsid w:val="00CA702A"/>
    <w:rsid w:val="00CD4D53"/>
    <w:rsid w:val="00CD5759"/>
    <w:rsid w:val="00CD7B8D"/>
    <w:rsid w:val="00CE20D0"/>
    <w:rsid w:val="00CE2245"/>
    <w:rsid w:val="00CE2F70"/>
    <w:rsid w:val="00CE472D"/>
    <w:rsid w:val="00CF58AD"/>
    <w:rsid w:val="00D03E81"/>
    <w:rsid w:val="00D17D72"/>
    <w:rsid w:val="00D25C16"/>
    <w:rsid w:val="00D263AE"/>
    <w:rsid w:val="00D31CDB"/>
    <w:rsid w:val="00D44E71"/>
    <w:rsid w:val="00D63FC6"/>
    <w:rsid w:val="00D751DA"/>
    <w:rsid w:val="00D754E9"/>
    <w:rsid w:val="00D95D3B"/>
    <w:rsid w:val="00D97217"/>
    <w:rsid w:val="00DA172B"/>
    <w:rsid w:val="00DA1B53"/>
    <w:rsid w:val="00DA376F"/>
    <w:rsid w:val="00DA5B51"/>
    <w:rsid w:val="00DA5F91"/>
    <w:rsid w:val="00DB618B"/>
    <w:rsid w:val="00DC51C7"/>
    <w:rsid w:val="00DD0BC3"/>
    <w:rsid w:val="00DD2CCD"/>
    <w:rsid w:val="00DF7FD3"/>
    <w:rsid w:val="00E00E9B"/>
    <w:rsid w:val="00E0432D"/>
    <w:rsid w:val="00E104A9"/>
    <w:rsid w:val="00E14B6A"/>
    <w:rsid w:val="00E275E2"/>
    <w:rsid w:val="00E33219"/>
    <w:rsid w:val="00E37D7C"/>
    <w:rsid w:val="00E40ABC"/>
    <w:rsid w:val="00E52F3B"/>
    <w:rsid w:val="00E546F1"/>
    <w:rsid w:val="00E76F81"/>
    <w:rsid w:val="00EA3938"/>
    <w:rsid w:val="00EB11AB"/>
    <w:rsid w:val="00ED3325"/>
    <w:rsid w:val="00ED34F3"/>
    <w:rsid w:val="00EE18D8"/>
    <w:rsid w:val="00F00851"/>
    <w:rsid w:val="00F10F8F"/>
    <w:rsid w:val="00F11EB4"/>
    <w:rsid w:val="00F208FC"/>
    <w:rsid w:val="00F40507"/>
    <w:rsid w:val="00F44750"/>
    <w:rsid w:val="00F466E8"/>
    <w:rsid w:val="00F52CAA"/>
    <w:rsid w:val="00F61E5D"/>
    <w:rsid w:val="00F73D05"/>
    <w:rsid w:val="00F7566E"/>
    <w:rsid w:val="00F86678"/>
    <w:rsid w:val="00F936B2"/>
    <w:rsid w:val="00F94DDE"/>
    <w:rsid w:val="00FA6497"/>
    <w:rsid w:val="00FA7DE1"/>
    <w:rsid w:val="00FB3B08"/>
    <w:rsid w:val="00FD4407"/>
    <w:rsid w:val="00FE1B18"/>
    <w:rsid w:val="00FE42C9"/>
    <w:rsid w:val="00FE6F26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20"/>
      </w:tabs>
      <w:spacing w:line="360" w:lineRule="atLeast"/>
      <w:ind w:left="4500" w:hanging="4500"/>
      <w:jc w:val="both"/>
      <w:outlineLvl w:val="0"/>
    </w:pPr>
    <w:rPr>
      <w:rFonts w:ascii="Helvetica" w:hAnsi="Helvetic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tLeast"/>
      <w:ind w:left="1440"/>
    </w:pPr>
    <w:rPr>
      <w:rFonts w:ascii="Helvetica" w:hAnsi="Helvetica"/>
      <w:sz w:val="20"/>
      <w:szCs w:val="20"/>
    </w:rPr>
  </w:style>
  <w:style w:type="paragraph" w:styleId="Zpat">
    <w:name w:val="footer"/>
    <w:basedOn w:val="Normln"/>
    <w:pPr>
      <w:tabs>
        <w:tab w:val="center" w:pos="4252"/>
        <w:tab w:val="right" w:pos="8504"/>
      </w:tabs>
    </w:pPr>
    <w:rPr>
      <w:rFonts w:ascii="Times" w:hAnsi="Times"/>
      <w:szCs w:val="20"/>
    </w:rPr>
  </w:style>
  <w:style w:type="paragraph" w:styleId="Zhlav">
    <w:name w:val="header"/>
    <w:basedOn w:val="Normln"/>
    <w:pPr>
      <w:tabs>
        <w:tab w:val="center" w:pos="4252"/>
        <w:tab w:val="right" w:pos="8504"/>
      </w:tabs>
    </w:pPr>
    <w:rPr>
      <w:rFonts w:ascii="Times" w:hAnsi="Times"/>
      <w:szCs w:val="20"/>
    </w:rPr>
  </w:style>
  <w:style w:type="paragraph" w:styleId="Zkladntextodsazen2">
    <w:name w:val="Body Text Indent 2"/>
    <w:basedOn w:val="Normln"/>
    <w:pPr>
      <w:spacing w:line="360" w:lineRule="atLeast"/>
      <w:ind w:left="1440"/>
      <w:jc w:val="both"/>
    </w:pPr>
    <w:rPr>
      <w:rFonts w:ascii="Helvetica" w:hAnsi="Helvetica"/>
      <w:sz w:val="20"/>
      <w:szCs w:val="20"/>
    </w:rPr>
  </w:style>
  <w:style w:type="paragraph" w:styleId="Zkladntextodsazen3">
    <w:name w:val="Body Text Indent 3"/>
    <w:basedOn w:val="Normln"/>
    <w:pPr>
      <w:numPr>
        <w:ilvl w:val="12"/>
      </w:numPr>
      <w:ind w:left="1418"/>
    </w:pPr>
    <w:rPr>
      <w:rFonts w:ascii="Helvetica" w:hAnsi="Helvetica"/>
      <w:sz w:val="20"/>
      <w:szCs w:val="20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numPr>
        <w:ilvl w:val="12"/>
      </w:numPr>
      <w:ind w:left="709" w:right="140"/>
    </w:pPr>
    <w:rPr>
      <w:rFonts w:ascii="Times" w:hAnsi="Times"/>
      <w:bCs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table" w:styleId="Mkatabulky">
    <w:name w:val="Table Grid"/>
    <w:basedOn w:val="Normlntabulka"/>
    <w:rsid w:val="0038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21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20"/>
      </w:tabs>
      <w:spacing w:line="360" w:lineRule="atLeast"/>
      <w:ind w:left="4500" w:hanging="4500"/>
      <w:jc w:val="both"/>
      <w:outlineLvl w:val="0"/>
    </w:pPr>
    <w:rPr>
      <w:rFonts w:ascii="Helvetica" w:hAnsi="Helvetic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tLeast"/>
      <w:ind w:left="1440"/>
    </w:pPr>
    <w:rPr>
      <w:rFonts w:ascii="Helvetica" w:hAnsi="Helvetica"/>
      <w:sz w:val="20"/>
      <w:szCs w:val="20"/>
    </w:rPr>
  </w:style>
  <w:style w:type="paragraph" w:styleId="Zpat">
    <w:name w:val="footer"/>
    <w:basedOn w:val="Normln"/>
    <w:pPr>
      <w:tabs>
        <w:tab w:val="center" w:pos="4252"/>
        <w:tab w:val="right" w:pos="8504"/>
      </w:tabs>
    </w:pPr>
    <w:rPr>
      <w:rFonts w:ascii="Times" w:hAnsi="Times"/>
      <w:szCs w:val="20"/>
    </w:rPr>
  </w:style>
  <w:style w:type="paragraph" w:styleId="Zhlav">
    <w:name w:val="header"/>
    <w:basedOn w:val="Normln"/>
    <w:pPr>
      <w:tabs>
        <w:tab w:val="center" w:pos="4252"/>
        <w:tab w:val="right" w:pos="8504"/>
      </w:tabs>
    </w:pPr>
    <w:rPr>
      <w:rFonts w:ascii="Times" w:hAnsi="Times"/>
      <w:szCs w:val="20"/>
    </w:rPr>
  </w:style>
  <w:style w:type="paragraph" w:styleId="Zkladntextodsazen2">
    <w:name w:val="Body Text Indent 2"/>
    <w:basedOn w:val="Normln"/>
    <w:pPr>
      <w:spacing w:line="360" w:lineRule="atLeast"/>
      <w:ind w:left="1440"/>
      <w:jc w:val="both"/>
    </w:pPr>
    <w:rPr>
      <w:rFonts w:ascii="Helvetica" w:hAnsi="Helvetica"/>
      <w:sz w:val="20"/>
      <w:szCs w:val="20"/>
    </w:rPr>
  </w:style>
  <w:style w:type="paragraph" w:styleId="Zkladntextodsazen3">
    <w:name w:val="Body Text Indent 3"/>
    <w:basedOn w:val="Normln"/>
    <w:pPr>
      <w:numPr>
        <w:ilvl w:val="12"/>
      </w:numPr>
      <w:ind w:left="1418"/>
    </w:pPr>
    <w:rPr>
      <w:rFonts w:ascii="Helvetica" w:hAnsi="Helvetica"/>
      <w:sz w:val="20"/>
      <w:szCs w:val="20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numPr>
        <w:ilvl w:val="12"/>
      </w:numPr>
      <w:ind w:left="709" w:right="140"/>
    </w:pPr>
    <w:rPr>
      <w:rFonts w:ascii="Times" w:hAnsi="Times"/>
      <w:bCs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table" w:styleId="Mkatabulky">
    <w:name w:val="Table Grid"/>
    <w:basedOn w:val="Normlntabulka"/>
    <w:rsid w:val="00385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2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CE70-1DD4-4A3C-8EE8-F7414781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1161</Words>
  <Characters>6852</Characters>
  <Application>Microsoft Office Word</Application>
  <DocSecurity>0</DocSecurity>
  <Lines>57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Summary of the Product Characteristics</vt:lpstr>
      <vt:lpstr>Summary of the Product Characteristics</vt:lpstr>
      <vt:lpstr>Summary of the Product Characteristics</vt:lpstr>
    </vt:vector>
  </TitlesOfParts>
  <Company>Chanelle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the Product Characteristics</dc:title>
  <dc:creator>MO'Sullivan</dc:creator>
  <cp:lastModifiedBy>Neugebauerová Kateřina</cp:lastModifiedBy>
  <cp:revision>17</cp:revision>
  <cp:lastPrinted>2017-04-05T12:02:00Z</cp:lastPrinted>
  <dcterms:created xsi:type="dcterms:W3CDTF">2017-01-26T12:50:00Z</dcterms:created>
  <dcterms:modified xsi:type="dcterms:W3CDTF">2017-04-05T12:02:00Z</dcterms:modified>
</cp:coreProperties>
</file>