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462" w:rsidRDefault="00A90462" w:rsidP="00A90462">
      <w:pPr>
        <w:jc w:val="center"/>
        <w:rPr>
          <w:b/>
        </w:rPr>
      </w:pPr>
      <w:bookmarkStart w:id="0" w:name="_GoBack"/>
      <w:bookmarkEnd w:id="0"/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  <w:r w:rsidRPr="00CD08A7">
        <w:rPr>
          <w:b/>
        </w:rPr>
        <w:t>PŘÍLOHA I</w:t>
      </w:r>
    </w:p>
    <w:p w:rsidR="00A90462" w:rsidRPr="00CD08A7" w:rsidRDefault="00A90462" w:rsidP="00A90462">
      <w:pPr>
        <w:jc w:val="center"/>
        <w:rPr>
          <w:b/>
        </w:rPr>
      </w:pPr>
    </w:p>
    <w:p w:rsidR="00A90462" w:rsidRPr="00CD08A7" w:rsidRDefault="00A90462" w:rsidP="00A90462">
      <w:pPr>
        <w:jc w:val="center"/>
        <w:rPr>
          <w:b/>
        </w:rPr>
      </w:pPr>
      <w:r w:rsidRPr="00CD08A7">
        <w:rPr>
          <w:b/>
        </w:rPr>
        <w:t>SOUHRN ÚDAJŮ O PŘÍPRAVKU</w:t>
      </w:r>
    </w:p>
    <w:p w:rsidR="00A90462" w:rsidRPr="00CD08A7" w:rsidRDefault="00A90462" w:rsidP="00A90462">
      <w:pPr>
        <w:jc w:val="center"/>
      </w:pPr>
    </w:p>
    <w:p w:rsidR="00A90462" w:rsidRPr="00CD08A7" w:rsidRDefault="00A90462" w:rsidP="00A90462">
      <w:r w:rsidRPr="00CD08A7">
        <w:br w:type="page"/>
      </w:r>
      <w:r w:rsidRPr="00CD08A7">
        <w:rPr>
          <w:b/>
        </w:rPr>
        <w:lastRenderedPageBreak/>
        <w:t>1.</w:t>
      </w:r>
      <w:r w:rsidRPr="00CD08A7">
        <w:rPr>
          <w:b/>
        </w:rPr>
        <w:tab/>
        <w:t>NÁZEV VETERINÁRNÍHO LÉČIVÉHO PŘÍPRAVKU</w:t>
      </w:r>
    </w:p>
    <w:p w:rsidR="00A90462" w:rsidRPr="00CD08A7" w:rsidRDefault="00A90462" w:rsidP="00A90462"/>
    <w:p w:rsidR="00A90462" w:rsidRPr="00CD08A7" w:rsidRDefault="00A90462" w:rsidP="00A90462">
      <w:pPr>
        <w:ind w:left="0" w:firstLine="0"/>
      </w:pPr>
      <w:proofErr w:type="spellStart"/>
      <w:r w:rsidRPr="00CD08A7">
        <w:t>Gabbrovet</w:t>
      </w:r>
      <w:proofErr w:type="spellEnd"/>
      <w:r w:rsidRPr="00CD08A7">
        <w:t xml:space="preserve"> 140 mg/ml roztok </w:t>
      </w:r>
      <w:r w:rsidRPr="00CD08A7">
        <w:rPr>
          <w:szCs w:val="22"/>
        </w:rPr>
        <w:t xml:space="preserve">pro podání v pitné vodě, mléce nebo mléčné náhražce pro </w:t>
      </w:r>
      <w:proofErr w:type="spellStart"/>
      <w:r w:rsidRPr="00CD08A7">
        <w:rPr>
          <w:szCs w:val="22"/>
        </w:rPr>
        <w:t>neruminující</w:t>
      </w:r>
      <w:proofErr w:type="spellEnd"/>
      <w:r w:rsidRPr="00CD08A7">
        <w:rPr>
          <w:szCs w:val="22"/>
        </w:rPr>
        <w:t xml:space="preserve"> skot a prasata</w:t>
      </w:r>
    </w:p>
    <w:p w:rsidR="00A90462" w:rsidRPr="00CD08A7" w:rsidRDefault="00A90462" w:rsidP="00A90462"/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2.</w:t>
      </w:r>
      <w:r w:rsidRPr="00CD08A7">
        <w:rPr>
          <w:b/>
        </w:rPr>
        <w:tab/>
        <w:t>KVALITATIVNÍ A KVANTITATIVNÍ SLOŽENÍ</w:t>
      </w:r>
    </w:p>
    <w:p w:rsidR="00A90462" w:rsidRPr="00CD08A7" w:rsidRDefault="00A90462" w:rsidP="00A90462"/>
    <w:p w:rsidR="00A90462" w:rsidRPr="00CD08A7" w:rsidRDefault="00A90462" w:rsidP="00A90462">
      <w:r w:rsidRPr="00CD08A7">
        <w:t>1 ml obsahuje:</w:t>
      </w:r>
    </w:p>
    <w:p w:rsidR="00A90462" w:rsidRPr="00CD08A7" w:rsidRDefault="00A90462" w:rsidP="00A90462">
      <w:pPr>
        <w:rPr>
          <w:b/>
        </w:rPr>
      </w:pPr>
    </w:p>
    <w:p w:rsidR="00A90462" w:rsidRPr="00CD08A7" w:rsidRDefault="00A90462" w:rsidP="00A90462">
      <w:pPr>
        <w:rPr>
          <w:b/>
        </w:rPr>
      </w:pPr>
      <w:r w:rsidRPr="00CD08A7">
        <w:rPr>
          <w:b/>
        </w:rPr>
        <w:t>Léčivá(é) látka(y):</w:t>
      </w:r>
    </w:p>
    <w:p w:rsidR="00A90462" w:rsidRPr="00CD08A7" w:rsidRDefault="00A90462" w:rsidP="00A90462">
      <w:pPr>
        <w:tabs>
          <w:tab w:val="left" w:pos="1701"/>
        </w:tabs>
        <w:rPr>
          <w:iCs/>
        </w:rPr>
      </w:pPr>
      <w:proofErr w:type="spellStart"/>
      <w:r w:rsidRPr="00CD08A7">
        <w:rPr>
          <w:iCs/>
        </w:rPr>
        <w:t>Paromomycinum</w:t>
      </w:r>
      <w:proofErr w:type="spellEnd"/>
      <w:r w:rsidRPr="00CD08A7">
        <w:rPr>
          <w:iCs/>
        </w:rPr>
        <w:t xml:space="preserve"> (jako </w:t>
      </w:r>
      <w:proofErr w:type="spellStart"/>
      <w:r w:rsidRPr="00CD08A7">
        <w:rPr>
          <w:iCs/>
        </w:rPr>
        <w:t>sulfas</w:t>
      </w:r>
      <w:proofErr w:type="spellEnd"/>
      <w:r w:rsidRPr="00CD08A7">
        <w:rPr>
          <w:iCs/>
        </w:rPr>
        <w:t>)</w:t>
      </w:r>
      <w:r w:rsidRPr="00CD08A7">
        <w:rPr>
          <w:iCs/>
        </w:rPr>
        <w:tab/>
      </w:r>
      <w:r w:rsidRPr="00CD08A7">
        <w:rPr>
          <w:iCs/>
        </w:rPr>
        <w:tab/>
      </w:r>
      <w:r w:rsidRPr="00CD08A7">
        <w:rPr>
          <w:iCs/>
        </w:rPr>
        <w:tab/>
        <w:t>140 mg</w:t>
      </w:r>
    </w:p>
    <w:p w:rsidR="00A90462" w:rsidRPr="002067F6" w:rsidRDefault="00A90462" w:rsidP="00A90462">
      <w:pPr>
        <w:pStyle w:val="Normal1"/>
        <w:rPr>
          <w:lang w:val="cs-CZ"/>
        </w:rPr>
      </w:pPr>
      <w:r w:rsidRPr="002067F6">
        <w:rPr>
          <w:lang w:val="cs-CZ"/>
        </w:rPr>
        <w:t>(</w:t>
      </w:r>
      <w:r w:rsidRPr="00CD08A7">
        <w:rPr>
          <w:lang w:val="cs-CZ"/>
        </w:rPr>
        <w:t>odpovídá</w:t>
      </w:r>
      <w:r w:rsidRPr="002067F6">
        <w:rPr>
          <w:lang w:val="cs-CZ"/>
        </w:rPr>
        <w:t xml:space="preserve"> 140 000 IU </w:t>
      </w:r>
      <w:proofErr w:type="spellStart"/>
      <w:r w:rsidRPr="002067F6">
        <w:rPr>
          <w:lang w:val="cs-CZ"/>
        </w:rPr>
        <w:t>paromomycinum</w:t>
      </w:r>
      <w:proofErr w:type="spellEnd"/>
      <w:r w:rsidRPr="002067F6">
        <w:rPr>
          <w:lang w:val="cs-CZ"/>
        </w:rPr>
        <w:t>)</w:t>
      </w:r>
    </w:p>
    <w:p w:rsidR="00A90462" w:rsidRPr="002067F6" w:rsidRDefault="00A90462" w:rsidP="00A90462">
      <w:pPr>
        <w:pStyle w:val="Normal1"/>
        <w:rPr>
          <w:lang w:val="cs-CZ"/>
        </w:rPr>
      </w:pPr>
      <w:r w:rsidRPr="002067F6">
        <w:rPr>
          <w:lang w:val="cs-CZ"/>
        </w:rPr>
        <w:t>(p</w:t>
      </w:r>
      <w:r w:rsidRPr="00CD08A7">
        <w:rPr>
          <w:lang w:val="cs-CZ"/>
        </w:rPr>
        <w:t>ř</w:t>
      </w:r>
      <w:r w:rsidRPr="002067F6">
        <w:rPr>
          <w:lang w:val="cs-CZ"/>
        </w:rPr>
        <w:t xml:space="preserve">ibližně </w:t>
      </w:r>
      <w:r w:rsidRPr="00CD08A7">
        <w:rPr>
          <w:lang w:val="cs-CZ"/>
        </w:rPr>
        <w:t xml:space="preserve">odpovídá </w:t>
      </w:r>
      <w:r w:rsidRPr="002067F6">
        <w:rPr>
          <w:lang w:val="cs-CZ"/>
        </w:rPr>
        <w:t xml:space="preserve">200 mg </w:t>
      </w:r>
      <w:proofErr w:type="spellStart"/>
      <w:r w:rsidRPr="002067F6">
        <w:rPr>
          <w:lang w:val="cs-CZ"/>
        </w:rPr>
        <w:t>paromomycini</w:t>
      </w:r>
      <w:proofErr w:type="spellEnd"/>
      <w:r w:rsidRPr="002067F6">
        <w:rPr>
          <w:lang w:val="cs-CZ"/>
        </w:rPr>
        <w:t xml:space="preserve"> </w:t>
      </w:r>
      <w:proofErr w:type="spellStart"/>
      <w:r w:rsidRPr="002067F6">
        <w:rPr>
          <w:lang w:val="cs-CZ"/>
        </w:rPr>
        <w:t>sulfas</w:t>
      </w:r>
      <w:proofErr w:type="spellEnd"/>
      <w:r w:rsidRPr="002067F6">
        <w:rPr>
          <w:lang w:val="cs-CZ"/>
        </w:rPr>
        <w:t>)</w:t>
      </w:r>
    </w:p>
    <w:p w:rsidR="00A90462" w:rsidRPr="00CD08A7" w:rsidRDefault="00A90462" w:rsidP="00A90462">
      <w:pPr>
        <w:tabs>
          <w:tab w:val="left" w:pos="1701"/>
        </w:tabs>
        <w:rPr>
          <w:iCs/>
        </w:rPr>
      </w:pPr>
    </w:p>
    <w:p w:rsidR="00A90462" w:rsidRPr="00CD08A7" w:rsidRDefault="00A90462" w:rsidP="00A90462">
      <w:pPr>
        <w:rPr>
          <w:b/>
        </w:rPr>
      </w:pPr>
      <w:r w:rsidRPr="00CD08A7">
        <w:rPr>
          <w:b/>
        </w:rPr>
        <w:t>Pomocné látky:</w:t>
      </w:r>
    </w:p>
    <w:p w:rsidR="00A90462" w:rsidRPr="002067F6" w:rsidRDefault="00A90462" w:rsidP="00A90462">
      <w:pPr>
        <w:pStyle w:val="Normal1"/>
        <w:tabs>
          <w:tab w:val="left" w:pos="4536"/>
        </w:tabs>
        <w:rPr>
          <w:lang w:val="cs-CZ"/>
        </w:rPr>
      </w:pPr>
      <w:r w:rsidRPr="002067F6">
        <w:rPr>
          <w:lang w:val="cs-CZ"/>
        </w:rPr>
        <w:t xml:space="preserve">Benzyl alkohol </w:t>
      </w:r>
      <w:r w:rsidRPr="002067F6">
        <w:rPr>
          <w:lang w:val="cs-CZ"/>
        </w:rPr>
        <w:tab/>
        <w:t>(E1519)</w:t>
      </w:r>
      <w:r w:rsidRPr="002067F6">
        <w:rPr>
          <w:lang w:val="cs-CZ"/>
        </w:rPr>
        <w:tab/>
        <w:t xml:space="preserve">7.5 mg </w:t>
      </w:r>
    </w:p>
    <w:p w:rsidR="00A90462" w:rsidRPr="002067F6" w:rsidRDefault="00A90462" w:rsidP="00A90462">
      <w:pPr>
        <w:pStyle w:val="Normal1"/>
        <w:tabs>
          <w:tab w:val="left" w:pos="4536"/>
        </w:tabs>
        <w:rPr>
          <w:lang w:val="cs-CZ"/>
        </w:rPr>
      </w:pPr>
      <w:proofErr w:type="spellStart"/>
      <w:r w:rsidRPr="00CD08A7">
        <w:rPr>
          <w:lang w:val="cs-CZ"/>
        </w:rPr>
        <w:t>Disiřičitan</w:t>
      </w:r>
      <w:proofErr w:type="spellEnd"/>
      <w:r w:rsidRPr="002067F6">
        <w:rPr>
          <w:lang w:val="cs-CZ"/>
        </w:rPr>
        <w:t xml:space="preserve"> sodný</w:t>
      </w:r>
      <w:r w:rsidRPr="002067F6">
        <w:rPr>
          <w:lang w:val="cs-CZ"/>
        </w:rPr>
        <w:tab/>
        <w:t>(E223)</w:t>
      </w:r>
      <w:r w:rsidRPr="002067F6">
        <w:rPr>
          <w:lang w:val="cs-CZ"/>
        </w:rPr>
        <w:tab/>
        <w:t>3.0 mg</w:t>
      </w:r>
    </w:p>
    <w:p w:rsidR="00A90462" w:rsidRPr="00CD08A7" w:rsidRDefault="00A90462" w:rsidP="00A90462"/>
    <w:p w:rsidR="00A90462" w:rsidRPr="00CD08A7" w:rsidRDefault="00A90462" w:rsidP="00A90462">
      <w:r w:rsidRPr="00CD08A7">
        <w:t>Úplný seznam pomocných látek viz bod 6.1.</w:t>
      </w:r>
    </w:p>
    <w:p w:rsidR="00A90462" w:rsidRPr="00CD08A7" w:rsidRDefault="00A90462" w:rsidP="00A90462"/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3.</w:t>
      </w:r>
      <w:r w:rsidRPr="00CD08A7">
        <w:rPr>
          <w:b/>
        </w:rPr>
        <w:tab/>
        <w:t>LÉKOVÁ FORMA</w:t>
      </w:r>
    </w:p>
    <w:p w:rsidR="00A90462" w:rsidRPr="00CD08A7" w:rsidRDefault="00A90462" w:rsidP="00A90462"/>
    <w:p w:rsidR="00A90462" w:rsidRPr="00CD08A7" w:rsidRDefault="00A90462" w:rsidP="00A90462">
      <w:pPr>
        <w:rPr>
          <w:szCs w:val="22"/>
        </w:rPr>
      </w:pPr>
      <w:r w:rsidRPr="00CD08A7">
        <w:t xml:space="preserve">Roztok </w:t>
      </w:r>
      <w:r w:rsidRPr="00CD08A7">
        <w:rPr>
          <w:szCs w:val="22"/>
        </w:rPr>
        <w:t>pro podání v pitné vodě, mléce nebo mléčné náhražce.</w:t>
      </w:r>
    </w:p>
    <w:p w:rsidR="00A90462" w:rsidRPr="00CD08A7" w:rsidRDefault="00A90462" w:rsidP="00A90462">
      <w:r w:rsidRPr="00CD08A7">
        <w:t>Světle žlutý až žlutý roztok.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4.</w:t>
      </w:r>
      <w:r w:rsidRPr="00CD08A7">
        <w:rPr>
          <w:b/>
        </w:rPr>
        <w:tab/>
        <w:t>KLINICKÉ ÚDAJE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4.1</w:t>
      </w:r>
      <w:r w:rsidRPr="00CD08A7">
        <w:rPr>
          <w:b/>
        </w:rPr>
        <w:tab/>
        <w:t>Cílové druhy zvířat</w:t>
      </w:r>
    </w:p>
    <w:p w:rsidR="00A90462" w:rsidRPr="00CD08A7" w:rsidRDefault="00A90462" w:rsidP="00A90462"/>
    <w:p w:rsidR="00A90462" w:rsidRPr="00CD08A7" w:rsidRDefault="00A90462" w:rsidP="00A90462">
      <w:r w:rsidRPr="00CD08A7">
        <w:t>Skot (</w:t>
      </w:r>
      <w:proofErr w:type="spellStart"/>
      <w:r w:rsidRPr="00CD08A7">
        <w:t>neruminující</w:t>
      </w:r>
      <w:proofErr w:type="spellEnd"/>
      <w:r w:rsidRPr="00CD08A7">
        <w:t xml:space="preserve"> skot), prasata.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4.2</w:t>
      </w:r>
      <w:r w:rsidRPr="00CD08A7">
        <w:rPr>
          <w:b/>
        </w:rPr>
        <w:tab/>
        <w:t xml:space="preserve">Indikace s upřesněním pro cílový druh zvířat </w:t>
      </w:r>
    </w:p>
    <w:p w:rsidR="00A90462" w:rsidRPr="00CD08A7" w:rsidRDefault="00A90462" w:rsidP="00A90462"/>
    <w:p w:rsidR="00A90462" w:rsidRPr="00CD08A7" w:rsidRDefault="00A90462" w:rsidP="00A90462">
      <w:pPr>
        <w:rPr>
          <w:szCs w:val="22"/>
        </w:rPr>
      </w:pPr>
      <w:r w:rsidRPr="00CD08A7">
        <w:rPr>
          <w:szCs w:val="22"/>
        </w:rPr>
        <w:t xml:space="preserve">Léčba infekcí gastrointestinálního traktu vyvolaných </w:t>
      </w:r>
      <w:proofErr w:type="spellStart"/>
      <w:r w:rsidRPr="00CD08A7">
        <w:rPr>
          <w:i/>
          <w:szCs w:val="22"/>
        </w:rPr>
        <w:t>Escherichia</w:t>
      </w:r>
      <w:proofErr w:type="spellEnd"/>
      <w:r w:rsidRPr="00CD08A7">
        <w:rPr>
          <w:i/>
          <w:szCs w:val="22"/>
        </w:rPr>
        <w:t xml:space="preserve"> coli</w:t>
      </w:r>
      <w:r>
        <w:rPr>
          <w:i/>
          <w:szCs w:val="22"/>
        </w:rPr>
        <w:t xml:space="preserve"> </w:t>
      </w:r>
      <w:r w:rsidRPr="00CD08A7">
        <w:rPr>
          <w:szCs w:val="22"/>
        </w:rPr>
        <w:t xml:space="preserve">citlivými na </w:t>
      </w:r>
      <w:proofErr w:type="spellStart"/>
      <w:r w:rsidRPr="00CD08A7">
        <w:rPr>
          <w:szCs w:val="22"/>
        </w:rPr>
        <w:t>paromomycin</w:t>
      </w:r>
      <w:proofErr w:type="spellEnd"/>
      <w:r w:rsidRPr="00CD08A7">
        <w:rPr>
          <w:szCs w:val="22"/>
        </w:rPr>
        <w:t>.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4.3</w:t>
      </w:r>
      <w:r w:rsidRPr="00CD08A7">
        <w:rPr>
          <w:b/>
        </w:rPr>
        <w:tab/>
        <w:t>Kontraindikace</w:t>
      </w:r>
    </w:p>
    <w:p w:rsidR="00A90462" w:rsidRPr="00CD08A7" w:rsidRDefault="00A90462" w:rsidP="00A90462"/>
    <w:p w:rsidR="00A90462" w:rsidRPr="00CD08A7" w:rsidRDefault="00A90462" w:rsidP="00A90462">
      <w:pPr>
        <w:tabs>
          <w:tab w:val="left" w:pos="540"/>
        </w:tabs>
        <w:spacing w:line="260" w:lineRule="atLeast"/>
        <w:ind w:left="0" w:firstLine="0"/>
      </w:pPr>
      <w:r w:rsidRPr="00CD08A7">
        <w:rPr>
          <w:kern w:val="14"/>
          <w:szCs w:val="22"/>
          <w:lang w:eastAsia="nl-NL"/>
        </w:rPr>
        <w:t xml:space="preserve">Nepoužívat u zvířat se známou přecitlivělostí na </w:t>
      </w:r>
      <w:proofErr w:type="spellStart"/>
      <w:r w:rsidRPr="00CD08A7">
        <w:rPr>
          <w:kern w:val="14"/>
          <w:szCs w:val="22"/>
          <w:lang w:eastAsia="nl-NL"/>
        </w:rPr>
        <w:t>paromomycin</w:t>
      </w:r>
      <w:proofErr w:type="spellEnd"/>
      <w:r w:rsidRPr="00CD08A7">
        <w:rPr>
          <w:kern w:val="14"/>
          <w:szCs w:val="22"/>
          <w:lang w:eastAsia="nl-NL"/>
        </w:rPr>
        <w:t>, jiné aminoglykosidy nebo na některou z pomocných látek.</w:t>
      </w:r>
    </w:p>
    <w:p w:rsidR="00A90462" w:rsidRPr="00CD08A7" w:rsidRDefault="00A90462" w:rsidP="00A90462">
      <w:pPr>
        <w:tabs>
          <w:tab w:val="left" w:pos="355"/>
        </w:tabs>
      </w:pPr>
      <w:r w:rsidRPr="00CD08A7">
        <w:t>Nepoužívat v případech zhoršené funkce ledvin nebo jater.</w:t>
      </w:r>
    </w:p>
    <w:p w:rsidR="00A90462" w:rsidRPr="00CD08A7" w:rsidRDefault="00A90462" w:rsidP="00A90462">
      <w:pPr>
        <w:tabs>
          <w:tab w:val="left" w:pos="355"/>
        </w:tabs>
      </w:pPr>
      <w:r w:rsidRPr="00CD08A7">
        <w:t>Nepoužívat u zvířat s rozvinutou funkcí předžaludku.</w:t>
      </w:r>
    </w:p>
    <w:p w:rsidR="00A90462" w:rsidRPr="00CD08A7" w:rsidRDefault="00A90462" w:rsidP="00A90462">
      <w:pPr>
        <w:rPr>
          <w:szCs w:val="22"/>
        </w:rPr>
      </w:pPr>
      <w:r w:rsidRPr="00CD08A7">
        <w:rPr>
          <w:szCs w:val="22"/>
        </w:rPr>
        <w:t xml:space="preserve">Nepoužívat u krůt vzhledem k riziku selekce rezistence na </w:t>
      </w:r>
      <w:proofErr w:type="spellStart"/>
      <w:r w:rsidRPr="00CD08A7">
        <w:rPr>
          <w:szCs w:val="22"/>
        </w:rPr>
        <w:t>antimikrobika</w:t>
      </w:r>
      <w:proofErr w:type="spellEnd"/>
      <w:r w:rsidRPr="00CD08A7">
        <w:rPr>
          <w:szCs w:val="22"/>
        </w:rPr>
        <w:t xml:space="preserve"> u střevních bakterií.</w:t>
      </w:r>
    </w:p>
    <w:p w:rsidR="00A90462" w:rsidRPr="00CD08A7" w:rsidRDefault="00A90462" w:rsidP="00A90462"/>
    <w:p w:rsidR="00A90462" w:rsidRPr="00CD08A7" w:rsidRDefault="00A90462" w:rsidP="00A90462">
      <w:pPr>
        <w:rPr>
          <w:b/>
        </w:rPr>
      </w:pPr>
      <w:r w:rsidRPr="00CD08A7">
        <w:rPr>
          <w:b/>
        </w:rPr>
        <w:t>4.4</w:t>
      </w:r>
      <w:r w:rsidRPr="00CD08A7">
        <w:rPr>
          <w:b/>
        </w:rPr>
        <w:tab/>
        <w:t>Zvláštní upozornění pro každý cílový druh</w:t>
      </w:r>
    </w:p>
    <w:p w:rsidR="00A90462" w:rsidRPr="00CD08A7" w:rsidRDefault="00A90462" w:rsidP="00A90462"/>
    <w:p w:rsidR="00A90462" w:rsidRPr="00CD08A7" w:rsidRDefault="00A90462" w:rsidP="00A90462">
      <w:r w:rsidRPr="00CD08A7">
        <w:t>Nejsou.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4.5</w:t>
      </w:r>
      <w:r w:rsidRPr="00CD08A7">
        <w:rPr>
          <w:b/>
        </w:rPr>
        <w:tab/>
        <w:t>Zvláštní opatření pro použití</w:t>
      </w:r>
    </w:p>
    <w:p w:rsidR="00A90462" w:rsidRPr="00CD08A7" w:rsidRDefault="00A90462" w:rsidP="00A90462"/>
    <w:p w:rsidR="00A90462" w:rsidRPr="00CD08A7" w:rsidRDefault="00A90462" w:rsidP="00A90462">
      <w:pPr>
        <w:rPr>
          <w:u w:val="single"/>
        </w:rPr>
      </w:pPr>
      <w:r w:rsidRPr="00CD08A7">
        <w:rPr>
          <w:u w:val="single"/>
        </w:rPr>
        <w:t>Zvláštní opatření pro použití u zvířat</w:t>
      </w:r>
    </w:p>
    <w:p w:rsidR="00A90462" w:rsidRPr="00CD08A7" w:rsidRDefault="00A90462" w:rsidP="00A90462">
      <w:pPr>
        <w:widowControl w:val="0"/>
        <w:autoSpaceDE w:val="0"/>
        <w:autoSpaceDN w:val="0"/>
        <w:adjustRightInd w:val="0"/>
        <w:spacing w:line="260" w:lineRule="atLeast"/>
        <w:ind w:left="0" w:firstLine="0"/>
        <w:jc w:val="both"/>
        <w:rPr>
          <w:bCs/>
          <w:kern w:val="14"/>
          <w:szCs w:val="22"/>
          <w:lang w:eastAsia="nl-NL"/>
        </w:rPr>
      </w:pPr>
      <w:r w:rsidRPr="00CD08A7">
        <w:rPr>
          <w:bCs/>
          <w:kern w:val="14"/>
          <w:szCs w:val="22"/>
          <w:lang w:eastAsia="nl-NL"/>
        </w:rPr>
        <w:t>Příjem léčiva zvířaty může být ovlivněn v důsledku onemocnění. V případě nedostatečného příjmu vody/mléka musí být zvířata léčena parenterálně s použitím vhodného injekčního přípravku, o kterém rozhodne ošetřující veterinární lékař.</w:t>
      </w:r>
    </w:p>
    <w:p w:rsidR="00A90462" w:rsidRPr="00CD08A7" w:rsidRDefault="00A90462" w:rsidP="00A90462">
      <w:pPr>
        <w:widowControl w:val="0"/>
        <w:autoSpaceDE w:val="0"/>
        <w:autoSpaceDN w:val="0"/>
        <w:adjustRightInd w:val="0"/>
        <w:spacing w:line="260" w:lineRule="atLeast"/>
        <w:ind w:left="0" w:firstLine="0"/>
        <w:jc w:val="both"/>
        <w:rPr>
          <w:b/>
          <w:szCs w:val="22"/>
        </w:rPr>
      </w:pPr>
      <w:r w:rsidRPr="00CD08A7">
        <w:rPr>
          <w:bCs/>
          <w:kern w:val="14"/>
          <w:szCs w:val="22"/>
          <w:lang w:eastAsia="nl-NL"/>
        </w:rPr>
        <w:t>Použití přípravku musí být kombinováno s opatřeními přijímanými v souladu se správnou chovatelskou praxí, včetně dobré hygieny, řádného větrání a počtu ustájených zvířat odpovídajícímu kapacitě stájí.</w:t>
      </w:r>
    </w:p>
    <w:p w:rsidR="00A90462" w:rsidRPr="00CD08A7" w:rsidRDefault="00A90462" w:rsidP="00A90462">
      <w:pPr>
        <w:ind w:left="0" w:firstLine="0"/>
        <w:jc w:val="both"/>
        <w:rPr>
          <w:szCs w:val="22"/>
        </w:rPr>
      </w:pPr>
      <w:r w:rsidRPr="00CD08A7">
        <w:rPr>
          <w:szCs w:val="22"/>
        </w:rPr>
        <w:lastRenderedPageBreak/>
        <w:t xml:space="preserve">Vzhledem k tomu, že je přípravek potenciálně </w:t>
      </w:r>
      <w:proofErr w:type="spellStart"/>
      <w:r w:rsidRPr="00CD08A7">
        <w:rPr>
          <w:szCs w:val="22"/>
        </w:rPr>
        <w:t>ototoxický</w:t>
      </w:r>
      <w:proofErr w:type="spellEnd"/>
      <w:r w:rsidRPr="00CD08A7">
        <w:rPr>
          <w:szCs w:val="22"/>
        </w:rPr>
        <w:t xml:space="preserve"> a </w:t>
      </w:r>
      <w:proofErr w:type="spellStart"/>
      <w:r w:rsidRPr="00CD08A7">
        <w:rPr>
          <w:szCs w:val="22"/>
        </w:rPr>
        <w:t>nefrotoxický</w:t>
      </w:r>
      <w:proofErr w:type="spellEnd"/>
      <w:r w:rsidRPr="00CD08A7">
        <w:rPr>
          <w:szCs w:val="22"/>
        </w:rPr>
        <w:t xml:space="preserve">, doporučuje se vyhodnotit funkčnost ledvin. </w:t>
      </w:r>
    </w:p>
    <w:p w:rsidR="00A90462" w:rsidRPr="00CD08A7" w:rsidRDefault="00A90462" w:rsidP="00A90462">
      <w:pPr>
        <w:tabs>
          <w:tab w:val="left" w:pos="720"/>
        </w:tabs>
        <w:ind w:left="0" w:firstLine="0"/>
        <w:jc w:val="both"/>
        <w:rPr>
          <w:szCs w:val="22"/>
        </w:rPr>
      </w:pPr>
      <w:r w:rsidRPr="00CD08A7">
        <w:rPr>
          <w:szCs w:val="22"/>
        </w:rPr>
        <w:t xml:space="preserve">Je třeba věnovat zvláštní pozornost při zvažování podávání přípravku novorozeným mláďatům vzhledem na známou vyšší gastrointestinální absorpci </w:t>
      </w:r>
      <w:proofErr w:type="spellStart"/>
      <w:r w:rsidRPr="00CD08A7">
        <w:rPr>
          <w:szCs w:val="22"/>
        </w:rPr>
        <w:t>paromomycinu</w:t>
      </w:r>
      <w:proofErr w:type="spellEnd"/>
      <w:r w:rsidRPr="00CD08A7">
        <w:rPr>
          <w:szCs w:val="22"/>
        </w:rPr>
        <w:t xml:space="preserve">. Tato vyšší absorpce by mohla vést ke zvýšenému riziku </w:t>
      </w:r>
      <w:proofErr w:type="spellStart"/>
      <w:r w:rsidRPr="00CD08A7">
        <w:rPr>
          <w:szCs w:val="22"/>
        </w:rPr>
        <w:t>oto</w:t>
      </w:r>
      <w:proofErr w:type="spellEnd"/>
      <w:r w:rsidRPr="00CD08A7">
        <w:rPr>
          <w:szCs w:val="22"/>
        </w:rPr>
        <w:t xml:space="preserve">- a </w:t>
      </w:r>
      <w:proofErr w:type="spellStart"/>
      <w:r w:rsidRPr="00CD08A7">
        <w:rPr>
          <w:szCs w:val="22"/>
        </w:rPr>
        <w:t>nefrotoxicity</w:t>
      </w:r>
      <w:proofErr w:type="spellEnd"/>
      <w:r w:rsidRPr="00CD08A7">
        <w:rPr>
          <w:szCs w:val="22"/>
        </w:rPr>
        <w:t>. Použití přípravku u novorozených mláďat by mělo vycházet z hodnocení přínosu a rizika příslušným veterinárním lékařem.</w:t>
      </w:r>
    </w:p>
    <w:p w:rsidR="00A90462" w:rsidRPr="00CD08A7" w:rsidRDefault="00A90462" w:rsidP="00A90462">
      <w:pPr>
        <w:ind w:left="0" w:firstLine="0"/>
        <w:jc w:val="both"/>
        <w:rPr>
          <w:szCs w:val="24"/>
        </w:rPr>
      </w:pPr>
      <w:r w:rsidRPr="00CD08A7">
        <w:rPr>
          <w:szCs w:val="22"/>
        </w:rPr>
        <w:t xml:space="preserve">Formou opatření, která vedou ke zlepšení postupů řízení chovu a řádným prováděním čistění a desinfekce je třeba zamezit dlouhodobému nebo opakovanému užívání přípravku. </w:t>
      </w:r>
      <w:r w:rsidRPr="00CD08A7">
        <w:rPr>
          <w:szCs w:val="22"/>
        </w:rPr>
        <w:br/>
        <w:t xml:space="preserve">Použití přípravku by mělo být založeno na výsledcích stanovení citlivosti bakterií izolovaných z postiženého zvířete. Není-li to možné, měla by být léčba založena na místních (na úrovni regionu, hospodářství) epidemiologických informacích o citlivosti cílových bakterií. </w:t>
      </w:r>
      <w:r w:rsidRPr="00CD08A7">
        <w:rPr>
          <w:szCs w:val="24"/>
        </w:rPr>
        <w:t>Při použití tohoto přípravku je nutno vzít v úvahu oficiální, národní a místní pravidla antibiotické politiky.</w:t>
      </w:r>
    </w:p>
    <w:p w:rsidR="00A90462" w:rsidRPr="00CD08A7" w:rsidRDefault="00A90462" w:rsidP="00A90462">
      <w:pPr>
        <w:ind w:left="0" w:firstLine="0"/>
        <w:jc w:val="both"/>
        <w:rPr>
          <w:szCs w:val="24"/>
        </w:rPr>
      </w:pPr>
      <w:r w:rsidRPr="00CD08A7">
        <w:rPr>
          <w:szCs w:val="24"/>
        </w:rPr>
        <w:t xml:space="preserve">Použití přípravku v rozporu s pokyny uvedenými v souhrnu údajů o přípravku může zvýšit prevalenci kmenů bakterií rezistentních na </w:t>
      </w:r>
      <w:proofErr w:type="spellStart"/>
      <w:r w:rsidRPr="00CD08A7">
        <w:rPr>
          <w:szCs w:val="24"/>
        </w:rPr>
        <w:t>paromomycin</w:t>
      </w:r>
      <w:proofErr w:type="spellEnd"/>
      <w:r w:rsidRPr="00CD08A7">
        <w:rPr>
          <w:szCs w:val="24"/>
        </w:rPr>
        <w:t xml:space="preserve"> a může snížit účinnost terapie ostatními aminoglykosidy z důvodů možné zkřížené rezistence. </w:t>
      </w:r>
    </w:p>
    <w:p w:rsidR="00A90462" w:rsidRPr="00CD08A7" w:rsidRDefault="00A90462" w:rsidP="00A90462">
      <w:pPr>
        <w:jc w:val="both"/>
      </w:pPr>
      <w:r w:rsidRPr="00CD08A7">
        <w:t xml:space="preserve">Aminoglykosidy jsou považovány za kriticky významná antimikrobní léčiva v humánní medicíně. </w:t>
      </w:r>
    </w:p>
    <w:p w:rsidR="00A90462" w:rsidRPr="00CD08A7" w:rsidRDefault="00A90462" w:rsidP="00A90462">
      <w:pPr>
        <w:jc w:val="both"/>
      </w:pPr>
      <w:r w:rsidRPr="00CD08A7">
        <w:t>Proto by ve veterinární medicíně neměly být používány jako léčiva první volby.</w:t>
      </w:r>
    </w:p>
    <w:p w:rsidR="00A90462" w:rsidRPr="00CD08A7" w:rsidRDefault="00A90462" w:rsidP="00A90462"/>
    <w:p w:rsidR="00A90462" w:rsidRPr="00CD08A7" w:rsidRDefault="00A90462" w:rsidP="00A90462">
      <w:pPr>
        <w:keepNext/>
        <w:rPr>
          <w:u w:val="single"/>
        </w:rPr>
      </w:pPr>
      <w:r w:rsidRPr="00CD08A7">
        <w:rPr>
          <w:u w:val="single"/>
        </w:rPr>
        <w:t>Zvláštní opatření určené osobám, které podávají veterinární léčivý přípravek zvířatům</w:t>
      </w:r>
    </w:p>
    <w:p w:rsidR="00A90462" w:rsidRDefault="00A90462" w:rsidP="00A90462">
      <w:pPr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 xml:space="preserve">Tento </w:t>
      </w:r>
      <w:r>
        <w:rPr>
          <w:kern w:val="14"/>
          <w:szCs w:val="22"/>
          <w:lang w:eastAsia="nl-NL"/>
        </w:rPr>
        <w:t>přípravek</w:t>
      </w:r>
      <w:r w:rsidRPr="00CD08A7">
        <w:rPr>
          <w:kern w:val="14"/>
          <w:szCs w:val="22"/>
          <w:lang w:eastAsia="nl-NL"/>
        </w:rPr>
        <w:t xml:space="preserve"> obsahuje </w:t>
      </w:r>
      <w:proofErr w:type="spellStart"/>
      <w:r w:rsidRPr="00CD08A7">
        <w:rPr>
          <w:kern w:val="14"/>
          <w:szCs w:val="22"/>
          <w:lang w:eastAsia="nl-NL"/>
        </w:rPr>
        <w:t>paromomycin</w:t>
      </w:r>
      <w:proofErr w:type="spellEnd"/>
      <w:r w:rsidRPr="00CD08A7">
        <w:rPr>
          <w:kern w:val="14"/>
          <w:szCs w:val="22"/>
          <w:lang w:eastAsia="nl-NL"/>
        </w:rPr>
        <w:t xml:space="preserve">, který může u některých lidí způsobit alergické reakce. </w:t>
      </w:r>
    </w:p>
    <w:p w:rsidR="00A90462" w:rsidRPr="00CD08A7" w:rsidRDefault="00A90462" w:rsidP="00A90462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 xml:space="preserve">Lidé se známou přecitlivělostí na </w:t>
      </w:r>
      <w:proofErr w:type="spellStart"/>
      <w:r w:rsidRPr="00CD08A7">
        <w:rPr>
          <w:kern w:val="14"/>
          <w:szCs w:val="22"/>
          <w:lang w:eastAsia="nl-NL"/>
        </w:rPr>
        <w:t>paromomycin</w:t>
      </w:r>
      <w:proofErr w:type="spellEnd"/>
      <w:r w:rsidRPr="00CD08A7">
        <w:rPr>
          <w:kern w:val="14"/>
          <w:szCs w:val="22"/>
          <w:lang w:eastAsia="nl-NL"/>
        </w:rPr>
        <w:t xml:space="preserve"> nebo jiné aminoglykosidy by se měli vyhnout kontaktu s veterinárním léčivým přípravkem.</w:t>
      </w:r>
    </w:p>
    <w:p w:rsidR="00A90462" w:rsidRPr="00CD08A7" w:rsidRDefault="00A90462" w:rsidP="00A90462">
      <w:pPr>
        <w:tabs>
          <w:tab w:val="left" w:pos="851"/>
        </w:tabs>
        <w:rPr>
          <w:szCs w:val="22"/>
        </w:rPr>
      </w:pPr>
      <w:r w:rsidRPr="002067F6">
        <w:rPr>
          <w:kern w:val="14"/>
          <w:szCs w:val="22"/>
          <w:lang w:eastAsia="nl-NL"/>
        </w:rPr>
        <w:t>Zabraňte kontaktu přípravku s kůží a očima.</w:t>
      </w:r>
    </w:p>
    <w:p w:rsidR="00A90462" w:rsidRPr="00CD08A7" w:rsidRDefault="00A90462" w:rsidP="00A90462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Při nakládání s veterinárním léčivým přípravkem by se měly používat osobní ochranné prostředky skládající se z ochranného oděvu a nepropustných rukavic.</w:t>
      </w:r>
    </w:p>
    <w:p w:rsidR="00A90462" w:rsidRPr="00CD08A7" w:rsidRDefault="00A90462" w:rsidP="00A90462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V případě náhodného kontaktu s kůží nebo očima, opláchněte velkým množstvím vody.</w:t>
      </w:r>
    </w:p>
    <w:p w:rsidR="00A90462" w:rsidRPr="00CD08A7" w:rsidRDefault="00A90462" w:rsidP="00A90462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Pokud se</w:t>
      </w:r>
      <w:r>
        <w:rPr>
          <w:kern w:val="14"/>
          <w:szCs w:val="22"/>
          <w:lang w:eastAsia="nl-NL"/>
        </w:rPr>
        <w:t xml:space="preserve"> po přímém kontaktu </w:t>
      </w:r>
      <w:r w:rsidRPr="00CD08A7">
        <w:rPr>
          <w:kern w:val="14"/>
          <w:szCs w:val="22"/>
          <w:lang w:eastAsia="nl-NL"/>
        </w:rPr>
        <w:t xml:space="preserve">objeví příznaky, jako </w:t>
      </w:r>
      <w:r>
        <w:rPr>
          <w:kern w:val="14"/>
          <w:szCs w:val="22"/>
          <w:lang w:eastAsia="nl-NL"/>
        </w:rPr>
        <w:t xml:space="preserve">například </w:t>
      </w:r>
      <w:r w:rsidRPr="00CD08A7">
        <w:rPr>
          <w:kern w:val="14"/>
          <w:szCs w:val="22"/>
          <w:lang w:eastAsia="nl-NL"/>
        </w:rPr>
        <w:t>kožní vyrážka, vyhledejte lékařskou pomoc a ukažte lékaři</w:t>
      </w:r>
      <w:r>
        <w:rPr>
          <w:kern w:val="14"/>
          <w:szCs w:val="22"/>
          <w:lang w:eastAsia="nl-NL"/>
        </w:rPr>
        <w:t xml:space="preserve"> toto upozornění</w:t>
      </w:r>
      <w:r w:rsidRPr="00CD08A7">
        <w:rPr>
          <w:kern w:val="14"/>
          <w:szCs w:val="22"/>
          <w:lang w:eastAsia="nl-NL"/>
        </w:rPr>
        <w:t xml:space="preserve">. Otok obličeje, rtů </w:t>
      </w:r>
      <w:r>
        <w:rPr>
          <w:kern w:val="14"/>
          <w:szCs w:val="22"/>
          <w:lang w:eastAsia="nl-NL"/>
        </w:rPr>
        <w:t>či</w:t>
      </w:r>
      <w:r w:rsidRPr="00CD08A7">
        <w:rPr>
          <w:kern w:val="14"/>
          <w:szCs w:val="22"/>
          <w:lang w:eastAsia="nl-NL"/>
        </w:rPr>
        <w:t xml:space="preserve"> očí nebo potíže s dýcháním jsou vážné příznaky a vyžadují okamžitou lékařskou pomoc.</w:t>
      </w:r>
    </w:p>
    <w:p w:rsidR="00A90462" w:rsidRPr="00CD08A7" w:rsidRDefault="00A90462" w:rsidP="00A90462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Při nakládání s přípravkem nejezte, nepijte a nekuřte.</w:t>
      </w:r>
    </w:p>
    <w:p w:rsidR="00A90462" w:rsidRPr="00CD08A7" w:rsidRDefault="00A90462" w:rsidP="00A90462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Přípravek nepožívejte. V případě náhodného po</w:t>
      </w:r>
      <w:r>
        <w:rPr>
          <w:kern w:val="14"/>
          <w:szCs w:val="22"/>
          <w:lang w:eastAsia="nl-NL"/>
        </w:rPr>
        <w:t>zření</w:t>
      </w:r>
      <w:r w:rsidRPr="00CD08A7">
        <w:rPr>
          <w:kern w:val="14"/>
          <w:szCs w:val="22"/>
          <w:lang w:eastAsia="nl-NL"/>
        </w:rPr>
        <w:t xml:space="preserve"> vyhledejte ihned lékařskou pomoc a ukažte etiketu praktickému lékaři.</w:t>
      </w:r>
    </w:p>
    <w:p w:rsidR="00A90462" w:rsidRPr="00CD08A7" w:rsidRDefault="00A90462" w:rsidP="00A90462">
      <w:pPr>
        <w:ind w:left="0" w:firstLine="0"/>
        <w:jc w:val="both"/>
        <w:rPr>
          <w:kern w:val="14"/>
          <w:szCs w:val="22"/>
          <w:lang w:eastAsia="nl-NL"/>
        </w:rPr>
      </w:pPr>
      <w:r w:rsidRPr="00CD08A7">
        <w:rPr>
          <w:kern w:val="14"/>
          <w:szCs w:val="22"/>
          <w:lang w:eastAsia="nl-NL"/>
        </w:rPr>
        <w:t>Po použití si umyjte ruce.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4.6</w:t>
      </w:r>
      <w:r w:rsidRPr="00CD08A7">
        <w:rPr>
          <w:b/>
        </w:rPr>
        <w:tab/>
        <w:t>Nežádoucí účinky (frekvence a závažnost)</w:t>
      </w:r>
    </w:p>
    <w:p w:rsidR="00A90462" w:rsidRPr="00CD08A7" w:rsidRDefault="00A90462" w:rsidP="00A90462">
      <w:pPr>
        <w:rPr>
          <w:b/>
        </w:rPr>
      </w:pPr>
    </w:p>
    <w:p w:rsidR="00A90462" w:rsidRPr="00CD08A7" w:rsidRDefault="00A90462" w:rsidP="00A90462">
      <w:pPr>
        <w:rPr>
          <w:b/>
        </w:rPr>
      </w:pPr>
      <w:r w:rsidRPr="00CD08A7">
        <w:rPr>
          <w:szCs w:val="22"/>
        </w:rPr>
        <w:t>Ve vzácných případech byla pozorována řídká stolice.</w:t>
      </w:r>
    </w:p>
    <w:p w:rsidR="00A90462" w:rsidRPr="00CD08A7" w:rsidRDefault="00A90462" w:rsidP="00A90462">
      <w:pPr>
        <w:ind w:left="0" w:firstLine="0"/>
        <w:rPr>
          <w:szCs w:val="22"/>
        </w:rPr>
      </w:pPr>
      <w:r w:rsidRPr="00CD08A7">
        <w:rPr>
          <w:szCs w:val="22"/>
        </w:rPr>
        <w:t>Četnost nežádoucích účinků je charakterizována podle následujících pravidel:</w:t>
      </w:r>
    </w:p>
    <w:p w:rsidR="00A90462" w:rsidRPr="00CD08A7" w:rsidRDefault="00A90462" w:rsidP="00A90462">
      <w:pPr>
        <w:ind w:left="0" w:firstLine="0"/>
        <w:rPr>
          <w:szCs w:val="22"/>
        </w:rPr>
      </w:pPr>
      <w:r w:rsidRPr="00CD08A7">
        <w:rPr>
          <w:szCs w:val="22"/>
        </w:rPr>
        <w:t>- velmi časté (nežádoucí účinek(</w:t>
      </w:r>
      <w:proofErr w:type="spellStart"/>
      <w:r w:rsidRPr="00CD08A7">
        <w:rPr>
          <w:szCs w:val="22"/>
        </w:rPr>
        <w:t>nky</w:t>
      </w:r>
      <w:proofErr w:type="spellEnd"/>
      <w:r w:rsidRPr="00CD08A7">
        <w:rPr>
          <w:szCs w:val="22"/>
        </w:rPr>
        <w:t>) se projevil(y) u více než 1 z 10 ošetřených zvířat)</w:t>
      </w:r>
    </w:p>
    <w:p w:rsidR="00A90462" w:rsidRPr="00CD08A7" w:rsidRDefault="00A90462" w:rsidP="00A90462">
      <w:pPr>
        <w:rPr>
          <w:szCs w:val="22"/>
        </w:rPr>
      </w:pPr>
      <w:r w:rsidRPr="00CD08A7">
        <w:rPr>
          <w:szCs w:val="22"/>
        </w:rPr>
        <w:t>- časté (u více než 1, ale méně než 10 ze 100 ošetřených zvířat)</w:t>
      </w:r>
    </w:p>
    <w:p w:rsidR="00A90462" w:rsidRPr="00CD08A7" w:rsidRDefault="00A90462" w:rsidP="00A90462">
      <w:pPr>
        <w:rPr>
          <w:szCs w:val="22"/>
        </w:rPr>
      </w:pPr>
      <w:r w:rsidRPr="00CD08A7">
        <w:rPr>
          <w:szCs w:val="22"/>
        </w:rPr>
        <w:t>- neobvyklé (u více než 1, ale méně než 10 z</w:t>
      </w:r>
      <w:r>
        <w:rPr>
          <w:szCs w:val="22"/>
        </w:rPr>
        <w:t> </w:t>
      </w:r>
      <w:r w:rsidRPr="00CD08A7">
        <w:rPr>
          <w:szCs w:val="22"/>
        </w:rPr>
        <w:t>1</w:t>
      </w:r>
      <w:r>
        <w:rPr>
          <w:szCs w:val="22"/>
        </w:rPr>
        <w:t xml:space="preserve"> </w:t>
      </w:r>
      <w:r w:rsidRPr="00CD08A7">
        <w:rPr>
          <w:szCs w:val="22"/>
        </w:rPr>
        <w:t>000 ošetřených zvířat)</w:t>
      </w:r>
    </w:p>
    <w:p w:rsidR="00A90462" w:rsidRPr="00CD08A7" w:rsidRDefault="00A90462" w:rsidP="00A90462">
      <w:pPr>
        <w:rPr>
          <w:szCs w:val="22"/>
        </w:rPr>
      </w:pPr>
      <w:r w:rsidRPr="00CD08A7">
        <w:rPr>
          <w:szCs w:val="22"/>
        </w:rPr>
        <w:t>- vzácné (u více než 1, ale méně než 10 z 10 000 ošetřených zvířat)</w:t>
      </w:r>
    </w:p>
    <w:p w:rsidR="00A90462" w:rsidRPr="00CD08A7" w:rsidRDefault="00A90462" w:rsidP="00A90462">
      <w:pPr>
        <w:rPr>
          <w:szCs w:val="22"/>
        </w:rPr>
      </w:pPr>
      <w:r w:rsidRPr="00CD08A7">
        <w:rPr>
          <w:szCs w:val="22"/>
        </w:rPr>
        <w:t>- velmi vzácné (u méně než 1 z 10 000 ošetřených zvířat, včetně ojedinělých hlášení).</w:t>
      </w:r>
    </w:p>
    <w:p w:rsidR="00A90462" w:rsidRPr="00CD08A7" w:rsidRDefault="00A90462" w:rsidP="00A90462">
      <w:pPr>
        <w:rPr>
          <w:szCs w:val="22"/>
        </w:rPr>
      </w:pPr>
    </w:p>
    <w:p w:rsidR="00A90462" w:rsidRPr="00CD08A7" w:rsidRDefault="00A90462" w:rsidP="00A90462">
      <w:pPr>
        <w:rPr>
          <w:szCs w:val="22"/>
        </w:rPr>
      </w:pPr>
      <w:proofErr w:type="spellStart"/>
      <w:r w:rsidRPr="00CD08A7">
        <w:rPr>
          <w:szCs w:val="22"/>
        </w:rPr>
        <w:t>Aminoglykosidová</w:t>
      </w:r>
      <w:proofErr w:type="spellEnd"/>
      <w:r w:rsidRPr="00CD08A7">
        <w:rPr>
          <w:szCs w:val="22"/>
        </w:rPr>
        <w:t xml:space="preserve"> antibiotika, jako je </w:t>
      </w:r>
      <w:proofErr w:type="spellStart"/>
      <w:r w:rsidRPr="00CD08A7">
        <w:rPr>
          <w:szCs w:val="22"/>
        </w:rPr>
        <w:t>paromomycin</w:t>
      </w:r>
      <w:proofErr w:type="spellEnd"/>
      <w:r w:rsidRPr="00CD08A7">
        <w:rPr>
          <w:szCs w:val="22"/>
        </w:rPr>
        <w:t xml:space="preserve">, mohou způsobit </w:t>
      </w:r>
      <w:proofErr w:type="spellStart"/>
      <w:r w:rsidRPr="00CD08A7">
        <w:rPr>
          <w:szCs w:val="22"/>
        </w:rPr>
        <w:t>ototoxicitu</w:t>
      </w:r>
      <w:proofErr w:type="spellEnd"/>
      <w:r w:rsidRPr="00CD08A7">
        <w:rPr>
          <w:szCs w:val="22"/>
        </w:rPr>
        <w:t xml:space="preserve"> a</w:t>
      </w:r>
      <w:r>
        <w:rPr>
          <w:szCs w:val="22"/>
        </w:rPr>
        <w:t xml:space="preserve"> </w:t>
      </w:r>
      <w:proofErr w:type="spellStart"/>
      <w:r w:rsidRPr="00CD08A7">
        <w:rPr>
          <w:szCs w:val="22"/>
        </w:rPr>
        <w:t>nefrotoxicitu</w:t>
      </w:r>
      <w:proofErr w:type="spellEnd"/>
      <w:r w:rsidRPr="00CD08A7">
        <w:rPr>
          <w:szCs w:val="22"/>
        </w:rPr>
        <w:t>.</w:t>
      </w:r>
    </w:p>
    <w:p w:rsidR="00A90462" w:rsidRPr="00CD08A7" w:rsidRDefault="00A90462" w:rsidP="00A90462">
      <w:pPr>
        <w:rPr>
          <w:b/>
        </w:rPr>
      </w:pPr>
    </w:p>
    <w:p w:rsidR="00A90462" w:rsidRPr="00CD08A7" w:rsidRDefault="00A90462" w:rsidP="00A90462">
      <w:r w:rsidRPr="00CD08A7">
        <w:rPr>
          <w:b/>
        </w:rPr>
        <w:t>4.7</w:t>
      </w:r>
      <w:r w:rsidRPr="00CD08A7">
        <w:rPr>
          <w:b/>
        </w:rPr>
        <w:tab/>
        <w:t>Použití v průběhu březosti, laktace nebo snášky</w:t>
      </w:r>
    </w:p>
    <w:p w:rsidR="00A90462" w:rsidRPr="00CD08A7" w:rsidRDefault="00A90462" w:rsidP="00A90462"/>
    <w:p w:rsidR="00A90462" w:rsidRPr="00CD08A7" w:rsidRDefault="00A90462" w:rsidP="00A90462">
      <w:pPr>
        <w:rPr>
          <w:szCs w:val="22"/>
        </w:rPr>
      </w:pPr>
      <w:r w:rsidRPr="00CD08A7">
        <w:rPr>
          <w:szCs w:val="22"/>
        </w:rPr>
        <w:t xml:space="preserve">Laboratorní studie u potkanů a králíků nepodaly důkaz o teratogenních, </w:t>
      </w:r>
      <w:proofErr w:type="spellStart"/>
      <w:r w:rsidRPr="00CD08A7">
        <w:rPr>
          <w:szCs w:val="22"/>
        </w:rPr>
        <w:t>fetotoxických</w:t>
      </w:r>
      <w:proofErr w:type="spellEnd"/>
      <w:r w:rsidRPr="00CD08A7">
        <w:rPr>
          <w:szCs w:val="22"/>
        </w:rPr>
        <w:t xml:space="preserve">  ani </w:t>
      </w:r>
    </w:p>
    <w:p w:rsidR="00A90462" w:rsidRPr="00CD08A7" w:rsidRDefault="00A90462" w:rsidP="00A90462">
      <w:pPr>
        <w:rPr>
          <w:szCs w:val="22"/>
        </w:rPr>
      </w:pPr>
      <w:proofErr w:type="spellStart"/>
      <w:r w:rsidRPr="00CD08A7">
        <w:rPr>
          <w:szCs w:val="22"/>
        </w:rPr>
        <w:t>maternotoxických</w:t>
      </w:r>
      <w:proofErr w:type="spellEnd"/>
      <w:r w:rsidRPr="00CD08A7">
        <w:rPr>
          <w:szCs w:val="22"/>
        </w:rPr>
        <w:t xml:space="preserve"> účincích. Použití přípravku se nedoporučuje v průběhu celé březosti.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4.8</w:t>
      </w:r>
      <w:r w:rsidRPr="00CD08A7">
        <w:rPr>
          <w:b/>
        </w:rPr>
        <w:tab/>
        <w:t>Interakce s dalšími léčivými přípravky a další formy interakce</w:t>
      </w:r>
    </w:p>
    <w:p w:rsidR="00A90462" w:rsidRPr="00CD08A7" w:rsidRDefault="00A90462" w:rsidP="00A90462"/>
    <w:p w:rsidR="00A90462" w:rsidRPr="00CD08A7" w:rsidRDefault="00A90462" w:rsidP="00A90462">
      <w:pPr>
        <w:ind w:left="0" w:firstLine="0"/>
        <w:rPr>
          <w:szCs w:val="22"/>
        </w:rPr>
      </w:pPr>
      <w:r w:rsidRPr="00CD08A7">
        <w:rPr>
          <w:szCs w:val="22"/>
        </w:rPr>
        <w:t xml:space="preserve">Celková anestetika a svalová relaxancia zvyšují </w:t>
      </w:r>
      <w:proofErr w:type="spellStart"/>
      <w:r w:rsidRPr="00CD08A7">
        <w:rPr>
          <w:szCs w:val="22"/>
        </w:rPr>
        <w:t>neuroblokační</w:t>
      </w:r>
      <w:proofErr w:type="spellEnd"/>
      <w:r w:rsidRPr="00CD08A7">
        <w:rPr>
          <w:szCs w:val="22"/>
        </w:rPr>
        <w:t xml:space="preserve"> účinek aminoglykosidů. To může vést k paralýze nebo zástavě dechu.</w:t>
      </w:r>
    </w:p>
    <w:p w:rsidR="00A90462" w:rsidRPr="00CD08A7" w:rsidRDefault="00A90462" w:rsidP="00A90462">
      <w:pPr>
        <w:ind w:left="0" w:firstLine="0"/>
      </w:pPr>
      <w:r w:rsidRPr="00CD08A7">
        <w:rPr>
          <w:szCs w:val="22"/>
        </w:rPr>
        <w:t xml:space="preserve">Nepoužívejte přípravek současně se silnými diuretiky a potenciálně </w:t>
      </w:r>
      <w:proofErr w:type="spellStart"/>
      <w:r w:rsidRPr="00CD08A7">
        <w:rPr>
          <w:szCs w:val="22"/>
        </w:rPr>
        <w:t>ototoxickými</w:t>
      </w:r>
      <w:proofErr w:type="spellEnd"/>
      <w:r w:rsidRPr="00CD08A7">
        <w:rPr>
          <w:szCs w:val="22"/>
        </w:rPr>
        <w:t xml:space="preserve"> nebo </w:t>
      </w:r>
      <w:proofErr w:type="spellStart"/>
      <w:r w:rsidRPr="00CD08A7">
        <w:rPr>
          <w:szCs w:val="22"/>
        </w:rPr>
        <w:t>nefrotoxickými</w:t>
      </w:r>
      <w:proofErr w:type="spellEnd"/>
      <w:r w:rsidRPr="00CD08A7">
        <w:rPr>
          <w:szCs w:val="22"/>
        </w:rPr>
        <w:t xml:space="preserve"> látkami.</w:t>
      </w:r>
    </w:p>
    <w:p w:rsidR="00A90462" w:rsidRPr="00CD08A7" w:rsidRDefault="00A90462" w:rsidP="00A90462"/>
    <w:p w:rsidR="00A90462" w:rsidRPr="00CD08A7" w:rsidRDefault="00A90462" w:rsidP="00A90462">
      <w:pPr>
        <w:rPr>
          <w:b/>
        </w:rPr>
      </w:pPr>
      <w:r w:rsidRPr="00CD08A7">
        <w:rPr>
          <w:b/>
        </w:rPr>
        <w:t>4.9</w:t>
      </w:r>
      <w:r w:rsidRPr="00CD08A7">
        <w:rPr>
          <w:b/>
        </w:rPr>
        <w:tab/>
        <w:t>Podávané množství a způsob podání</w:t>
      </w:r>
    </w:p>
    <w:p w:rsidR="00A90462" w:rsidRPr="00CD08A7" w:rsidRDefault="00A90462" w:rsidP="00A90462"/>
    <w:p w:rsidR="00A90462" w:rsidRPr="00CD08A7" w:rsidRDefault="00A90462" w:rsidP="00A90462">
      <w:pPr>
        <w:rPr>
          <w:bCs/>
        </w:rPr>
      </w:pPr>
      <w:r w:rsidRPr="00CD08A7">
        <w:rPr>
          <w:bCs/>
        </w:rPr>
        <w:t>Perorální podání.</w:t>
      </w:r>
    </w:p>
    <w:p w:rsidR="00A90462" w:rsidRPr="00CD08A7" w:rsidRDefault="00A90462" w:rsidP="00A90462">
      <w:pPr>
        <w:rPr>
          <w:bCs/>
        </w:rPr>
      </w:pPr>
      <w:proofErr w:type="spellStart"/>
      <w:r w:rsidRPr="00CD08A7">
        <w:rPr>
          <w:szCs w:val="22"/>
        </w:rPr>
        <w:t>Neruminující</w:t>
      </w:r>
      <w:proofErr w:type="spellEnd"/>
      <w:r w:rsidRPr="00CD08A7">
        <w:rPr>
          <w:szCs w:val="22"/>
        </w:rPr>
        <w:t xml:space="preserve"> skot: podání v mléce/mléčné náhražce</w:t>
      </w:r>
    </w:p>
    <w:p w:rsidR="00A90462" w:rsidRPr="00CD08A7" w:rsidRDefault="00A90462" w:rsidP="00A90462">
      <w:pPr>
        <w:rPr>
          <w:bCs/>
        </w:rPr>
      </w:pPr>
      <w:r w:rsidRPr="00CD08A7">
        <w:rPr>
          <w:bCs/>
        </w:rPr>
        <w:t>Prasata: podání v pitné vodě.</w:t>
      </w:r>
    </w:p>
    <w:p w:rsidR="00A90462" w:rsidRPr="00CD08A7" w:rsidRDefault="00A90462" w:rsidP="00A90462">
      <w:pPr>
        <w:rPr>
          <w:bCs/>
        </w:rPr>
      </w:pPr>
      <w:r w:rsidRPr="00CD08A7">
        <w:rPr>
          <w:bCs/>
        </w:rPr>
        <w:t>Délka trvání léčby: 3 - 5 dnů</w:t>
      </w:r>
    </w:p>
    <w:p w:rsidR="00A90462" w:rsidRPr="00CD08A7" w:rsidRDefault="00A90462" w:rsidP="00A90462">
      <w:pPr>
        <w:rPr>
          <w:bCs/>
        </w:rPr>
      </w:pPr>
    </w:p>
    <w:p w:rsidR="00A90462" w:rsidRPr="00CD08A7" w:rsidRDefault="00A90462" w:rsidP="00A90462">
      <w:pPr>
        <w:rPr>
          <w:szCs w:val="22"/>
          <w:u w:val="single"/>
        </w:rPr>
      </w:pPr>
      <w:proofErr w:type="spellStart"/>
      <w:r w:rsidRPr="00CD08A7">
        <w:rPr>
          <w:szCs w:val="22"/>
          <w:u w:val="single"/>
        </w:rPr>
        <w:t>Neruminující</w:t>
      </w:r>
      <w:proofErr w:type="spellEnd"/>
      <w:r w:rsidRPr="00CD08A7">
        <w:rPr>
          <w:szCs w:val="22"/>
          <w:u w:val="single"/>
        </w:rPr>
        <w:t xml:space="preserve"> skot:</w:t>
      </w:r>
    </w:p>
    <w:p w:rsidR="00A90462" w:rsidRPr="00CD08A7" w:rsidRDefault="00A90462" w:rsidP="00A90462">
      <w:pPr>
        <w:ind w:left="0" w:firstLine="0"/>
        <w:rPr>
          <w:rFonts w:ascii="TTE1B8EB00t00" w:hAnsi="TTE1B8EB00t00" w:cs="TTE1B8EB00t00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 xml:space="preserve">1,25 – 2, 5 ml přípravku /10 kg živé hmotnosti/ den, to odpovídá 17 500 – 35 000 IU </w:t>
      </w:r>
      <w:proofErr w:type="spellStart"/>
      <w:r w:rsidRPr="00CD08A7">
        <w:rPr>
          <w:rFonts w:ascii="Times-Roman" w:hAnsi="Times-Roman" w:cs="Times-Roman"/>
          <w:szCs w:val="22"/>
          <w:lang w:eastAsia="sk-SK"/>
        </w:rPr>
        <w:t>paromomycinu</w:t>
      </w:r>
      <w:proofErr w:type="spellEnd"/>
      <w:r>
        <w:rPr>
          <w:rFonts w:ascii="Times-Roman" w:hAnsi="Times-Roman" w:cs="Times-Roman"/>
          <w:szCs w:val="22"/>
          <w:lang w:eastAsia="sk-SK"/>
        </w:rPr>
        <w:t xml:space="preserve"> </w:t>
      </w:r>
      <w:r w:rsidRPr="00CD08A7">
        <w:rPr>
          <w:rFonts w:ascii="Times-Roman" w:hAnsi="Times-Roman" w:cs="Times-Roman"/>
          <w:szCs w:val="22"/>
          <w:lang w:eastAsia="sk-SK"/>
        </w:rPr>
        <w:t xml:space="preserve">na kg živé hmotnosti/den (tj. přibližně 25-50 mg </w:t>
      </w:r>
      <w:proofErr w:type="spellStart"/>
      <w:r w:rsidRPr="00CD08A7">
        <w:rPr>
          <w:rFonts w:ascii="Times-Roman" w:hAnsi="Times-Roman" w:cs="Times-Roman"/>
          <w:szCs w:val="22"/>
          <w:lang w:eastAsia="sk-SK"/>
        </w:rPr>
        <w:t>paromomycin</w:t>
      </w:r>
      <w:proofErr w:type="spellEnd"/>
      <w:r w:rsidRPr="00CD08A7">
        <w:rPr>
          <w:rFonts w:ascii="Times-Roman" w:hAnsi="Times-Roman" w:cs="Times-Roman"/>
          <w:szCs w:val="22"/>
          <w:lang w:eastAsia="sk-SK"/>
        </w:rPr>
        <w:t xml:space="preserve"> sulfátu na kg živé hmotnosti/de</w:t>
      </w:r>
      <w:r w:rsidRPr="00CD08A7">
        <w:rPr>
          <w:rFonts w:ascii="TTE1B8EB00t00" w:hAnsi="TTE1B8EB00t00" w:cs="TTE1B8EB00t00"/>
          <w:szCs w:val="22"/>
          <w:lang w:eastAsia="sk-SK"/>
        </w:rPr>
        <w:t>n).</w:t>
      </w:r>
    </w:p>
    <w:p w:rsidR="00A90462" w:rsidRPr="00CD08A7" w:rsidRDefault="00A90462" w:rsidP="00A90462">
      <w:r w:rsidRPr="00CD08A7">
        <w:rPr>
          <w:u w:val="single"/>
        </w:rPr>
        <w:t>Prasata</w:t>
      </w:r>
      <w:r w:rsidRPr="00CD08A7">
        <w:t>:</w:t>
      </w:r>
    </w:p>
    <w:p w:rsidR="00A90462" w:rsidRDefault="00A90462" w:rsidP="00A90462">
      <w:pPr>
        <w:rPr>
          <w:rFonts w:ascii="Times-Roman" w:hAnsi="Times-Roman" w:cs="Times-Roman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 xml:space="preserve">1,25 – 2 ml přípravku /10 kg živé hmotnosti/ den, to odpovídá 17 500 – 28 000 IU </w:t>
      </w:r>
      <w:proofErr w:type="spellStart"/>
      <w:r w:rsidRPr="00CD08A7">
        <w:rPr>
          <w:rFonts w:ascii="Times-Roman" w:hAnsi="Times-Roman" w:cs="Times-Roman"/>
          <w:szCs w:val="22"/>
          <w:lang w:eastAsia="sk-SK"/>
        </w:rPr>
        <w:t>paromomycinu</w:t>
      </w:r>
      <w:proofErr w:type="spellEnd"/>
      <w:r w:rsidRPr="00CD08A7">
        <w:rPr>
          <w:rFonts w:ascii="Times-Roman" w:hAnsi="Times-Roman" w:cs="Times-Roman"/>
          <w:szCs w:val="22"/>
          <w:lang w:eastAsia="sk-SK"/>
        </w:rPr>
        <w:t xml:space="preserve"> na</w:t>
      </w:r>
    </w:p>
    <w:p w:rsidR="00A90462" w:rsidRPr="00CD08A7" w:rsidRDefault="00A90462" w:rsidP="00A90462">
      <w:pPr>
        <w:rPr>
          <w:rFonts w:ascii="TTE1B8EB00t00" w:hAnsi="TTE1B8EB00t00" w:cs="TTE1B8EB00t00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 xml:space="preserve">kg živé hmotnosti/den (tj. přibližně 25-40 mg </w:t>
      </w:r>
      <w:proofErr w:type="spellStart"/>
      <w:r w:rsidRPr="00CD08A7">
        <w:rPr>
          <w:rFonts w:ascii="Times-Roman" w:hAnsi="Times-Roman" w:cs="Times-Roman"/>
          <w:szCs w:val="22"/>
          <w:lang w:eastAsia="sk-SK"/>
        </w:rPr>
        <w:t>paromomycin</w:t>
      </w:r>
      <w:proofErr w:type="spellEnd"/>
      <w:r w:rsidRPr="00CD08A7">
        <w:rPr>
          <w:rFonts w:ascii="Times-Roman" w:hAnsi="Times-Roman" w:cs="Times-Roman"/>
          <w:szCs w:val="22"/>
          <w:lang w:eastAsia="sk-SK"/>
        </w:rPr>
        <w:t xml:space="preserve"> sulfátu na kg živé hmotnosti/de</w:t>
      </w:r>
      <w:r w:rsidRPr="00CD08A7">
        <w:rPr>
          <w:rFonts w:ascii="TTE1B8EB00t00" w:hAnsi="TTE1B8EB00t00" w:cs="TTE1B8EB00t00"/>
          <w:szCs w:val="22"/>
          <w:lang w:eastAsia="sk-SK"/>
        </w:rPr>
        <w:t>n).</w:t>
      </w:r>
    </w:p>
    <w:p w:rsidR="00A90462" w:rsidRPr="00CD08A7" w:rsidRDefault="00A90462" w:rsidP="00A90462">
      <w:pPr>
        <w:rPr>
          <w:rFonts w:ascii="TTE1B8EB00t00" w:hAnsi="TTE1B8EB00t00" w:cs="TTE1B8EB00t00"/>
          <w:szCs w:val="22"/>
          <w:lang w:eastAsia="sk-SK"/>
        </w:rPr>
      </w:pPr>
    </w:p>
    <w:p w:rsidR="00A90462" w:rsidRPr="00CD08A7" w:rsidRDefault="00A90462" w:rsidP="00A90462">
      <w:pPr>
        <w:ind w:left="0" w:firstLine="0"/>
        <w:rPr>
          <w:rFonts w:eastAsia="Calibri"/>
          <w:szCs w:val="22"/>
        </w:rPr>
      </w:pPr>
      <w:r w:rsidRPr="00CD08A7">
        <w:rPr>
          <w:rFonts w:eastAsia="Calibri"/>
          <w:szCs w:val="22"/>
        </w:rPr>
        <w:t>Pro podávání v pitné vodě (mléce nebo mléčné náhražce</w:t>
      </w:r>
      <w:r w:rsidRPr="00CD08A7">
        <w:rPr>
          <w:rStyle w:val="Odkaznakoment"/>
        </w:rPr>
        <w:t xml:space="preserve">) </w:t>
      </w:r>
      <w:r w:rsidRPr="00CD08A7">
        <w:rPr>
          <w:rFonts w:eastAsia="Calibri"/>
          <w:szCs w:val="22"/>
        </w:rPr>
        <w:t>je třeba vypočítat přesné denní</w:t>
      </w:r>
      <w:r>
        <w:rPr>
          <w:rFonts w:eastAsia="Calibri"/>
          <w:szCs w:val="22"/>
        </w:rPr>
        <w:t xml:space="preserve"> </w:t>
      </w:r>
      <w:r w:rsidRPr="00CD08A7">
        <w:rPr>
          <w:rFonts w:eastAsia="Calibri"/>
          <w:szCs w:val="22"/>
        </w:rPr>
        <w:t xml:space="preserve">množství přípravku na </w:t>
      </w:r>
      <w:proofErr w:type="gramStart"/>
      <w:r w:rsidRPr="00CD08A7">
        <w:rPr>
          <w:rFonts w:eastAsia="Calibri"/>
          <w:szCs w:val="22"/>
        </w:rPr>
        <w:t>základě  počtu</w:t>
      </w:r>
      <w:proofErr w:type="gramEnd"/>
      <w:r w:rsidRPr="00CD08A7">
        <w:rPr>
          <w:rFonts w:eastAsia="Calibri"/>
          <w:szCs w:val="22"/>
        </w:rPr>
        <w:t xml:space="preserve"> a hmotnosti zvířat, která mají být</w:t>
      </w:r>
      <w:r>
        <w:rPr>
          <w:rFonts w:eastAsia="Calibri"/>
          <w:szCs w:val="22"/>
        </w:rPr>
        <w:t xml:space="preserve"> </w:t>
      </w:r>
      <w:r w:rsidRPr="00CD08A7">
        <w:rPr>
          <w:rFonts w:eastAsia="Calibri"/>
          <w:szCs w:val="22"/>
        </w:rPr>
        <w:t>ošetřena, podle následujícího vzorce:</w:t>
      </w:r>
    </w:p>
    <w:p w:rsidR="00A90462" w:rsidRPr="00CD08A7" w:rsidRDefault="00A90462" w:rsidP="00A90462">
      <w:pPr>
        <w:rPr>
          <w:rFonts w:eastAsia="Calibri"/>
          <w:szCs w:val="22"/>
        </w:rPr>
      </w:pPr>
    </w:p>
    <w:p w:rsidR="00A90462" w:rsidRPr="00CD08A7" w:rsidRDefault="00A90462" w:rsidP="00A90462">
      <w:pPr>
        <w:autoSpaceDE w:val="0"/>
        <w:autoSpaceDN w:val="0"/>
        <w:adjustRightInd w:val="0"/>
        <w:ind w:left="0" w:firstLine="0"/>
        <w:rPr>
          <w:rFonts w:ascii="TTE1B8EB00t00" w:hAnsi="TTE1B8EB00t00" w:cs="TTE1B8EB00t00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>ml přípravku / kg                  x     Pr</w:t>
      </w:r>
      <w:r w:rsidRPr="00CD08A7">
        <w:rPr>
          <w:szCs w:val="22"/>
          <w:lang w:eastAsia="sk-SK"/>
        </w:rPr>
        <w:t>ů</w:t>
      </w:r>
      <w:r w:rsidRPr="00CD08A7">
        <w:rPr>
          <w:rFonts w:ascii="Times-Roman" w:hAnsi="Times-Roman" w:cs="Times-Roman"/>
          <w:szCs w:val="22"/>
          <w:lang w:eastAsia="sk-SK"/>
        </w:rPr>
        <w:t>měrná živá hmotnos</w:t>
      </w:r>
      <w:r w:rsidRPr="00CD08A7">
        <w:rPr>
          <w:rFonts w:ascii="TTE1B8EB00t00" w:hAnsi="TTE1B8EB00t00" w:cs="TTE1B8EB00t00"/>
          <w:szCs w:val="22"/>
          <w:lang w:eastAsia="sk-SK"/>
        </w:rPr>
        <w:t>t</w:t>
      </w:r>
    </w:p>
    <w:p w:rsidR="00A90462" w:rsidRPr="00CD08A7" w:rsidRDefault="00A90462" w:rsidP="00A90462">
      <w:pPr>
        <w:autoSpaceDE w:val="0"/>
        <w:autoSpaceDN w:val="0"/>
        <w:adjustRightInd w:val="0"/>
        <w:rPr>
          <w:rFonts w:ascii="TTE1B8EB00t00" w:hAnsi="TTE1B8EB00t00" w:cs="TTE1B8EB00t00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>živé hmotnosti /de</w:t>
      </w:r>
      <w:r w:rsidRPr="00CD08A7">
        <w:rPr>
          <w:rFonts w:ascii="TTE1B8EB00t00" w:hAnsi="TTE1B8EB00t00" w:cs="TTE1B8EB00t00"/>
          <w:szCs w:val="22"/>
          <w:lang w:eastAsia="sk-SK"/>
        </w:rPr>
        <w:t xml:space="preserve">n                  </w:t>
      </w:r>
      <w:proofErr w:type="gramStart"/>
      <w:r w:rsidRPr="00CD08A7">
        <w:rPr>
          <w:rFonts w:ascii="TTE1B8EB00t00" w:hAnsi="TTE1B8EB00t00" w:cs="TTE1B8EB00t00"/>
          <w:szCs w:val="22"/>
          <w:lang w:eastAsia="sk-SK"/>
        </w:rPr>
        <w:t xml:space="preserve">   </w:t>
      </w:r>
      <w:r w:rsidRPr="00CD08A7">
        <w:rPr>
          <w:rFonts w:ascii="Times-Roman" w:hAnsi="Times-Roman" w:cs="Times-Roman"/>
          <w:szCs w:val="22"/>
          <w:lang w:eastAsia="sk-SK"/>
        </w:rPr>
        <w:t>(</w:t>
      </w:r>
      <w:proofErr w:type="gramEnd"/>
      <w:r w:rsidRPr="00CD08A7">
        <w:rPr>
          <w:rFonts w:ascii="Times-Roman" w:hAnsi="Times-Roman" w:cs="Times-Roman"/>
          <w:szCs w:val="22"/>
          <w:lang w:eastAsia="sk-SK"/>
        </w:rPr>
        <w:t>kg) zvířat, které mají být</w:t>
      </w:r>
      <w:r w:rsidRPr="00CD08A7">
        <w:rPr>
          <w:rFonts w:ascii="TTE1B8EB00t00" w:hAnsi="TTE1B8EB00t00" w:cs="TTE1B8EB00t00"/>
          <w:szCs w:val="22"/>
          <w:lang w:eastAsia="sk-SK"/>
        </w:rPr>
        <w:t xml:space="preserve"> </w:t>
      </w:r>
      <w:r w:rsidRPr="00CD08A7">
        <w:rPr>
          <w:rFonts w:ascii="Times-Roman" w:hAnsi="Times-Roman" w:cs="Times-Roman"/>
          <w:szCs w:val="22"/>
          <w:lang w:eastAsia="sk-SK"/>
        </w:rPr>
        <w:t>léč</w:t>
      </w:r>
      <w:r w:rsidRPr="00CD08A7">
        <w:rPr>
          <w:rFonts w:ascii="TTE1B8EB00t00" w:hAnsi="TTE1B8EB00t00" w:cs="TTE1B8EB00t00"/>
          <w:szCs w:val="22"/>
          <w:lang w:eastAsia="sk-SK"/>
        </w:rPr>
        <w:t>e</w:t>
      </w:r>
      <w:r w:rsidRPr="00CD08A7">
        <w:rPr>
          <w:rFonts w:ascii="Times-Roman" w:hAnsi="Times-Roman" w:cs="Times-Roman"/>
          <w:szCs w:val="22"/>
          <w:lang w:eastAsia="sk-SK"/>
        </w:rPr>
        <w:t xml:space="preserve">na      = </w:t>
      </w:r>
      <w:r>
        <w:rPr>
          <w:rFonts w:ascii="Times-Roman" w:hAnsi="Times-Roman" w:cs="Times-Roman"/>
          <w:szCs w:val="22"/>
          <w:lang w:eastAsia="sk-SK"/>
        </w:rPr>
        <w:t xml:space="preserve">         </w:t>
      </w:r>
      <w:r w:rsidRPr="00CD08A7">
        <w:rPr>
          <w:rFonts w:ascii="Times-Roman" w:hAnsi="Times-Roman" w:cs="Times-Roman"/>
          <w:szCs w:val="22"/>
          <w:lang w:eastAsia="sk-SK"/>
        </w:rPr>
        <w:t xml:space="preserve">.... ml přípravku na      </w:t>
      </w:r>
    </w:p>
    <w:p w:rsidR="00A90462" w:rsidRPr="00CD08A7" w:rsidRDefault="00A90462" w:rsidP="00A90462">
      <w:pPr>
        <w:autoSpaceDE w:val="0"/>
        <w:autoSpaceDN w:val="0"/>
        <w:adjustRightInd w:val="0"/>
        <w:ind w:left="6795" w:hanging="6795"/>
        <w:rPr>
          <w:rFonts w:ascii="Times-Roman" w:hAnsi="Times-Roman" w:cs="Times-Roman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>------------------------------------------------------------------------------</w:t>
      </w:r>
      <w:r>
        <w:rPr>
          <w:rFonts w:ascii="Times-Roman" w:hAnsi="Times-Roman" w:cs="Times-Roman"/>
          <w:szCs w:val="22"/>
          <w:lang w:eastAsia="sk-SK"/>
        </w:rPr>
        <w:t>-----</w:t>
      </w:r>
      <w:r w:rsidRPr="00CD08A7">
        <w:rPr>
          <w:rFonts w:ascii="Times-Roman" w:hAnsi="Times-Roman" w:cs="Times-Roman"/>
          <w:szCs w:val="22"/>
          <w:lang w:eastAsia="sk-SK"/>
        </w:rPr>
        <w:t xml:space="preserve">         </w:t>
      </w:r>
      <w:r w:rsidRPr="00CD08A7">
        <w:rPr>
          <w:rFonts w:ascii="Times-Roman" w:hAnsi="Times-Roman" w:cs="Times-Roman"/>
          <w:szCs w:val="22"/>
          <w:lang w:eastAsia="sk-SK"/>
        </w:rPr>
        <w:tab/>
        <w:t xml:space="preserve">litr pitné vody (mléka či náhražky) / den / zvíře      </w:t>
      </w:r>
    </w:p>
    <w:p w:rsidR="00A90462" w:rsidRPr="00CD08A7" w:rsidRDefault="00A90462" w:rsidP="00A90462">
      <w:pPr>
        <w:autoSpaceDE w:val="0"/>
        <w:autoSpaceDN w:val="0"/>
        <w:adjustRightInd w:val="0"/>
        <w:ind w:left="0" w:firstLine="0"/>
        <w:rPr>
          <w:rFonts w:ascii="Times-Roman" w:hAnsi="Times-Roman" w:cs="Times-Roman"/>
          <w:szCs w:val="22"/>
          <w:lang w:eastAsia="sk-SK"/>
        </w:rPr>
      </w:pPr>
      <w:r w:rsidRPr="00CD08A7">
        <w:rPr>
          <w:rFonts w:ascii="Times-Roman" w:hAnsi="Times-Roman" w:cs="Times-Roman"/>
          <w:szCs w:val="22"/>
          <w:lang w:eastAsia="sk-SK"/>
        </w:rPr>
        <w:t>Pr</w:t>
      </w:r>
      <w:r w:rsidRPr="00CD08A7">
        <w:rPr>
          <w:szCs w:val="22"/>
          <w:lang w:eastAsia="sk-SK"/>
        </w:rPr>
        <w:t>ů</w:t>
      </w:r>
      <w:r w:rsidRPr="00CD08A7">
        <w:rPr>
          <w:rFonts w:ascii="Times-Roman" w:hAnsi="Times-Roman" w:cs="Times-Roman"/>
          <w:szCs w:val="22"/>
          <w:lang w:eastAsia="sk-SK"/>
        </w:rPr>
        <w:t>měrná denní spotřeba vody</w:t>
      </w:r>
      <w:r>
        <w:rPr>
          <w:rFonts w:ascii="Times-Roman" w:hAnsi="Times-Roman" w:cs="Times-Roman"/>
          <w:szCs w:val="22"/>
          <w:lang w:eastAsia="sk-SK"/>
        </w:rPr>
        <w:t>/</w:t>
      </w:r>
      <w:r w:rsidRPr="00CD08A7">
        <w:rPr>
          <w:rFonts w:ascii="Times-Roman" w:hAnsi="Times-Roman" w:cs="Times-Roman"/>
          <w:szCs w:val="22"/>
          <w:lang w:eastAsia="sk-SK"/>
        </w:rPr>
        <w:t>mléka</w:t>
      </w:r>
      <w:r>
        <w:rPr>
          <w:rFonts w:ascii="Times-Roman" w:hAnsi="Times-Roman" w:cs="Times-Roman"/>
          <w:szCs w:val="22"/>
          <w:lang w:eastAsia="sk-SK"/>
        </w:rPr>
        <w:t>/</w:t>
      </w:r>
      <w:r w:rsidRPr="00CD08A7">
        <w:rPr>
          <w:rFonts w:ascii="Times-Roman" w:hAnsi="Times-Roman" w:cs="Times-Roman"/>
          <w:szCs w:val="22"/>
          <w:lang w:eastAsia="sk-SK"/>
        </w:rPr>
        <w:t>náhražky (v litrech) na zvíře</w:t>
      </w:r>
      <w:r w:rsidRPr="00CD08A7">
        <w:rPr>
          <w:rFonts w:ascii="Times-Roman" w:hAnsi="Times-Roman" w:cs="Times-Roman"/>
          <w:szCs w:val="22"/>
          <w:lang w:eastAsia="sk-SK"/>
        </w:rPr>
        <w:tab/>
      </w:r>
      <w:r w:rsidRPr="00CD08A7">
        <w:rPr>
          <w:rFonts w:ascii="Times-Roman" w:hAnsi="Times-Roman" w:cs="Times-Roman"/>
          <w:szCs w:val="22"/>
          <w:lang w:eastAsia="sk-SK"/>
        </w:rPr>
        <w:tab/>
      </w:r>
      <w:r w:rsidRPr="00CD08A7">
        <w:rPr>
          <w:rFonts w:ascii="Times-Roman" w:hAnsi="Times-Roman" w:cs="Times-Roman"/>
          <w:szCs w:val="22"/>
          <w:lang w:eastAsia="sk-SK"/>
        </w:rPr>
        <w:tab/>
      </w:r>
      <w:r w:rsidRPr="00CD08A7">
        <w:rPr>
          <w:rFonts w:ascii="Times-Roman" w:hAnsi="Times-Roman" w:cs="Times-Roman"/>
          <w:szCs w:val="22"/>
          <w:lang w:eastAsia="sk-SK"/>
        </w:rPr>
        <w:tab/>
      </w:r>
    </w:p>
    <w:p w:rsidR="00A90462" w:rsidRPr="00CD08A7" w:rsidRDefault="00A90462" w:rsidP="00A90462">
      <w:pPr>
        <w:autoSpaceDE w:val="0"/>
        <w:autoSpaceDN w:val="0"/>
        <w:adjustRightInd w:val="0"/>
        <w:ind w:left="0" w:firstLine="0"/>
        <w:rPr>
          <w:rFonts w:ascii="Times-Roman" w:hAnsi="Times-Roman" w:cs="Times-Roman"/>
          <w:szCs w:val="22"/>
          <w:lang w:eastAsia="sk-SK"/>
        </w:rPr>
      </w:pPr>
    </w:p>
    <w:p w:rsidR="00A90462" w:rsidRPr="00CD08A7" w:rsidRDefault="00A90462" w:rsidP="00A90462">
      <w:pPr>
        <w:autoSpaceDE w:val="0"/>
        <w:autoSpaceDN w:val="0"/>
        <w:adjustRightInd w:val="0"/>
        <w:ind w:left="0" w:firstLine="0"/>
        <w:rPr>
          <w:rFonts w:eastAsia="Calibri"/>
          <w:szCs w:val="22"/>
        </w:rPr>
      </w:pPr>
      <w:r w:rsidRPr="00CD08A7">
        <w:rPr>
          <w:rFonts w:eastAsia="Calibri"/>
          <w:szCs w:val="22"/>
        </w:rPr>
        <w:t xml:space="preserve">Pro zajištění správného dávkování je třeba co nejpřesněji stanovit živou hmotnost. </w:t>
      </w:r>
    </w:p>
    <w:p w:rsidR="00A90462" w:rsidRPr="00CD08A7" w:rsidRDefault="00A90462" w:rsidP="00A90462">
      <w:pPr>
        <w:autoSpaceDE w:val="0"/>
        <w:autoSpaceDN w:val="0"/>
        <w:adjustRightInd w:val="0"/>
        <w:ind w:left="0" w:firstLine="0"/>
        <w:rPr>
          <w:rFonts w:eastAsia="Calibri"/>
          <w:szCs w:val="22"/>
        </w:rPr>
      </w:pPr>
      <w:r w:rsidRPr="00CD08A7">
        <w:rPr>
          <w:rFonts w:eastAsia="Calibri"/>
          <w:szCs w:val="22"/>
        </w:rPr>
        <w:t xml:space="preserve">Příjem </w:t>
      </w:r>
      <w:proofErr w:type="spellStart"/>
      <w:r w:rsidRPr="00CD08A7">
        <w:rPr>
          <w:rFonts w:eastAsia="Calibri"/>
          <w:szCs w:val="22"/>
        </w:rPr>
        <w:t>medikované</w:t>
      </w:r>
      <w:proofErr w:type="spellEnd"/>
      <w:r w:rsidRPr="00CD08A7">
        <w:rPr>
          <w:rFonts w:eastAsia="Calibri"/>
          <w:szCs w:val="22"/>
        </w:rPr>
        <w:t xml:space="preserve"> vody (u telat</w:t>
      </w:r>
      <w:r>
        <w:rPr>
          <w:rFonts w:eastAsia="Calibri"/>
          <w:szCs w:val="22"/>
        </w:rPr>
        <w:t xml:space="preserve"> </w:t>
      </w:r>
      <w:r w:rsidRPr="00CD08A7">
        <w:rPr>
          <w:rFonts w:eastAsia="Calibri"/>
          <w:szCs w:val="22"/>
        </w:rPr>
        <w:t xml:space="preserve">mléka/mléčné náhražky) závisí na několika faktorech, včetně klinického stavu zvířat a místních podmínek, jako je teplota a vlhkost prostředí. K dosažení správného dávkování je třeba monitorovat příjem pitné vody (mléka či mléčné náhražky) a odpovídajícím způsobem upravit koncentraci </w:t>
      </w:r>
      <w:proofErr w:type="spellStart"/>
      <w:r w:rsidRPr="00CD08A7">
        <w:rPr>
          <w:rFonts w:eastAsia="Calibri"/>
          <w:szCs w:val="22"/>
        </w:rPr>
        <w:t>paromomycinu</w:t>
      </w:r>
      <w:proofErr w:type="spellEnd"/>
      <w:r w:rsidRPr="00CD08A7">
        <w:rPr>
          <w:rFonts w:eastAsia="Calibri"/>
          <w:szCs w:val="22"/>
        </w:rPr>
        <w:t>.</w:t>
      </w:r>
    </w:p>
    <w:p w:rsidR="00A90462" w:rsidRPr="00CD08A7" w:rsidRDefault="00A90462" w:rsidP="00A90462">
      <w:pPr>
        <w:autoSpaceDE w:val="0"/>
        <w:autoSpaceDN w:val="0"/>
        <w:adjustRightInd w:val="0"/>
        <w:ind w:left="0" w:firstLine="0"/>
        <w:rPr>
          <w:rFonts w:eastAsia="Calibri"/>
          <w:szCs w:val="22"/>
        </w:rPr>
      </w:pPr>
    </w:p>
    <w:p w:rsidR="00A90462" w:rsidRPr="00CD08A7" w:rsidRDefault="00A90462" w:rsidP="00A90462">
      <w:pPr>
        <w:autoSpaceDE w:val="0"/>
        <w:autoSpaceDN w:val="0"/>
        <w:adjustRightInd w:val="0"/>
        <w:ind w:left="0" w:firstLine="0"/>
        <w:rPr>
          <w:rFonts w:eastAsia="Calibri"/>
          <w:szCs w:val="22"/>
        </w:rPr>
      </w:pPr>
      <w:proofErr w:type="spellStart"/>
      <w:r w:rsidRPr="00CD08A7">
        <w:rPr>
          <w:rFonts w:eastAsia="Calibri"/>
          <w:szCs w:val="22"/>
        </w:rPr>
        <w:t>Medikovanou</w:t>
      </w:r>
      <w:proofErr w:type="spellEnd"/>
      <w:r w:rsidRPr="00CD08A7">
        <w:rPr>
          <w:rFonts w:eastAsia="Calibri"/>
          <w:szCs w:val="22"/>
        </w:rPr>
        <w:t xml:space="preserve"> pitnou vodu/mléko/mléčnou náhražku a veškeré zásobní roztoky je třeba připravovat čerstvé každých 6 hodin (v případě použití v mléce/mléčné náhražce) nebo každých 24 hodin (v případě použití ve vodě).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4.10</w:t>
      </w:r>
      <w:r w:rsidRPr="00CD08A7">
        <w:rPr>
          <w:b/>
        </w:rPr>
        <w:tab/>
        <w:t xml:space="preserve">Předávkování (symptomy, první pomoc, </w:t>
      </w:r>
      <w:proofErr w:type="spellStart"/>
      <w:r w:rsidRPr="00CD08A7">
        <w:rPr>
          <w:b/>
        </w:rPr>
        <w:t>antidota</w:t>
      </w:r>
      <w:proofErr w:type="spellEnd"/>
      <w:r w:rsidRPr="00CD08A7">
        <w:rPr>
          <w:b/>
        </w:rPr>
        <w:t>), pokud je to nutné</w:t>
      </w:r>
    </w:p>
    <w:p w:rsidR="00A90462" w:rsidRPr="00CD08A7" w:rsidRDefault="00A90462" w:rsidP="00A90462"/>
    <w:p w:rsidR="00A90462" w:rsidRPr="00CD08A7" w:rsidRDefault="00A90462" w:rsidP="00A90462">
      <w:pPr>
        <w:pStyle w:val="Zkladntext2"/>
        <w:jc w:val="both"/>
        <w:rPr>
          <w:b w:val="0"/>
          <w:szCs w:val="22"/>
        </w:rPr>
      </w:pPr>
      <w:r w:rsidRPr="00CD08A7">
        <w:rPr>
          <w:b w:val="0"/>
          <w:szCs w:val="22"/>
        </w:rPr>
        <w:t xml:space="preserve">Po perorálním podání nedochází k systémové absorpci </w:t>
      </w:r>
      <w:proofErr w:type="spellStart"/>
      <w:r w:rsidRPr="00CD08A7">
        <w:rPr>
          <w:b w:val="0"/>
          <w:szCs w:val="22"/>
        </w:rPr>
        <w:t>paromomycinu</w:t>
      </w:r>
      <w:proofErr w:type="spellEnd"/>
      <w:r w:rsidRPr="00CD08A7">
        <w:rPr>
          <w:b w:val="0"/>
          <w:szCs w:val="22"/>
        </w:rPr>
        <w:t xml:space="preserve">. Nežádoucí účinky </w:t>
      </w:r>
    </w:p>
    <w:p w:rsidR="00A90462" w:rsidRPr="00CD08A7" w:rsidRDefault="00A90462" w:rsidP="00A90462">
      <w:pPr>
        <w:rPr>
          <w:szCs w:val="22"/>
        </w:rPr>
      </w:pPr>
      <w:r w:rsidRPr="00CD08A7">
        <w:rPr>
          <w:szCs w:val="22"/>
        </w:rPr>
        <w:t>v důsledku náhodného předávkování jsou velmi nepravděpodobné.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4.11</w:t>
      </w:r>
      <w:r w:rsidRPr="00CD08A7">
        <w:rPr>
          <w:b/>
        </w:rPr>
        <w:tab/>
        <w:t>Ochranná(é) lhůta(y)</w:t>
      </w:r>
    </w:p>
    <w:p w:rsidR="00A90462" w:rsidRPr="00CD08A7" w:rsidRDefault="00A90462" w:rsidP="00A90462"/>
    <w:p w:rsidR="00A90462" w:rsidRPr="00CD08A7" w:rsidRDefault="00A90462" w:rsidP="00A90462">
      <w:pPr>
        <w:rPr>
          <w:u w:val="single"/>
        </w:rPr>
      </w:pPr>
      <w:r w:rsidRPr="00CD08A7">
        <w:rPr>
          <w:u w:val="single"/>
        </w:rPr>
        <w:t>Skot:</w:t>
      </w:r>
    </w:p>
    <w:p w:rsidR="00A90462" w:rsidRPr="00CD08A7" w:rsidRDefault="00A90462" w:rsidP="00A90462">
      <w:pPr>
        <w:ind w:left="0" w:firstLine="0"/>
      </w:pPr>
      <w:r w:rsidRPr="00CD08A7">
        <w:t>Maso: 20 dnů</w:t>
      </w:r>
    </w:p>
    <w:p w:rsidR="00A90462" w:rsidRPr="00CD08A7" w:rsidRDefault="00A90462" w:rsidP="00A90462">
      <w:pPr>
        <w:ind w:left="0" w:firstLine="0"/>
      </w:pPr>
    </w:p>
    <w:p w:rsidR="00A90462" w:rsidRPr="00CD08A7" w:rsidRDefault="00A90462" w:rsidP="00A90462">
      <w:pPr>
        <w:spacing w:line="260" w:lineRule="atLeast"/>
        <w:rPr>
          <w:rFonts w:cs="Arial"/>
          <w:kern w:val="14"/>
          <w:szCs w:val="22"/>
          <w:u w:val="single"/>
          <w:lang w:eastAsia="nl-NL"/>
        </w:rPr>
      </w:pPr>
      <w:r w:rsidRPr="00CD08A7">
        <w:rPr>
          <w:rFonts w:cs="Arial"/>
          <w:kern w:val="14"/>
          <w:szCs w:val="22"/>
          <w:u w:val="single"/>
          <w:lang w:eastAsia="nl-NL"/>
        </w:rPr>
        <w:t>Prasata:</w:t>
      </w:r>
    </w:p>
    <w:p w:rsidR="00A90462" w:rsidRPr="00CD08A7" w:rsidRDefault="00A90462" w:rsidP="00A90462">
      <w:pPr>
        <w:ind w:left="0" w:firstLine="0"/>
        <w:rPr>
          <w:rFonts w:cs="Arial"/>
          <w:kern w:val="14"/>
          <w:szCs w:val="22"/>
          <w:lang w:eastAsia="nl-NL"/>
        </w:rPr>
      </w:pPr>
      <w:r w:rsidRPr="00CD08A7">
        <w:rPr>
          <w:rFonts w:cs="Arial"/>
          <w:kern w:val="14"/>
          <w:szCs w:val="22"/>
          <w:lang w:eastAsia="nl-NL"/>
        </w:rPr>
        <w:t>Maso: 3 dny</w:t>
      </w:r>
    </w:p>
    <w:p w:rsidR="00A90462" w:rsidRPr="00CD08A7" w:rsidRDefault="00A90462" w:rsidP="00A90462"/>
    <w:p w:rsidR="00A90462" w:rsidRPr="00CD08A7" w:rsidRDefault="00A90462" w:rsidP="00A90462"/>
    <w:p w:rsidR="00A90462" w:rsidRPr="00CD08A7" w:rsidRDefault="00A90462" w:rsidP="00A90462">
      <w:pPr>
        <w:keepNext/>
      </w:pPr>
      <w:r w:rsidRPr="00CD08A7">
        <w:rPr>
          <w:b/>
        </w:rPr>
        <w:t>5.</w:t>
      </w:r>
      <w:r w:rsidRPr="00CD08A7">
        <w:rPr>
          <w:b/>
        </w:rPr>
        <w:tab/>
        <w:t>FARMAKOLOGICKÉ VLASTNOSTI</w:t>
      </w:r>
    </w:p>
    <w:p w:rsidR="00A90462" w:rsidRPr="00CD08A7" w:rsidRDefault="00A90462" w:rsidP="00A90462">
      <w:pPr>
        <w:keepNext/>
      </w:pPr>
    </w:p>
    <w:p w:rsidR="00A90462" w:rsidRPr="00CD08A7" w:rsidRDefault="00A90462" w:rsidP="00A90462">
      <w:pPr>
        <w:keepNext/>
        <w:ind w:left="0" w:firstLine="0"/>
      </w:pPr>
      <w:r w:rsidRPr="00CD08A7">
        <w:t xml:space="preserve">Farmakoterapeutická skupina: </w:t>
      </w:r>
      <w:r w:rsidRPr="00CD08A7">
        <w:rPr>
          <w:szCs w:val="22"/>
        </w:rPr>
        <w:t xml:space="preserve">střevní </w:t>
      </w:r>
      <w:proofErr w:type="spellStart"/>
      <w:r w:rsidRPr="00CD08A7">
        <w:rPr>
          <w:szCs w:val="22"/>
        </w:rPr>
        <w:t>antiinfektiva</w:t>
      </w:r>
      <w:proofErr w:type="spellEnd"/>
      <w:r>
        <w:rPr>
          <w:szCs w:val="22"/>
        </w:rPr>
        <w:t xml:space="preserve">, </w:t>
      </w:r>
      <w:r w:rsidRPr="00CD08A7">
        <w:rPr>
          <w:szCs w:val="22"/>
        </w:rPr>
        <w:t>antibiotika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paromomycin</w:t>
      </w:r>
      <w:proofErr w:type="spellEnd"/>
      <w:r w:rsidRPr="00CD08A7">
        <w:t>.</w:t>
      </w:r>
    </w:p>
    <w:p w:rsidR="00A90462" w:rsidRPr="00CD08A7" w:rsidRDefault="00A90462" w:rsidP="00A90462">
      <w:pPr>
        <w:ind w:left="0" w:firstLine="0"/>
      </w:pPr>
      <w:proofErr w:type="spellStart"/>
      <w:r w:rsidRPr="00CD08A7">
        <w:t>ATCvet</w:t>
      </w:r>
      <w:proofErr w:type="spellEnd"/>
      <w:r w:rsidRPr="00CD08A7">
        <w:t xml:space="preserve"> kód: QA07AA06</w:t>
      </w:r>
      <w:r>
        <w:t>.</w:t>
      </w:r>
      <w:r w:rsidRPr="00CD08A7">
        <w:t xml:space="preserve"> </w:t>
      </w:r>
    </w:p>
    <w:p w:rsidR="00A90462" w:rsidRPr="00CD08A7" w:rsidRDefault="00A90462" w:rsidP="00A90462">
      <w:pPr>
        <w:ind w:left="0" w:firstLine="0"/>
      </w:pPr>
    </w:p>
    <w:p w:rsidR="00A90462" w:rsidRPr="00CD08A7" w:rsidRDefault="00A90462" w:rsidP="00A90462">
      <w:pPr>
        <w:ind w:left="0" w:firstLine="0"/>
        <w:rPr>
          <w:b/>
        </w:rPr>
      </w:pPr>
      <w:r w:rsidRPr="00CD08A7">
        <w:rPr>
          <w:b/>
        </w:rPr>
        <w:t>5.1</w:t>
      </w:r>
      <w:r w:rsidRPr="00CD08A7">
        <w:rPr>
          <w:b/>
        </w:rPr>
        <w:tab/>
        <w:t>Farmakodynamické vlastnosti</w:t>
      </w:r>
    </w:p>
    <w:p w:rsidR="00A90462" w:rsidRPr="00CD08A7" w:rsidRDefault="00A90462" w:rsidP="00A90462">
      <w:pPr>
        <w:ind w:left="0" w:firstLine="0"/>
      </w:pPr>
    </w:p>
    <w:p w:rsidR="00A90462" w:rsidRPr="00AD153C" w:rsidRDefault="00A90462" w:rsidP="00A90462">
      <w:pPr>
        <w:ind w:left="0" w:firstLine="0"/>
        <w:jc w:val="both"/>
        <w:rPr>
          <w:szCs w:val="22"/>
        </w:rPr>
      </w:pPr>
      <w:proofErr w:type="spellStart"/>
      <w:r w:rsidRPr="00CD08A7">
        <w:rPr>
          <w:szCs w:val="22"/>
        </w:rPr>
        <w:t>Paromomycin</w:t>
      </w:r>
      <w:proofErr w:type="spellEnd"/>
      <w:r w:rsidRPr="00CD08A7">
        <w:rPr>
          <w:szCs w:val="22"/>
        </w:rPr>
        <w:t xml:space="preserve"> patří do skupiny </w:t>
      </w:r>
      <w:proofErr w:type="spellStart"/>
      <w:r w:rsidRPr="00CD08A7">
        <w:rPr>
          <w:szCs w:val="22"/>
        </w:rPr>
        <w:t>aminoglykosidových</w:t>
      </w:r>
      <w:proofErr w:type="spellEnd"/>
      <w:r w:rsidRPr="00CD08A7">
        <w:rPr>
          <w:szCs w:val="22"/>
        </w:rPr>
        <w:t xml:space="preserve"> antibiotik. </w:t>
      </w:r>
      <w:proofErr w:type="spellStart"/>
      <w:r w:rsidRPr="00CD08A7">
        <w:rPr>
          <w:szCs w:val="22"/>
        </w:rPr>
        <w:t>Paromomycin</w:t>
      </w:r>
      <w:proofErr w:type="spellEnd"/>
      <w:r w:rsidRPr="00CD08A7">
        <w:rPr>
          <w:szCs w:val="22"/>
        </w:rPr>
        <w:t xml:space="preserve"> mění čtení mediátorové RNA, a tím narušuje syntézu proteinů. Baktericidní aktivita </w:t>
      </w:r>
      <w:proofErr w:type="spellStart"/>
      <w:r w:rsidRPr="00CD08A7">
        <w:rPr>
          <w:szCs w:val="22"/>
        </w:rPr>
        <w:t>paromomycinu</w:t>
      </w:r>
      <w:proofErr w:type="spellEnd"/>
      <w:r w:rsidRPr="00CD08A7">
        <w:rPr>
          <w:szCs w:val="22"/>
        </w:rPr>
        <w:t xml:space="preserve"> je přisuzována zejména jeho </w:t>
      </w:r>
      <w:r w:rsidRPr="00CD08A7">
        <w:rPr>
          <w:szCs w:val="22"/>
        </w:rPr>
        <w:lastRenderedPageBreak/>
        <w:t xml:space="preserve">ireverzibilní vazbě na ribozomy. </w:t>
      </w:r>
      <w:proofErr w:type="spellStart"/>
      <w:r w:rsidRPr="00E42160">
        <w:rPr>
          <w:szCs w:val="22"/>
        </w:rPr>
        <w:t>Paromomycin</w:t>
      </w:r>
      <w:proofErr w:type="spellEnd"/>
      <w:r w:rsidRPr="00E42160">
        <w:rPr>
          <w:szCs w:val="22"/>
        </w:rPr>
        <w:t xml:space="preserve"> má široké spektrum účinku proti řadě </w:t>
      </w:r>
      <w:proofErr w:type="spellStart"/>
      <w:r w:rsidRPr="00E42160">
        <w:rPr>
          <w:szCs w:val="22"/>
        </w:rPr>
        <w:t>grampozitivních</w:t>
      </w:r>
      <w:proofErr w:type="spellEnd"/>
      <w:r w:rsidRPr="00E42160">
        <w:rPr>
          <w:szCs w:val="22"/>
        </w:rPr>
        <w:t xml:space="preserve"> a gramnegativních bakterií, včetně </w:t>
      </w:r>
      <w:r w:rsidRPr="00E808D7">
        <w:rPr>
          <w:i/>
          <w:szCs w:val="22"/>
        </w:rPr>
        <w:t>E. coli</w:t>
      </w:r>
      <w:r w:rsidRPr="00AD153C">
        <w:rPr>
          <w:szCs w:val="22"/>
        </w:rPr>
        <w:t>.</w:t>
      </w:r>
    </w:p>
    <w:p w:rsidR="00A90462" w:rsidRPr="00CD08A7" w:rsidRDefault="00A90462" w:rsidP="00A90462">
      <w:pPr>
        <w:ind w:left="0" w:firstLine="0"/>
        <w:jc w:val="both"/>
        <w:rPr>
          <w:szCs w:val="22"/>
        </w:rPr>
      </w:pPr>
      <w:r w:rsidRPr="00CD08A7">
        <w:rPr>
          <w:szCs w:val="22"/>
        </w:rPr>
        <w:t xml:space="preserve">Působení </w:t>
      </w:r>
      <w:proofErr w:type="spellStart"/>
      <w:r w:rsidRPr="00CD08A7">
        <w:rPr>
          <w:szCs w:val="22"/>
        </w:rPr>
        <w:t>paromomycinu</w:t>
      </w:r>
      <w:proofErr w:type="spellEnd"/>
      <w:r w:rsidRPr="00CD08A7">
        <w:rPr>
          <w:szCs w:val="22"/>
        </w:rPr>
        <w:t xml:space="preserve"> vykazuje charakteristiku koncentračně závislého antimikrobního účinku. Bylo identifikováno pět mechanismů rezistence: změny ribozomů způsobené mutacemi, snížení propustnosti bakteriální buněčné stěny nebo aktivního </w:t>
      </w:r>
      <w:proofErr w:type="spellStart"/>
      <w:r w:rsidRPr="00CD08A7">
        <w:rPr>
          <w:szCs w:val="22"/>
        </w:rPr>
        <w:t>efluxu</w:t>
      </w:r>
      <w:proofErr w:type="spellEnd"/>
      <w:r w:rsidRPr="00CD08A7">
        <w:rPr>
          <w:szCs w:val="22"/>
        </w:rPr>
        <w:t>, enzymatická modifikace ribozomů a inaktivaci aminoglykosidů enzymy. První tři mechanismy rezistence vznikají mutací určitých genů na bakteriálním</w:t>
      </w:r>
      <w:r w:rsidRPr="00E808D7">
        <w:rPr>
          <w:szCs w:val="22"/>
        </w:rPr>
        <w:t xml:space="preserve"> </w:t>
      </w:r>
      <w:r w:rsidRPr="00AD153C">
        <w:rPr>
          <w:szCs w:val="22"/>
        </w:rPr>
        <w:t>chromozomu</w:t>
      </w:r>
      <w:r w:rsidRPr="002067F6">
        <w:rPr>
          <w:szCs w:val="22"/>
        </w:rPr>
        <w:t>. Čtvrtý a pátý mechanismus rezistence se vyskytne pouze po</w:t>
      </w:r>
      <w:r w:rsidRPr="00CD08A7">
        <w:rPr>
          <w:szCs w:val="22"/>
        </w:rPr>
        <w:t xml:space="preserve"> </w:t>
      </w:r>
      <w:proofErr w:type="gramStart"/>
      <w:r w:rsidRPr="00CD08A7">
        <w:rPr>
          <w:szCs w:val="22"/>
        </w:rPr>
        <w:t>získání  mobilních</w:t>
      </w:r>
      <w:proofErr w:type="gramEnd"/>
      <w:r w:rsidRPr="00CD08A7">
        <w:rPr>
          <w:szCs w:val="22"/>
        </w:rPr>
        <w:t xml:space="preserve"> genetických elementů kódujících rezistenci. </w:t>
      </w:r>
      <w:proofErr w:type="spellStart"/>
      <w:r w:rsidRPr="00CD08A7">
        <w:rPr>
          <w:szCs w:val="22"/>
        </w:rPr>
        <w:t>Paromomycin</w:t>
      </w:r>
      <w:proofErr w:type="spellEnd"/>
      <w:r w:rsidRPr="00CD08A7">
        <w:rPr>
          <w:szCs w:val="22"/>
        </w:rPr>
        <w:t xml:space="preserve"> navozuje ve vysoké míře rezistenci a zkříženou rezistenci střevních bakterií na mnoho jiných aminoglykosidů.</w:t>
      </w:r>
    </w:p>
    <w:p w:rsidR="00A90462" w:rsidRPr="00CD08A7" w:rsidRDefault="00A90462" w:rsidP="00A90462">
      <w:pPr>
        <w:ind w:left="0" w:firstLine="0"/>
      </w:pPr>
    </w:p>
    <w:p w:rsidR="00A90462" w:rsidRPr="00CD08A7" w:rsidRDefault="00A90462" w:rsidP="00A90462">
      <w:pPr>
        <w:ind w:left="0" w:firstLine="0"/>
      </w:pPr>
      <w:r w:rsidRPr="00CD08A7">
        <w:rPr>
          <w:b/>
        </w:rPr>
        <w:t>5.2</w:t>
      </w:r>
      <w:r w:rsidRPr="00CD08A7">
        <w:rPr>
          <w:b/>
        </w:rPr>
        <w:tab/>
        <w:t>Farmakokinetické údaje</w:t>
      </w:r>
    </w:p>
    <w:p w:rsidR="00A90462" w:rsidRPr="00CD08A7" w:rsidRDefault="00A90462" w:rsidP="00A90462">
      <w:pPr>
        <w:ind w:left="0" w:firstLine="0"/>
      </w:pPr>
    </w:p>
    <w:p w:rsidR="00A90462" w:rsidRPr="00CD08A7" w:rsidRDefault="00A90462" w:rsidP="00A90462">
      <w:pPr>
        <w:ind w:left="0" w:firstLine="0"/>
        <w:rPr>
          <w:szCs w:val="22"/>
          <w:lang w:eastAsia="en-GB"/>
        </w:rPr>
      </w:pPr>
      <w:r w:rsidRPr="00CD08A7">
        <w:rPr>
          <w:szCs w:val="22"/>
          <w:lang w:eastAsia="en-GB"/>
        </w:rPr>
        <w:t xml:space="preserve">Po perorálním podání </w:t>
      </w:r>
      <w:proofErr w:type="spellStart"/>
      <w:r w:rsidRPr="00CD08A7">
        <w:rPr>
          <w:szCs w:val="22"/>
          <w:lang w:eastAsia="en-GB"/>
        </w:rPr>
        <w:t>paromomycinu</w:t>
      </w:r>
      <w:proofErr w:type="spellEnd"/>
      <w:r w:rsidRPr="00CD08A7">
        <w:rPr>
          <w:szCs w:val="22"/>
          <w:lang w:eastAsia="en-GB"/>
        </w:rPr>
        <w:t xml:space="preserve"> nedochází prakticky k žádné absorpci a molekula se vylučuje v nezměněné formě stolicí.</w:t>
      </w:r>
    </w:p>
    <w:p w:rsidR="00A90462" w:rsidRPr="00CD08A7" w:rsidRDefault="00A90462" w:rsidP="00A90462">
      <w:pPr>
        <w:ind w:left="0" w:firstLine="0"/>
      </w:pPr>
    </w:p>
    <w:p w:rsidR="00A90462" w:rsidRPr="00CD08A7" w:rsidRDefault="00A90462" w:rsidP="00A90462">
      <w:pPr>
        <w:ind w:left="0" w:firstLine="0"/>
        <w:rPr>
          <w:b/>
        </w:rPr>
      </w:pPr>
      <w:r w:rsidRPr="00CD08A7">
        <w:rPr>
          <w:b/>
        </w:rPr>
        <w:t>5.3     Environmentální vlastnosti</w:t>
      </w:r>
      <w:r>
        <w:rPr>
          <w:b/>
        </w:rPr>
        <w:t>.</w:t>
      </w:r>
    </w:p>
    <w:p w:rsidR="00A90462" w:rsidRPr="00CD08A7" w:rsidRDefault="00A90462" w:rsidP="00A90462">
      <w:pPr>
        <w:ind w:left="0" w:firstLine="0"/>
        <w:rPr>
          <w:rFonts w:ascii="TimesNewRoman,Italic" w:hAnsi="TimesNewRoman,Italic"/>
          <w:szCs w:val="22"/>
        </w:rPr>
      </w:pPr>
    </w:p>
    <w:p w:rsidR="00A90462" w:rsidRPr="00CD08A7" w:rsidRDefault="00A90462" w:rsidP="00A90462">
      <w:pPr>
        <w:rPr>
          <w:szCs w:val="22"/>
        </w:rPr>
      </w:pPr>
      <w:r w:rsidRPr="00CD08A7">
        <w:rPr>
          <w:szCs w:val="22"/>
        </w:rPr>
        <w:t xml:space="preserve">Léčivá látka </w:t>
      </w:r>
      <w:proofErr w:type="spellStart"/>
      <w:r w:rsidRPr="00CD08A7">
        <w:rPr>
          <w:szCs w:val="22"/>
        </w:rPr>
        <w:t>paromomycin</w:t>
      </w:r>
      <w:proofErr w:type="spellEnd"/>
      <w:r w:rsidRPr="00CD08A7">
        <w:rPr>
          <w:szCs w:val="22"/>
        </w:rPr>
        <w:t xml:space="preserve"> sulfát je perzistentní v životním prostředí.</w:t>
      </w:r>
    </w:p>
    <w:p w:rsidR="00A90462" w:rsidRPr="00CD08A7" w:rsidRDefault="00A90462" w:rsidP="00A90462">
      <w:pPr>
        <w:ind w:left="0" w:firstLine="0"/>
      </w:pPr>
    </w:p>
    <w:p w:rsidR="00A90462" w:rsidRPr="00CD08A7" w:rsidRDefault="00A90462" w:rsidP="00A90462">
      <w:pPr>
        <w:ind w:left="0" w:firstLine="0"/>
      </w:pPr>
    </w:p>
    <w:p w:rsidR="00A90462" w:rsidRPr="00CD08A7" w:rsidRDefault="00A90462" w:rsidP="00A90462">
      <w:pPr>
        <w:rPr>
          <w:b/>
        </w:rPr>
      </w:pPr>
      <w:r w:rsidRPr="00CD08A7">
        <w:rPr>
          <w:b/>
        </w:rPr>
        <w:t>6.</w:t>
      </w:r>
      <w:r w:rsidRPr="00CD08A7">
        <w:rPr>
          <w:b/>
        </w:rPr>
        <w:tab/>
        <w:t>FARMACEUTICKÉ ÚDAJE</w:t>
      </w:r>
    </w:p>
    <w:p w:rsidR="00A90462" w:rsidRPr="00CD08A7" w:rsidRDefault="00A90462" w:rsidP="00A90462">
      <w:pPr>
        <w:rPr>
          <w:b/>
        </w:rPr>
      </w:pPr>
    </w:p>
    <w:p w:rsidR="00A90462" w:rsidRPr="00CD08A7" w:rsidRDefault="00A90462" w:rsidP="00A90462">
      <w:pPr>
        <w:rPr>
          <w:b/>
        </w:rPr>
      </w:pPr>
      <w:r w:rsidRPr="00CD08A7">
        <w:rPr>
          <w:b/>
        </w:rPr>
        <w:t>6.1</w:t>
      </w:r>
      <w:r w:rsidRPr="00CD08A7">
        <w:rPr>
          <w:b/>
        </w:rPr>
        <w:tab/>
        <w:t>Seznam pomocných látek</w:t>
      </w:r>
    </w:p>
    <w:p w:rsidR="00A90462" w:rsidRPr="00CD08A7" w:rsidRDefault="00A90462" w:rsidP="00A90462">
      <w:pPr>
        <w:rPr>
          <w:b/>
        </w:rPr>
      </w:pPr>
    </w:p>
    <w:p w:rsidR="00A90462" w:rsidRPr="00CD08A7" w:rsidRDefault="00A90462" w:rsidP="00A90462">
      <w:r w:rsidRPr="00CD08A7">
        <w:t>Benzyl alkohol (E1519)</w:t>
      </w:r>
    </w:p>
    <w:p w:rsidR="00A90462" w:rsidRPr="00CD08A7" w:rsidRDefault="00A90462" w:rsidP="00A90462">
      <w:proofErr w:type="spellStart"/>
      <w:r w:rsidRPr="00CD08A7">
        <w:t>Disiřičitan</w:t>
      </w:r>
      <w:proofErr w:type="spellEnd"/>
      <w:r w:rsidRPr="00CD08A7">
        <w:t xml:space="preserve"> sodný (E223)</w:t>
      </w:r>
    </w:p>
    <w:p w:rsidR="00A90462" w:rsidRPr="00CD08A7" w:rsidRDefault="00A90462" w:rsidP="00A90462">
      <w:proofErr w:type="spellStart"/>
      <w:r w:rsidRPr="00CD08A7">
        <w:t>Dinatrium-edetát</w:t>
      </w:r>
      <w:proofErr w:type="spellEnd"/>
    </w:p>
    <w:p w:rsidR="00A90462" w:rsidRPr="00CD08A7" w:rsidRDefault="00A90462" w:rsidP="00A90462">
      <w:r w:rsidRPr="00CD08A7">
        <w:t>Čištěná voda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6.2</w:t>
      </w:r>
      <w:r w:rsidRPr="00CD08A7">
        <w:rPr>
          <w:b/>
        </w:rPr>
        <w:tab/>
        <w:t>Hlavní inkompatibility</w:t>
      </w:r>
    </w:p>
    <w:p w:rsidR="00A90462" w:rsidRPr="00CD08A7" w:rsidRDefault="00A90462" w:rsidP="00A90462"/>
    <w:p w:rsidR="00A90462" w:rsidRPr="00CD08A7" w:rsidRDefault="00A90462" w:rsidP="00A90462">
      <w:pPr>
        <w:ind w:left="0" w:firstLine="0"/>
      </w:pPr>
      <w:r w:rsidRPr="00CD08A7">
        <w:t>Studie kompatibility nejsou k dispozici, a proto tento veterinární léčivý přípravek nesmí být mísen s žádnými dalšími veterinárními léčivými přípravky.</w:t>
      </w:r>
    </w:p>
    <w:p w:rsidR="00A90462" w:rsidRPr="00CD08A7" w:rsidRDefault="00A90462" w:rsidP="00A90462"/>
    <w:p w:rsidR="00A90462" w:rsidRPr="00CD08A7" w:rsidRDefault="00A90462" w:rsidP="00A90462">
      <w:r w:rsidRPr="00CD08A7">
        <w:rPr>
          <w:b/>
        </w:rPr>
        <w:t>6.3</w:t>
      </w:r>
      <w:r w:rsidRPr="00CD08A7">
        <w:rPr>
          <w:b/>
        </w:rPr>
        <w:tab/>
        <w:t>Doba použitelnosti</w:t>
      </w: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pPr>
        <w:ind w:right="-318"/>
      </w:pPr>
      <w:r w:rsidRPr="00CD08A7">
        <w:t>Doba použitelnosti veterinárního léčivého přípravku v neporušeném obalu (125ml láhev): 1 rok.</w:t>
      </w:r>
    </w:p>
    <w:p w:rsidR="00A90462" w:rsidRPr="00CD08A7" w:rsidRDefault="00A90462" w:rsidP="00A90462">
      <w:pPr>
        <w:ind w:right="-318"/>
      </w:pPr>
      <w:r w:rsidRPr="00CD08A7">
        <w:t>Doba použitelnosti veterinárního léčivého přípravku v neporušeném obalu (250ml láhev): 18 měsíců.</w:t>
      </w:r>
    </w:p>
    <w:p w:rsidR="00A90462" w:rsidRPr="00CD08A7" w:rsidRDefault="00A90462" w:rsidP="00A90462">
      <w:pPr>
        <w:ind w:right="-318"/>
      </w:pPr>
      <w:r w:rsidRPr="00CD08A7">
        <w:t>Doba použitelnosti veterinárního léčivého přípravku v neporušeném obalu (500ml láhev): 2 roky.</w:t>
      </w:r>
    </w:p>
    <w:p w:rsidR="00A90462" w:rsidRPr="00CD08A7" w:rsidRDefault="00A90462" w:rsidP="00A90462">
      <w:pPr>
        <w:ind w:right="-318"/>
      </w:pPr>
      <w:r w:rsidRPr="00CD08A7">
        <w:t>Doba použitelnosti veterinárního léčivého přípravku v neporušeném obalu (1000ml láhev): 30 měsíců.</w:t>
      </w:r>
    </w:p>
    <w:p w:rsidR="00A90462" w:rsidRPr="00CD08A7" w:rsidRDefault="00A90462" w:rsidP="00A90462">
      <w:pPr>
        <w:ind w:left="0" w:right="-318" w:firstLine="0"/>
      </w:pPr>
      <w:r w:rsidRPr="00CD08A7">
        <w:t>Doba použitelnosti po prvním otevření vnitřního obalu: 6 měsíců.</w:t>
      </w:r>
    </w:p>
    <w:p w:rsidR="00A90462" w:rsidRPr="00CD08A7" w:rsidRDefault="00A90462" w:rsidP="00A90462">
      <w:pPr>
        <w:ind w:right="-318"/>
      </w:pPr>
      <w:r w:rsidRPr="00CD08A7">
        <w:t>Doba použitelnosti po rekonstituci podle návodu v pitné vodě: 24 hodin.</w:t>
      </w:r>
    </w:p>
    <w:p w:rsidR="00A90462" w:rsidRPr="00CD08A7" w:rsidRDefault="00A90462" w:rsidP="00A90462">
      <w:pPr>
        <w:ind w:right="-318"/>
      </w:pPr>
      <w:r w:rsidRPr="00CD08A7">
        <w:t xml:space="preserve">Doba použitelnosti po rekonstituci podle návodu </w:t>
      </w:r>
      <w:r w:rsidRPr="00CD08A7">
        <w:rPr>
          <w:szCs w:val="22"/>
        </w:rPr>
        <w:t>v mléce/mléčné náhražce: 6 hodin.</w:t>
      </w: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r w:rsidRPr="00CD08A7">
        <w:rPr>
          <w:b/>
        </w:rPr>
        <w:t>6.4</w:t>
      </w:r>
      <w:r w:rsidRPr="00CD08A7">
        <w:rPr>
          <w:b/>
        </w:rPr>
        <w:tab/>
        <w:t>Zvláštní opatření pro uchovávání</w:t>
      </w: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pPr>
        <w:ind w:right="-318"/>
        <w:rPr>
          <w:u w:val="single"/>
        </w:rPr>
      </w:pPr>
      <w:r w:rsidRPr="00CD08A7">
        <w:rPr>
          <w:u w:val="single"/>
        </w:rPr>
        <w:t xml:space="preserve">125ml a 250ml láhev: </w:t>
      </w:r>
    </w:p>
    <w:p w:rsidR="00A90462" w:rsidRPr="00CD08A7" w:rsidRDefault="00A90462" w:rsidP="00A90462">
      <w:pPr>
        <w:ind w:right="-318"/>
      </w:pPr>
      <w:r w:rsidRPr="00CD08A7">
        <w:t>Uchovávejte při teplotě do 25 </w:t>
      </w:r>
      <w:r w:rsidRPr="00CD08A7">
        <w:sym w:font="Symbol" w:char="F0B0"/>
      </w:r>
      <w:r w:rsidRPr="00CD08A7">
        <w:t>C.</w:t>
      </w: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pPr>
        <w:ind w:right="-318"/>
        <w:rPr>
          <w:u w:val="single"/>
        </w:rPr>
      </w:pPr>
      <w:r w:rsidRPr="00CD08A7">
        <w:rPr>
          <w:u w:val="single"/>
        </w:rPr>
        <w:t>500ml a 1000ml láhev:</w:t>
      </w:r>
    </w:p>
    <w:p w:rsidR="00A90462" w:rsidRPr="00CD08A7" w:rsidRDefault="00A90462" w:rsidP="00A90462">
      <w:pPr>
        <w:ind w:right="-318"/>
      </w:pPr>
      <w:r w:rsidRPr="00CD08A7">
        <w:t>Tento veterinární léčivý přípravek nevyžaduje žádné zvláštní podmínky uchovávání.</w:t>
      </w: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pPr>
        <w:ind w:right="-318"/>
        <w:rPr>
          <w:u w:val="single"/>
        </w:rPr>
      </w:pPr>
      <w:r w:rsidRPr="00CD08A7">
        <w:rPr>
          <w:u w:val="single"/>
        </w:rPr>
        <w:t>Všechny typy obalů:</w:t>
      </w:r>
    </w:p>
    <w:p w:rsidR="00A90462" w:rsidRPr="00CD08A7" w:rsidRDefault="00A90462" w:rsidP="00A90462">
      <w:pPr>
        <w:ind w:right="-318"/>
      </w:pPr>
      <w:r w:rsidRPr="00CD08A7">
        <w:t>Po prvním otevření uchovávejte láhev těsně uzavřenou.</w:t>
      </w:r>
    </w:p>
    <w:p w:rsidR="00A90462" w:rsidRPr="00CD08A7" w:rsidRDefault="00A90462" w:rsidP="00A90462">
      <w:pPr>
        <w:ind w:left="0" w:right="-318" w:firstLine="0"/>
      </w:pPr>
    </w:p>
    <w:p w:rsidR="00A90462" w:rsidRPr="00CD08A7" w:rsidRDefault="00A90462" w:rsidP="00A90462">
      <w:r w:rsidRPr="00CD08A7">
        <w:rPr>
          <w:b/>
        </w:rPr>
        <w:t>6.5</w:t>
      </w:r>
      <w:r w:rsidRPr="00CD08A7">
        <w:rPr>
          <w:b/>
        </w:rPr>
        <w:tab/>
        <w:t>Druh a složení vnitřního obalu</w:t>
      </w:r>
    </w:p>
    <w:p w:rsidR="00A90462" w:rsidRPr="00CD08A7" w:rsidRDefault="00A90462" w:rsidP="00A90462"/>
    <w:p w:rsidR="00A90462" w:rsidRPr="00CD08A7" w:rsidRDefault="00A90462" w:rsidP="00A90462">
      <w:pPr>
        <w:rPr>
          <w:u w:val="single"/>
        </w:rPr>
      </w:pPr>
      <w:r w:rsidRPr="00CD08A7">
        <w:rPr>
          <w:u w:val="single"/>
        </w:rPr>
        <w:lastRenderedPageBreak/>
        <w:t>Charakter obalu:</w:t>
      </w:r>
    </w:p>
    <w:p w:rsidR="00A90462" w:rsidRPr="00CD08A7" w:rsidRDefault="00A90462" w:rsidP="00A90462">
      <w:r w:rsidRPr="00CD08A7">
        <w:t xml:space="preserve">- Bílé láhve z </w:t>
      </w:r>
      <w:proofErr w:type="spellStart"/>
      <w:r w:rsidRPr="00CD08A7">
        <w:t>polyethylenu</w:t>
      </w:r>
      <w:proofErr w:type="spellEnd"/>
      <w:r w:rsidRPr="00CD08A7">
        <w:t xml:space="preserve"> s vysokou hustotou</w:t>
      </w:r>
    </w:p>
    <w:p w:rsidR="00A90462" w:rsidRPr="00CD08A7" w:rsidRDefault="00A90462" w:rsidP="00A90462">
      <w:r w:rsidRPr="00CD08A7">
        <w:t xml:space="preserve">- Šroubovací zátka z polypropylenu opatřená těsněním z </w:t>
      </w:r>
      <w:proofErr w:type="spellStart"/>
      <w:r w:rsidR="002C3093">
        <w:t>polyethylenu</w:t>
      </w:r>
      <w:proofErr w:type="spellEnd"/>
    </w:p>
    <w:p w:rsidR="00A90462" w:rsidRPr="00CD08A7" w:rsidRDefault="00A90462" w:rsidP="00A90462">
      <w:r w:rsidRPr="00CD08A7">
        <w:t>- Dávkovací zařízení z polypropylenu o objemu 30 ml se stupnicí po 5 ml.</w:t>
      </w:r>
    </w:p>
    <w:p w:rsidR="00A90462" w:rsidRPr="00CD08A7" w:rsidRDefault="00A90462" w:rsidP="00A90462"/>
    <w:p w:rsidR="00A90462" w:rsidRPr="00CD08A7" w:rsidRDefault="00A90462" w:rsidP="00A90462">
      <w:pPr>
        <w:rPr>
          <w:u w:val="single"/>
        </w:rPr>
      </w:pPr>
      <w:r w:rsidRPr="00CD08A7">
        <w:rPr>
          <w:u w:val="single"/>
        </w:rPr>
        <w:t>Velikosti balení:</w:t>
      </w:r>
    </w:p>
    <w:p w:rsidR="00A90462" w:rsidRPr="00CD08A7" w:rsidRDefault="00A90462" w:rsidP="00A90462">
      <w:r w:rsidRPr="00CD08A7">
        <w:t>Krabička obsahující 1 plastovou láhev o objemu 125 ml,</w:t>
      </w:r>
    </w:p>
    <w:p w:rsidR="00A90462" w:rsidRPr="00CD08A7" w:rsidRDefault="00A90462" w:rsidP="00A90462">
      <w:r w:rsidRPr="00CD08A7">
        <w:t>Krabička obsahující 1 plastovou láhev o objemu 250 ml,</w:t>
      </w:r>
    </w:p>
    <w:p w:rsidR="00A90462" w:rsidRPr="00CD08A7" w:rsidRDefault="00A90462" w:rsidP="00A90462">
      <w:r w:rsidRPr="00CD08A7">
        <w:t>Krabička obsahující 1 plastovou láhev o objemu 500 ml,</w:t>
      </w:r>
    </w:p>
    <w:p w:rsidR="00A90462" w:rsidRPr="00CD08A7" w:rsidRDefault="00A90462" w:rsidP="00A90462">
      <w:r w:rsidRPr="00CD08A7">
        <w:t>Krabička obsahující 1 plastovou láhev o objemu 1000 ml,</w:t>
      </w:r>
    </w:p>
    <w:p w:rsidR="00A90462" w:rsidRPr="00CD08A7" w:rsidRDefault="00A90462" w:rsidP="00A90462">
      <w:r w:rsidRPr="00CD08A7">
        <w:t>Plastová láhev o objemu 125 ml</w:t>
      </w:r>
    </w:p>
    <w:p w:rsidR="00A90462" w:rsidRPr="00CD08A7" w:rsidRDefault="00A90462" w:rsidP="00A90462">
      <w:r w:rsidRPr="00CD08A7">
        <w:t>Plastová láhev o objemu 250 ml</w:t>
      </w:r>
    </w:p>
    <w:p w:rsidR="00A90462" w:rsidRPr="00CD08A7" w:rsidRDefault="00A90462" w:rsidP="00A90462">
      <w:r w:rsidRPr="00CD08A7">
        <w:t>Plastová láhev o objemu 500 ml</w:t>
      </w:r>
    </w:p>
    <w:p w:rsidR="00A90462" w:rsidRPr="00CD08A7" w:rsidRDefault="00A90462" w:rsidP="00A90462">
      <w:r w:rsidRPr="00CD08A7">
        <w:t>Plastová láhev o objemu 1000 ml</w:t>
      </w:r>
    </w:p>
    <w:p w:rsidR="00A90462" w:rsidRPr="00CD08A7" w:rsidRDefault="00A90462" w:rsidP="00A90462"/>
    <w:p w:rsidR="00A90462" w:rsidRPr="00CD08A7" w:rsidRDefault="00A90462" w:rsidP="00A90462">
      <w:r w:rsidRPr="00CD08A7">
        <w:t>Pro každou z uvedených velikostí balení je přiloženo dávkovací zařízení.</w:t>
      </w:r>
    </w:p>
    <w:p w:rsidR="00A90462" w:rsidRPr="00CD08A7" w:rsidRDefault="00A90462" w:rsidP="00A90462"/>
    <w:p w:rsidR="00A90462" w:rsidRPr="00CD08A7" w:rsidRDefault="00A90462" w:rsidP="00A90462">
      <w:r w:rsidRPr="00CD08A7">
        <w:t>Na trhu nemusí být všechny velikosti balení.</w:t>
      </w: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r w:rsidRPr="00CD08A7">
        <w:rPr>
          <w:b/>
        </w:rPr>
        <w:t>6.6</w:t>
      </w:r>
      <w:r w:rsidRPr="00CD08A7">
        <w:tab/>
      </w:r>
      <w:r w:rsidRPr="00CD08A7">
        <w:rPr>
          <w:b/>
        </w:rPr>
        <w:t xml:space="preserve">Zvláštní opatření pro zneškodňování nepoužitého veterinárního léčivého přípravku nebo odpadu, který pochází z tohoto přípravku </w:t>
      </w: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pPr>
        <w:ind w:left="0" w:right="10" w:firstLine="0"/>
        <w:rPr>
          <w:i/>
        </w:rPr>
      </w:pPr>
      <w:r w:rsidRPr="00CD08A7">
        <w:t>Všechen nepoužitý veterinární léčivý přípravek nebo odpad, který pochází z tohoto přípravku, musí být likvidován podle místních právních předpisů.</w:t>
      </w:r>
    </w:p>
    <w:p w:rsidR="00A90462" w:rsidRPr="00CD08A7" w:rsidRDefault="00A90462" w:rsidP="00A90462">
      <w:pPr>
        <w:ind w:left="0" w:firstLine="0"/>
      </w:pPr>
    </w:p>
    <w:p w:rsidR="00A90462" w:rsidRPr="00CD08A7" w:rsidRDefault="00A90462" w:rsidP="00A90462">
      <w:pPr>
        <w:ind w:left="0" w:firstLine="0"/>
      </w:pP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pPr>
        <w:rPr>
          <w:b/>
        </w:rPr>
      </w:pPr>
      <w:r w:rsidRPr="00CD08A7">
        <w:rPr>
          <w:b/>
        </w:rPr>
        <w:t>7.</w:t>
      </w:r>
      <w:r w:rsidRPr="00CD08A7">
        <w:rPr>
          <w:b/>
        </w:rPr>
        <w:tab/>
        <w:t xml:space="preserve">DRŽITEL ROZHODNUTÍ O REGISTRACI </w:t>
      </w:r>
    </w:p>
    <w:p w:rsidR="00A90462" w:rsidRPr="00CD08A7" w:rsidRDefault="00A90462" w:rsidP="00A90462">
      <w:pPr>
        <w:rPr>
          <w:b/>
        </w:rPr>
      </w:pPr>
    </w:p>
    <w:p w:rsidR="00A90462" w:rsidRPr="00CD08A7" w:rsidRDefault="00A90462" w:rsidP="00A90462">
      <w:r w:rsidRPr="00CD08A7">
        <w:t xml:space="preserve">Ceva </w:t>
      </w:r>
      <w:proofErr w:type="spellStart"/>
      <w:r w:rsidRPr="00CD08A7">
        <w:t>Santé</w:t>
      </w:r>
      <w:proofErr w:type="spellEnd"/>
      <w:r w:rsidRPr="00CD08A7">
        <w:t xml:space="preserve"> Animale</w:t>
      </w:r>
    </w:p>
    <w:p w:rsidR="00A90462" w:rsidRPr="00CD08A7" w:rsidRDefault="00A90462" w:rsidP="00A90462">
      <w:r w:rsidRPr="00CD08A7">
        <w:t xml:space="preserve">10 </w:t>
      </w:r>
      <w:proofErr w:type="spellStart"/>
      <w:r w:rsidRPr="00CD08A7">
        <w:t>av</w:t>
      </w:r>
      <w:proofErr w:type="spellEnd"/>
      <w:r w:rsidRPr="00CD08A7">
        <w:t xml:space="preserve">. de La </w:t>
      </w:r>
      <w:proofErr w:type="spellStart"/>
      <w:r w:rsidRPr="00CD08A7">
        <w:t>Ballastière</w:t>
      </w:r>
      <w:proofErr w:type="spellEnd"/>
    </w:p>
    <w:p w:rsidR="00A90462" w:rsidRPr="00CD08A7" w:rsidRDefault="00A90462" w:rsidP="00A90462">
      <w:r w:rsidRPr="00CD08A7">
        <w:t xml:space="preserve">33500 </w:t>
      </w:r>
      <w:proofErr w:type="spellStart"/>
      <w:r w:rsidRPr="00CD08A7">
        <w:t>Libourne</w:t>
      </w:r>
      <w:proofErr w:type="spellEnd"/>
    </w:p>
    <w:p w:rsidR="00A90462" w:rsidRPr="00CD08A7" w:rsidRDefault="00A90462" w:rsidP="00A90462">
      <w:pPr>
        <w:ind w:right="-318"/>
      </w:pPr>
      <w:r w:rsidRPr="00CD08A7">
        <w:t>France</w:t>
      </w: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pPr>
        <w:ind w:right="-318"/>
        <w:rPr>
          <w:b/>
          <w:caps/>
        </w:rPr>
      </w:pPr>
      <w:r w:rsidRPr="00CD08A7">
        <w:rPr>
          <w:b/>
        </w:rPr>
        <w:t>8.</w:t>
      </w:r>
      <w:r w:rsidRPr="00CD08A7">
        <w:tab/>
      </w:r>
      <w:r w:rsidRPr="00CD08A7">
        <w:rPr>
          <w:b/>
          <w:caps/>
        </w:rPr>
        <w:t>Registrační číslo</w:t>
      </w:r>
      <w:r>
        <w:rPr>
          <w:b/>
          <w:caps/>
        </w:rPr>
        <w:t xml:space="preserve"> </w:t>
      </w:r>
      <w:r w:rsidRPr="00CD08A7">
        <w:rPr>
          <w:b/>
          <w:caps/>
        </w:rPr>
        <w:t>(a)</w:t>
      </w:r>
    </w:p>
    <w:p w:rsidR="00A90462" w:rsidRDefault="00A90462" w:rsidP="00A90462">
      <w:pPr>
        <w:ind w:right="-318"/>
        <w:rPr>
          <w:caps/>
        </w:rPr>
      </w:pPr>
    </w:p>
    <w:p w:rsidR="00A90462" w:rsidRPr="00CD08A7" w:rsidRDefault="00A90462" w:rsidP="00A90462">
      <w:pPr>
        <w:ind w:right="-318"/>
        <w:rPr>
          <w:caps/>
        </w:rPr>
      </w:pPr>
      <w:r>
        <w:rPr>
          <w:caps/>
        </w:rPr>
        <w:t>96/013/18-C</w:t>
      </w:r>
    </w:p>
    <w:p w:rsidR="00A90462" w:rsidRPr="00CD08A7" w:rsidRDefault="00A90462" w:rsidP="00A90462">
      <w:pPr>
        <w:ind w:right="-318"/>
        <w:rPr>
          <w:caps/>
        </w:rPr>
      </w:pPr>
    </w:p>
    <w:p w:rsidR="00A90462" w:rsidRPr="00CD08A7" w:rsidRDefault="00A90462" w:rsidP="00A90462">
      <w:pPr>
        <w:ind w:right="-318"/>
        <w:rPr>
          <w:b/>
          <w:caps/>
        </w:rPr>
      </w:pPr>
      <w:r w:rsidRPr="00CD08A7">
        <w:rPr>
          <w:b/>
          <w:caps/>
        </w:rPr>
        <w:t>9.</w:t>
      </w:r>
      <w:r w:rsidRPr="00CD08A7">
        <w:rPr>
          <w:b/>
          <w:caps/>
        </w:rPr>
        <w:tab/>
        <w:t>Datum registrace/ prodloužení registrace</w:t>
      </w:r>
    </w:p>
    <w:p w:rsidR="00A90462" w:rsidRPr="00CD08A7" w:rsidRDefault="00A90462" w:rsidP="00A90462">
      <w:pPr>
        <w:ind w:right="-318"/>
        <w:rPr>
          <w:b/>
          <w:caps/>
        </w:rPr>
      </w:pPr>
    </w:p>
    <w:p w:rsidR="00A90462" w:rsidRPr="00CD08A7" w:rsidRDefault="00A90462" w:rsidP="00A90462">
      <w:pPr>
        <w:ind w:right="-318"/>
      </w:pPr>
      <w:r>
        <w:t>16. 3. 2018</w:t>
      </w:r>
    </w:p>
    <w:p w:rsidR="00A90462" w:rsidRPr="00CD08A7" w:rsidRDefault="00A90462" w:rsidP="00A90462">
      <w:pPr>
        <w:ind w:right="-318"/>
      </w:pPr>
    </w:p>
    <w:p w:rsidR="00A90462" w:rsidRPr="00CD08A7" w:rsidRDefault="00A90462" w:rsidP="00A90462">
      <w:pPr>
        <w:ind w:right="-318"/>
        <w:rPr>
          <w:b/>
        </w:rPr>
      </w:pPr>
      <w:r w:rsidRPr="00CD08A7">
        <w:rPr>
          <w:b/>
        </w:rPr>
        <w:t xml:space="preserve">10. </w:t>
      </w:r>
      <w:r w:rsidRPr="00CD08A7">
        <w:rPr>
          <w:b/>
        </w:rPr>
        <w:tab/>
        <w:t>DATUM REVIZE TEXTU</w:t>
      </w:r>
    </w:p>
    <w:p w:rsidR="00A90462" w:rsidRPr="00CD08A7" w:rsidRDefault="00A90462" w:rsidP="00A90462">
      <w:pPr>
        <w:ind w:right="-318"/>
        <w:rPr>
          <w:bCs/>
        </w:rPr>
      </w:pPr>
    </w:p>
    <w:p w:rsidR="00A90462" w:rsidRPr="00CD08A7" w:rsidRDefault="00B87704" w:rsidP="00A90462">
      <w:pPr>
        <w:ind w:right="-318"/>
        <w:rPr>
          <w:bCs/>
        </w:rPr>
      </w:pPr>
      <w:proofErr w:type="gramStart"/>
      <w:r>
        <w:rPr>
          <w:bCs/>
        </w:rPr>
        <w:t>Listopad</w:t>
      </w:r>
      <w:proofErr w:type="gramEnd"/>
      <w:r w:rsidRPr="00CD08A7">
        <w:rPr>
          <w:bCs/>
        </w:rPr>
        <w:t xml:space="preserve"> </w:t>
      </w:r>
      <w:r w:rsidR="00A90462" w:rsidRPr="00CD08A7">
        <w:rPr>
          <w:bCs/>
        </w:rPr>
        <w:t>20</w:t>
      </w:r>
      <w:r>
        <w:rPr>
          <w:bCs/>
        </w:rPr>
        <w:t>22</w:t>
      </w:r>
    </w:p>
    <w:p w:rsidR="00A90462" w:rsidRPr="00CD08A7" w:rsidRDefault="00A90462" w:rsidP="00A90462">
      <w:pPr>
        <w:ind w:left="0" w:firstLine="0"/>
        <w:rPr>
          <w:noProof/>
        </w:rPr>
      </w:pPr>
    </w:p>
    <w:p w:rsidR="00A90462" w:rsidRPr="00CD08A7" w:rsidRDefault="00A90462" w:rsidP="00A90462">
      <w:pPr>
        <w:ind w:left="0" w:firstLine="0"/>
        <w:rPr>
          <w:b/>
        </w:rPr>
      </w:pPr>
      <w:proofErr w:type="gramStart"/>
      <w:r w:rsidRPr="00CD08A7">
        <w:rPr>
          <w:b/>
        </w:rPr>
        <w:t>DALŠÍ  INFORMACE</w:t>
      </w:r>
      <w:proofErr w:type="gramEnd"/>
    </w:p>
    <w:p w:rsidR="00A90462" w:rsidRPr="00CD08A7" w:rsidRDefault="00A90462" w:rsidP="00A90462">
      <w:pPr>
        <w:ind w:left="0" w:firstLine="0"/>
        <w:rPr>
          <w:b/>
        </w:rPr>
      </w:pPr>
    </w:p>
    <w:p w:rsidR="00990659" w:rsidRDefault="00A90462" w:rsidP="00A90462">
      <w:pPr>
        <w:ind w:left="0" w:firstLine="0"/>
      </w:pPr>
      <w:r w:rsidRPr="00CD08A7">
        <w:rPr>
          <w:bCs/>
        </w:rPr>
        <w:t>Veterinární léčivý přípravek je vydáván pouze na předpis.</w:t>
      </w:r>
    </w:p>
    <w:sectPr w:rsidR="00990659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84" w:rsidRDefault="00490284">
      <w:r>
        <w:separator/>
      </w:r>
    </w:p>
  </w:endnote>
  <w:endnote w:type="continuationSeparator" w:id="0">
    <w:p w:rsidR="00490284" w:rsidRDefault="0049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8EB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59356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A9046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59356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A9046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84" w:rsidRDefault="00490284">
      <w:r>
        <w:separator/>
      </w:r>
    </w:p>
  </w:footnote>
  <w:footnote w:type="continuationSeparator" w:id="0">
    <w:p w:rsidR="00490284" w:rsidRDefault="0049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23064F"/>
    <w:rsid w:val="002A0BAF"/>
    <w:rsid w:val="002C3093"/>
    <w:rsid w:val="0034497B"/>
    <w:rsid w:val="00443344"/>
    <w:rsid w:val="00490284"/>
    <w:rsid w:val="0059356E"/>
    <w:rsid w:val="005D6C82"/>
    <w:rsid w:val="00885A54"/>
    <w:rsid w:val="00990659"/>
    <w:rsid w:val="00A82534"/>
    <w:rsid w:val="00A90462"/>
    <w:rsid w:val="00A90943"/>
    <w:rsid w:val="00AB3C40"/>
    <w:rsid w:val="00B87704"/>
    <w:rsid w:val="00D00C42"/>
    <w:rsid w:val="00DC6E1A"/>
    <w:rsid w:val="00E71162"/>
    <w:rsid w:val="00EB1DFE"/>
    <w:rsid w:val="00F94EF3"/>
    <w:rsid w:val="00F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CEC58-2F71-4811-BC08-BA0DAAA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character" w:customStyle="1" w:styleId="Zkladntext2Char">
    <w:name w:val="Základní text 2 Char"/>
    <w:link w:val="Zkladntext2"/>
    <w:rsid w:val="00A90462"/>
    <w:rPr>
      <w:b/>
      <w:sz w:val="22"/>
      <w:lang w:eastAsia="en-US"/>
    </w:rPr>
  </w:style>
  <w:style w:type="paragraph" w:customStyle="1" w:styleId="Normal1">
    <w:name w:val="Normal1"/>
    <w:rsid w:val="00A90462"/>
    <w:pPr>
      <w:pBdr>
        <w:top w:val="nil"/>
        <w:left w:val="nil"/>
        <w:bottom w:val="nil"/>
        <w:right w:val="nil"/>
        <w:between w:val="nil"/>
      </w:pBdr>
      <w:tabs>
        <w:tab w:val="left" w:pos="567"/>
      </w:tabs>
    </w:pPr>
    <w:rPr>
      <w:color w:val="000000"/>
      <w:sz w:val="22"/>
      <w:szCs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1665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Šťastná Hana</cp:lastModifiedBy>
  <cp:revision>5</cp:revision>
  <cp:lastPrinted>2022-11-23T08:37:00Z</cp:lastPrinted>
  <dcterms:created xsi:type="dcterms:W3CDTF">2022-11-11T14:20:00Z</dcterms:created>
  <dcterms:modified xsi:type="dcterms:W3CDTF">2022-11-23T08:37:00Z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