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D273FFA" w:rsidR="00C114FF" w:rsidRPr="006D5389" w:rsidRDefault="00D9790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i/>
          <w:color w:val="008000"/>
          <w:szCs w:val="22"/>
        </w:rPr>
        <w:t xml:space="preserve"> </w:t>
      </w:r>
    </w:p>
    <w:p w14:paraId="43D17506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6D5389" w:rsidRDefault="00B80A4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D5389">
        <w:rPr>
          <w:b/>
          <w:szCs w:val="22"/>
        </w:rPr>
        <w:t>PŘÍLOHA I</w:t>
      </w:r>
    </w:p>
    <w:p w14:paraId="50FE88E4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6D5389" w:rsidRDefault="00B80A4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D5389">
        <w:rPr>
          <w:b/>
          <w:szCs w:val="22"/>
        </w:rPr>
        <w:t>SOUHRN ÚDAJŮ O PŘÍPRAVKU</w:t>
      </w:r>
    </w:p>
    <w:p w14:paraId="70A64732" w14:textId="77777777" w:rsidR="00C114FF" w:rsidRPr="006D5389" w:rsidRDefault="00B80A44" w:rsidP="00B13B6D">
      <w:pPr>
        <w:pStyle w:val="Style1"/>
      </w:pPr>
      <w:r w:rsidRPr="006D5389">
        <w:br w:type="page"/>
      </w:r>
      <w:r w:rsidRPr="006D5389">
        <w:lastRenderedPageBreak/>
        <w:t>1.</w:t>
      </w:r>
      <w:r w:rsidRPr="006D5389">
        <w:tab/>
        <w:t>NÁZEV VETERINÁRNÍHO LÉČIVÉHO PŘÍPRAVKU</w:t>
      </w:r>
    </w:p>
    <w:p w14:paraId="3606368F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74FA9097" w:rsidR="00C114FF" w:rsidRPr="006D5389" w:rsidRDefault="003E703B" w:rsidP="00A9226B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napToGrid w:val="0"/>
          <w:szCs w:val="22"/>
        </w:rPr>
        <w:t>Busol 0,004 mg/ml injekční roztok pro skot, koně, králíky</w:t>
      </w:r>
    </w:p>
    <w:p w14:paraId="5906BB1F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6D5389" w:rsidRDefault="00B80A44" w:rsidP="00B13B6D">
      <w:pPr>
        <w:pStyle w:val="Style1"/>
      </w:pPr>
      <w:r w:rsidRPr="006D5389">
        <w:t>2.</w:t>
      </w:r>
      <w:r w:rsidRPr="006D5389">
        <w:tab/>
        <w:t>KVALITATIVNÍ A KVANTITATIVNÍ SLOŽENÍ</w:t>
      </w:r>
    </w:p>
    <w:p w14:paraId="3EAF4F83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3B457" w14:textId="65CE4B09" w:rsidR="00541D40" w:rsidRPr="006D5389" w:rsidRDefault="00541D40" w:rsidP="00A9226B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Jeden ml obsahuje:</w:t>
      </w:r>
    </w:p>
    <w:p w14:paraId="30474CAB" w14:textId="77777777" w:rsidR="00947C55" w:rsidRDefault="00947C55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17298E5D" w:rsidR="00C114FF" w:rsidRPr="006D5389" w:rsidRDefault="00B80A44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6D5389">
        <w:rPr>
          <w:b/>
          <w:szCs w:val="22"/>
        </w:rPr>
        <w:t>Léčivá látka:</w:t>
      </w:r>
    </w:p>
    <w:p w14:paraId="3E20B925" w14:textId="362183CB" w:rsidR="00541D40" w:rsidRPr="006D5389" w:rsidRDefault="00541D40" w:rsidP="00541D4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D5389">
        <w:rPr>
          <w:szCs w:val="22"/>
        </w:rPr>
        <w:t>Buserelinum</w:t>
      </w:r>
      <w:proofErr w:type="spellEnd"/>
      <w:r w:rsidRPr="006D5389">
        <w:rPr>
          <w:szCs w:val="22"/>
        </w:rPr>
        <w:t xml:space="preserve"> (jako </w:t>
      </w:r>
      <w:proofErr w:type="spellStart"/>
      <w:r w:rsidRPr="006D5389">
        <w:rPr>
          <w:szCs w:val="22"/>
        </w:rPr>
        <w:t>buserelini</w:t>
      </w:r>
      <w:proofErr w:type="spellEnd"/>
      <w:r w:rsidRPr="006D5389">
        <w:rPr>
          <w:szCs w:val="22"/>
        </w:rPr>
        <w:t xml:space="preserve"> </w:t>
      </w:r>
      <w:proofErr w:type="spellStart"/>
      <w:r w:rsidRPr="006D5389">
        <w:rPr>
          <w:szCs w:val="22"/>
        </w:rPr>
        <w:t>acetas</w:t>
      </w:r>
      <w:proofErr w:type="spellEnd"/>
      <w:r w:rsidRPr="006D5389">
        <w:rPr>
          <w:szCs w:val="22"/>
        </w:rPr>
        <w:t>)</w:t>
      </w:r>
      <w:r w:rsidRPr="006D5389">
        <w:rPr>
          <w:szCs w:val="22"/>
        </w:rPr>
        <w:tab/>
        <w:t xml:space="preserve">0,004 mg </w:t>
      </w:r>
    </w:p>
    <w:p w14:paraId="4114CC73" w14:textId="3F0B7B60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8EE0A" w14:textId="77777777" w:rsidR="00541D40" w:rsidRPr="006D5389" w:rsidRDefault="00541D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34F2A58" w:rsidR="00C114FF" w:rsidRPr="006D5389" w:rsidRDefault="00B80A44" w:rsidP="00A9226B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b/>
          <w:szCs w:val="22"/>
        </w:rPr>
        <w:t>Pomocné látky:</w:t>
      </w:r>
    </w:p>
    <w:p w14:paraId="13C45036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3"/>
      </w:tblGrid>
      <w:tr w:rsidR="00541D40" w:rsidRPr="006D5389" w14:paraId="1F543438" w14:textId="77777777" w:rsidTr="008150CF">
        <w:tc>
          <w:tcPr>
            <w:tcW w:w="4643" w:type="dxa"/>
            <w:shd w:val="clear" w:color="auto" w:fill="auto"/>
            <w:vAlign w:val="center"/>
          </w:tcPr>
          <w:p w14:paraId="638BB3C5" w14:textId="46FEDD60" w:rsidR="00541D40" w:rsidRPr="006D5389" w:rsidRDefault="00541D40" w:rsidP="008150C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D538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7C79AB" w14:textId="2D5ECC58" w:rsidR="00541D40" w:rsidRPr="006D5389" w:rsidRDefault="00541D40" w:rsidP="008150C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D5389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41D40" w:rsidRPr="006D5389" w14:paraId="4E4933B2" w14:textId="77777777" w:rsidTr="008150CF">
        <w:tc>
          <w:tcPr>
            <w:tcW w:w="4643" w:type="dxa"/>
            <w:shd w:val="clear" w:color="auto" w:fill="auto"/>
            <w:vAlign w:val="center"/>
          </w:tcPr>
          <w:p w14:paraId="7C640A6E" w14:textId="2C427EE6" w:rsidR="00541D40" w:rsidRPr="006D5389" w:rsidRDefault="00D44B9C" w:rsidP="008150C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6D5389">
              <w:rPr>
                <w:szCs w:val="22"/>
              </w:rPr>
              <w:t>Benzylalkohol (E 1519)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F10B3F" w14:textId="63563A79" w:rsidR="00541D40" w:rsidRPr="006D5389" w:rsidRDefault="00D44B9C" w:rsidP="008150CF">
            <w:pPr>
              <w:spacing w:before="60" w:after="60"/>
              <w:rPr>
                <w:iCs/>
                <w:szCs w:val="22"/>
              </w:rPr>
            </w:pPr>
            <w:r w:rsidRPr="006D5389">
              <w:rPr>
                <w:szCs w:val="22"/>
              </w:rPr>
              <w:t>20,0 mg</w:t>
            </w:r>
          </w:p>
        </w:tc>
      </w:tr>
      <w:tr w:rsidR="00541D40" w:rsidRPr="006D5389" w14:paraId="51DEE09E" w14:textId="77777777" w:rsidTr="008150CF">
        <w:tc>
          <w:tcPr>
            <w:tcW w:w="4643" w:type="dxa"/>
            <w:shd w:val="clear" w:color="auto" w:fill="auto"/>
            <w:vAlign w:val="center"/>
          </w:tcPr>
          <w:p w14:paraId="69511C43" w14:textId="31AC4F31" w:rsidR="00541D40" w:rsidRPr="006D5389" w:rsidRDefault="00D44B9C" w:rsidP="00D44B9C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</w:rPr>
            </w:pPr>
            <w:r w:rsidRPr="006D5389">
              <w:rPr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B6260E" w14:textId="77777777" w:rsidR="00541D40" w:rsidRPr="006D5389" w:rsidRDefault="00541D40" w:rsidP="008150CF">
            <w:pPr>
              <w:spacing w:before="60" w:after="60"/>
              <w:rPr>
                <w:iCs/>
                <w:szCs w:val="22"/>
              </w:rPr>
            </w:pPr>
          </w:p>
        </w:tc>
      </w:tr>
      <w:tr w:rsidR="00541D40" w:rsidRPr="006D5389" w14:paraId="08AFAE01" w14:textId="77777777" w:rsidTr="008150CF">
        <w:tc>
          <w:tcPr>
            <w:tcW w:w="4643" w:type="dxa"/>
            <w:shd w:val="clear" w:color="auto" w:fill="auto"/>
            <w:vAlign w:val="center"/>
          </w:tcPr>
          <w:p w14:paraId="6E5BFF10" w14:textId="109DC233" w:rsidR="00541D40" w:rsidRPr="006D5389" w:rsidRDefault="00D44B9C" w:rsidP="008150C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D5389">
              <w:rPr>
                <w:szCs w:val="22"/>
              </w:rPr>
              <w:t>Dihydrát</w:t>
            </w:r>
            <w:proofErr w:type="spellEnd"/>
            <w:r w:rsidRPr="006D5389">
              <w:rPr>
                <w:szCs w:val="22"/>
              </w:rPr>
              <w:t xml:space="preserve"> </w:t>
            </w:r>
            <w:proofErr w:type="spellStart"/>
            <w:r w:rsidRPr="006D5389">
              <w:rPr>
                <w:szCs w:val="22"/>
              </w:rPr>
              <w:t>dihydrogenfosforečnanu</w:t>
            </w:r>
            <w:proofErr w:type="spellEnd"/>
            <w:r w:rsidRPr="006D5389">
              <w:rPr>
                <w:szCs w:val="22"/>
              </w:rPr>
              <w:t xml:space="preserve"> sodného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54F7B5" w14:textId="77777777" w:rsidR="00541D40" w:rsidRPr="006D5389" w:rsidRDefault="00541D40" w:rsidP="008150CF">
            <w:pPr>
              <w:spacing w:before="60" w:after="60"/>
              <w:rPr>
                <w:iCs/>
                <w:szCs w:val="22"/>
              </w:rPr>
            </w:pPr>
          </w:p>
        </w:tc>
      </w:tr>
      <w:tr w:rsidR="00541D40" w:rsidRPr="006D5389" w14:paraId="1DBEF0BA" w14:textId="77777777" w:rsidTr="008150CF">
        <w:tc>
          <w:tcPr>
            <w:tcW w:w="4643" w:type="dxa"/>
            <w:shd w:val="clear" w:color="auto" w:fill="auto"/>
            <w:vAlign w:val="center"/>
          </w:tcPr>
          <w:p w14:paraId="56B30845" w14:textId="17636AB3" w:rsidR="00541D40" w:rsidRPr="006D5389" w:rsidRDefault="00D44B9C" w:rsidP="00D44B9C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</w:rPr>
            </w:pPr>
            <w:r w:rsidRPr="006D5389">
              <w:rPr>
                <w:szCs w:val="22"/>
              </w:rPr>
              <w:t>Hydroxid sodný</w:t>
            </w:r>
            <w:r w:rsidR="00947C55">
              <w:rPr>
                <w:szCs w:val="22"/>
              </w:rPr>
              <w:t xml:space="preserve">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5129D7" w14:textId="77777777" w:rsidR="00541D40" w:rsidRPr="006D5389" w:rsidRDefault="00541D40" w:rsidP="008150CF">
            <w:pPr>
              <w:spacing w:before="60" w:after="60"/>
              <w:rPr>
                <w:iCs/>
                <w:szCs w:val="22"/>
              </w:rPr>
            </w:pPr>
          </w:p>
        </w:tc>
      </w:tr>
      <w:tr w:rsidR="00541D40" w:rsidRPr="006D5389" w14:paraId="6B8D1D7F" w14:textId="77777777" w:rsidTr="008150CF">
        <w:tc>
          <w:tcPr>
            <w:tcW w:w="4643" w:type="dxa"/>
            <w:shd w:val="clear" w:color="auto" w:fill="auto"/>
            <w:vAlign w:val="center"/>
          </w:tcPr>
          <w:p w14:paraId="4125DE52" w14:textId="3EC9CF53" w:rsidR="00541D40" w:rsidRPr="006D5389" w:rsidRDefault="00D44B9C" w:rsidP="008150CF">
            <w:pPr>
              <w:spacing w:before="60" w:after="60"/>
              <w:rPr>
                <w:iCs/>
                <w:szCs w:val="22"/>
              </w:rPr>
            </w:pPr>
            <w:r w:rsidRPr="006D5389">
              <w:rPr>
                <w:szCs w:val="22"/>
              </w:rPr>
              <w:t xml:space="preserve">Voda </w:t>
            </w:r>
            <w:r w:rsidR="00947C55">
              <w:rPr>
                <w:szCs w:val="22"/>
              </w:rPr>
              <w:t>pro</w:t>
            </w:r>
            <w:r w:rsidRPr="006D5389">
              <w:rPr>
                <w:szCs w:val="22"/>
              </w:rPr>
              <w:t xml:space="preserve">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CEC5F4" w14:textId="77777777" w:rsidR="00541D40" w:rsidRPr="006D5389" w:rsidRDefault="00541D40" w:rsidP="008150C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9BC057E" w:rsidR="00872C48" w:rsidRPr="006D5389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743F9B" w14:textId="479F0198" w:rsidR="002E155A" w:rsidRPr="006D5389" w:rsidRDefault="002E155A" w:rsidP="002E155A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Čir</w:t>
      </w:r>
      <w:r w:rsidR="00947C55">
        <w:rPr>
          <w:szCs w:val="22"/>
        </w:rPr>
        <w:t>ý</w:t>
      </w:r>
      <w:r w:rsidRPr="006D5389">
        <w:rPr>
          <w:szCs w:val="22"/>
        </w:rPr>
        <w:t xml:space="preserve"> bezbarv</w:t>
      </w:r>
      <w:r w:rsidR="00947C55">
        <w:rPr>
          <w:szCs w:val="22"/>
        </w:rPr>
        <w:t>ý</w:t>
      </w:r>
      <w:r w:rsidRPr="006D5389">
        <w:rPr>
          <w:szCs w:val="22"/>
        </w:rPr>
        <w:t xml:space="preserve"> </w:t>
      </w:r>
      <w:r w:rsidR="00F16CFC" w:rsidRPr="006D5389">
        <w:rPr>
          <w:szCs w:val="22"/>
        </w:rPr>
        <w:t>roztok</w:t>
      </w:r>
    </w:p>
    <w:p w14:paraId="3D2B9CB9" w14:textId="77777777" w:rsidR="00D44B9C" w:rsidRPr="006D5389" w:rsidRDefault="00D44B9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6D5389" w:rsidRDefault="00B80A44" w:rsidP="00B13B6D">
      <w:pPr>
        <w:pStyle w:val="Style1"/>
      </w:pPr>
      <w:r w:rsidRPr="006D5389">
        <w:t>3.</w:t>
      </w:r>
      <w:r w:rsidRPr="006D5389">
        <w:tab/>
        <w:t>KLINICKÉ INFORMACE</w:t>
      </w:r>
    </w:p>
    <w:p w14:paraId="03304F78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6D5389" w:rsidRDefault="00B80A44" w:rsidP="00B13B6D">
      <w:pPr>
        <w:pStyle w:val="Style1"/>
      </w:pPr>
      <w:r w:rsidRPr="006D5389">
        <w:t>3.1</w:t>
      </w:r>
      <w:r w:rsidRPr="006D5389">
        <w:tab/>
        <w:t>Cílové druhy zvířat</w:t>
      </w:r>
    </w:p>
    <w:p w14:paraId="20FFAC3D" w14:textId="33969DF5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3692F3" w14:textId="1DD3EB15" w:rsidR="002E155A" w:rsidRPr="006D5389" w:rsidRDefault="002E155A" w:rsidP="002E155A">
      <w:pPr>
        <w:jc w:val="both"/>
        <w:rPr>
          <w:szCs w:val="22"/>
        </w:rPr>
      </w:pPr>
      <w:r w:rsidRPr="006D5389">
        <w:rPr>
          <w:szCs w:val="22"/>
        </w:rPr>
        <w:t>Skot, koně, králíci</w:t>
      </w:r>
    </w:p>
    <w:p w14:paraId="0321C188" w14:textId="77777777" w:rsidR="002E155A" w:rsidRPr="006D5389" w:rsidRDefault="002E15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84D9694" w:rsidR="00C114FF" w:rsidRPr="006D5389" w:rsidRDefault="00B80A44" w:rsidP="00B13B6D">
      <w:pPr>
        <w:pStyle w:val="Style1"/>
      </w:pPr>
      <w:r w:rsidRPr="006D5389">
        <w:t>3.2</w:t>
      </w:r>
      <w:r w:rsidRPr="006D5389">
        <w:tab/>
        <w:t xml:space="preserve">Indikace pro použití pro každý cílový druh </w:t>
      </w:r>
      <w:r w:rsidR="0043586F" w:rsidRPr="006D5389">
        <w:t>zvířat</w:t>
      </w:r>
    </w:p>
    <w:p w14:paraId="58050F7E" w14:textId="77777777" w:rsidR="00BA11C3" w:rsidRPr="006D5389" w:rsidRDefault="00BA11C3" w:rsidP="00BA11C3">
      <w:pPr>
        <w:pStyle w:val="TextkrperFachinformation"/>
        <w:rPr>
          <w:szCs w:val="22"/>
        </w:rPr>
      </w:pPr>
    </w:p>
    <w:p w14:paraId="33A73826" w14:textId="0C858363" w:rsidR="00BA11C3" w:rsidRPr="006D5389" w:rsidRDefault="00BA11C3" w:rsidP="00BA11C3">
      <w:pPr>
        <w:pStyle w:val="TextkrperFachinformation"/>
        <w:rPr>
          <w:b/>
          <w:bCs/>
          <w:szCs w:val="22"/>
        </w:rPr>
      </w:pPr>
      <w:r w:rsidRPr="006D5389">
        <w:rPr>
          <w:b/>
          <w:bCs/>
          <w:szCs w:val="22"/>
        </w:rPr>
        <w:t>Krávy:</w:t>
      </w:r>
    </w:p>
    <w:p w14:paraId="699C0651" w14:textId="36EA6D2E" w:rsidR="00AD4ED3" w:rsidRPr="006D5389" w:rsidRDefault="00AD4ED3" w:rsidP="00AD4ED3">
      <w:pPr>
        <w:pStyle w:val="TextkrperFachinformation"/>
        <w:rPr>
          <w:szCs w:val="22"/>
        </w:rPr>
      </w:pPr>
      <w:r w:rsidRPr="006D5389">
        <w:rPr>
          <w:szCs w:val="22"/>
        </w:rPr>
        <w:t>Indukce ovulace u krav s dominantním folikulem.</w:t>
      </w:r>
    </w:p>
    <w:p w14:paraId="21AB5048" w14:textId="0F2890F0" w:rsidR="00AD4ED3" w:rsidRPr="006D5389" w:rsidRDefault="00AD4ED3" w:rsidP="00AD4ED3">
      <w:pPr>
        <w:pStyle w:val="TextkrperFachinformation"/>
        <w:rPr>
          <w:szCs w:val="22"/>
        </w:rPr>
      </w:pPr>
      <w:r w:rsidRPr="006D5389">
        <w:rPr>
          <w:szCs w:val="22"/>
        </w:rPr>
        <w:t>Synchronizace říje a indukce ovulace.</w:t>
      </w:r>
    </w:p>
    <w:p w14:paraId="4433A17D" w14:textId="2899BB03" w:rsidR="00AD4ED3" w:rsidRPr="006D5389" w:rsidRDefault="00AD4ED3" w:rsidP="00AD4ED3">
      <w:pPr>
        <w:pStyle w:val="TextkrperFachinformation"/>
        <w:rPr>
          <w:szCs w:val="22"/>
        </w:rPr>
      </w:pPr>
      <w:r w:rsidRPr="006D5389">
        <w:rPr>
          <w:szCs w:val="22"/>
        </w:rPr>
        <w:t>Léčba ovariálních folikulárních cyst.</w:t>
      </w:r>
    </w:p>
    <w:p w14:paraId="58F848B4" w14:textId="77777777" w:rsidR="00BA11C3" w:rsidRPr="006D5389" w:rsidRDefault="00BA11C3" w:rsidP="00BA11C3">
      <w:pPr>
        <w:pStyle w:val="TextkrperFachinformation"/>
        <w:rPr>
          <w:szCs w:val="22"/>
        </w:rPr>
      </w:pPr>
    </w:p>
    <w:p w14:paraId="0ECA57C3" w14:textId="790E229C" w:rsidR="00BA11C3" w:rsidRPr="006D5389" w:rsidRDefault="00BA11C3" w:rsidP="00BA11C3">
      <w:pPr>
        <w:pStyle w:val="TextkrperFachinformation"/>
        <w:rPr>
          <w:b/>
          <w:bCs/>
          <w:szCs w:val="22"/>
        </w:rPr>
      </w:pPr>
      <w:r w:rsidRPr="006D5389">
        <w:rPr>
          <w:b/>
          <w:bCs/>
          <w:szCs w:val="22"/>
        </w:rPr>
        <w:t>Klisny:</w:t>
      </w:r>
    </w:p>
    <w:p w14:paraId="038CC500" w14:textId="3A0D1044" w:rsidR="00BA11C3" w:rsidRPr="006D5389" w:rsidRDefault="00BA11C3" w:rsidP="00BA11C3">
      <w:pPr>
        <w:pStyle w:val="TextkrperFachinformation"/>
        <w:rPr>
          <w:szCs w:val="22"/>
        </w:rPr>
      </w:pPr>
      <w:r w:rsidRPr="006D5389">
        <w:rPr>
          <w:szCs w:val="22"/>
        </w:rPr>
        <w:t>Indukce ovulace u klisen v</w:t>
      </w:r>
      <w:r w:rsidR="00AD4ED3" w:rsidRPr="006D5389">
        <w:rPr>
          <w:szCs w:val="22"/>
        </w:rPr>
        <w:t> </w:t>
      </w:r>
      <w:r w:rsidRPr="006D5389">
        <w:rPr>
          <w:szCs w:val="22"/>
        </w:rPr>
        <w:t>říji</w:t>
      </w:r>
      <w:r w:rsidR="00AD4ED3" w:rsidRPr="006D5389">
        <w:rPr>
          <w:szCs w:val="22"/>
        </w:rPr>
        <w:t>.</w:t>
      </w:r>
    </w:p>
    <w:p w14:paraId="4A6E49B8" w14:textId="31532461" w:rsidR="00BA11C3" w:rsidRPr="006D5389" w:rsidRDefault="00BA11C3" w:rsidP="00BA11C3">
      <w:pPr>
        <w:pStyle w:val="TextkrperFachinformation"/>
        <w:rPr>
          <w:szCs w:val="22"/>
        </w:rPr>
      </w:pPr>
      <w:r w:rsidRPr="006D5389">
        <w:rPr>
          <w:szCs w:val="22"/>
        </w:rPr>
        <w:t>Zvýšení pravděpodobnosti zabřeznutí</w:t>
      </w:r>
      <w:r w:rsidR="00AD4ED3" w:rsidRPr="006D5389">
        <w:rPr>
          <w:szCs w:val="22"/>
        </w:rPr>
        <w:t>.</w:t>
      </w:r>
      <w:r w:rsidRPr="006D5389">
        <w:rPr>
          <w:szCs w:val="22"/>
        </w:rPr>
        <w:t xml:space="preserve"> </w:t>
      </w:r>
    </w:p>
    <w:p w14:paraId="702A8D1C" w14:textId="77777777" w:rsidR="00BA11C3" w:rsidRPr="006D5389" w:rsidRDefault="00BA11C3" w:rsidP="00BA11C3">
      <w:pPr>
        <w:pStyle w:val="TextkrperFachinformation"/>
        <w:rPr>
          <w:szCs w:val="22"/>
        </w:rPr>
      </w:pPr>
    </w:p>
    <w:p w14:paraId="56691158" w14:textId="06A09D16" w:rsidR="00BA11C3" w:rsidRPr="006D5389" w:rsidRDefault="00F16CFC" w:rsidP="00BA11C3">
      <w:pPr>
        <w:pStyle w:val="TextkrperFachinformation"/>
        <w:rPr>
          <w:szCs w:val="22"/>
        </w:rPr>
      </w:pPr>
      <w:r w:rsidRPr="006D5389">
        <w:rPr>
          <w:b/>
          <w:bCs/>
          <w:szCs w:val="22"/>
        </w:rPr>
        <w:t>Samice králíků:</w:t>
      </w:r>
      <w:r w:rsidRPr="006D5389" w:rsidDel="00F16CFC">
        <w:rPr>
          <w:b/>
          <w:bCs/>
          <w:szCs w:val="22"/>
        </w:rPr>
        <w:t xml:space="preserve"> </w:t>
      </w:r>
      <w:r w:rsidR="00BA11C3" w:rsidRPr="006D5389">
        <w:rPr>
          <w:szCs w:val="22"/>
        </w:rPr>
        <w:t xml:space="preserve">Indukce ovulace při inseminaci post </w:t>
      </w:r>
      <w:proofErr w:type="spellStart"/>
      <w:r w:rsidR="00BA11C3" w:rsidRPr="006D5389">
        <w:rPr>
          <w:szCs w:val="22"/>
        </w:rPr>
        <w:t>partum</w:t>
      </w:r>
      <w:proofErr w:type="spellEnd"/>
      <w:r w:rsidR="00AD4ED3" w:rsidRPr="006D5389">
        <w:rPr>
          <w:szCs w:val="22"/>
        </w:rPr>
        <w:t>.</w:t>
      </w:r>
    </w:p>
    <w:p w14:paraId="45A9E78C" w14:textId="30BF6A81" w:rsidR="00E86CEE" w:rsidRPr="006D5389" w:rsidRDefault="00BA11C3" w:rsidP="00BA11C3">
      <w:pPr>
        <w:pStyle w:val="TextkrperFachinformation"/>
        <w:rPr>
          <w:szCs w:val="22"/>
        </w:rPr>
      </w:pPr>
      <w:r w:rsidRPr="006D5389">
        <w:rPr>
          <w:szCs w:val="22"/>
        </w:rPr>
        <w:t>Zvýšení pravděpodobnosti zabřeznutí</w:t>
      </w:r>
      <w:r w:rsidR="00AD4ED3" w:rsidRPr="006D5389">
        <w:rPr>
          <w:szCs w:val="22"/>
        </w:rPr>
        <w:t>.</w:t>
      </w:r>
    </w:p>
    <w:p w14:paraId="599CE76F" w14:textId="77777777" w:rsidR="0071271C" w:rsidRPr="006D5389" w:rsidRDefault="0071271C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6D5389" w:rsidRDefault="00B80A44" w:rsidP="00B13B6D">
      <w:pPr>
        <w:pStyle w:val="Style1"/>
      </w:pPr>
      <w:r w:rsidRPr="006D5389">
        <w:t>3.3</w:t>
      </w:r>
      <w:r w:rsidRPr="006D5389">
        <w:tab/>
        <w:t>Kontraindikace</w:t>
      </w:r>
    </w:p>
    <w:p w14:paraId="758D96B3" w14:textId="77777777" w:rsidR="00C114FF" w:rsidRPr="006D53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71DE6" w14:textId="3B34309C" w:rsidR="00C114FF" w:rsidRPr="006D5389" w:rsidRDefault="00F16CFC" w:rsidP="00A9226B">
      <w:pPr>
        <w:tabs>
          <w:tab w:val="clear" w:pos="567"/>
        </w:tabs>
        <w:spacing w:line="240" w:lineRule="auto"/>
        <w:rPr>
          <w:szCs w:val="22"/>
        </w:rPr>
      </w:pPr>
      <w:r w:rsidRPr="006D5389">
        <w:t>Nepoužívat v případě přecitlivělosti na léčivou látku</w:t>
      </w:r>
      <w:r w:rsidR="00E22611" w:rsidRPr="006D5389">
        <w:rPr>
          <w:szCs w:val="22"/>
        </w:rPr>
        <w:t xml:space="preserve"> nebo na některou z pomocných látek</w:t>
      </w:r>
      <w:r w:rsidR="00B80A44" w:rsidRPr="006D5389">
        <w:rPr>
          <w:szCs w:val="22"/>
        </w:rPr>
        <w:t>.</w:t>
      </w:r>
    </w:p>
    <w:p w14:paraId="54C2FA76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6D5389" w:rsidRDefault="00B80A44" w:rsidP="00D9790B">
      <w:pPr>
        <w:pStyle w:val="Style1"/>
        <w:keepNext/>
      </w:pPr>
      <w:r w:rsidRPr="006D5389">
        <w:lastRenderedPageBreak/>
        <w:t>3.4</w:t>
      </w:r>
      <w:r w:rsidRPr="006D5389">
        <w:tab/>
        <w:t>Zvláštní upozornění</w:t>
      </w:r>
    </w:p>
    <w:p w14:paraId="0622A062" w14:textId="77777777" w:rsidR="00C114FF" w:rsidRPr="006D5389" w:rsidRDefault="00C114FF" w:rsidP="00D9790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D798E15" w14:textId="13D76187" w:rsidR="00E86CEE" w:rsidRPr="006D5389" w:rsidRDefault="00E22611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 xml:space="preserve">Léčba analogem </w:t>
      </w:r>
      <w:bookmarkStart w:id="0" w:name="_Hlk140656205"/>
      <w:r w:rsidR="004414D1" w:rsidRPr="006D5389">
        <w:rPr>
          <w:szCs w:val="22"/>
        </w:rPr>
        <w:t xml:space="preserve">hormonu </w:t>
      </w:r>
      <w:r w:rsidRPr="006D5389">
        <w:rPr>
          <w:szCs w:val="22"/>
        </w:rPr>
        <w:t>uvolňující</w:t>
      </w:r>
      <w:r w:rsidR="004414D1">
        <w:rPr>
          <w:szCs w:val="22"/>
        </w:rPr>
        <w:t>ho</w:t>
      </w:r>
      <w:r w:rsidRPr="006D5389">
        <w:rPr>
          <w:szCs w:val="22"/>
        </w:rPr>
        <w:t xml:space="preserve"> </w:t>
      </w:r>
      <w:r w:rsidR="004414D1" w:rsidRPr="006D5389">
        <w:rPr>
          <w:szCs w:val="22"/>
        </w:rPr>
        <w:t>gonadotropin</w:t>
      </w:r>
      <w:r w:rsidR="004414D1" w:rsidRPr="006D5389" w:rsidDel="004414D1">
        <w:rPr>
          <w:szCs w:val="22"/>
        </w:rPr>
        <w:t xml:space="preserve"> </w:t>
      </w:r>
      <w:bookmarkEnd w:id="0"/>
      <w:r w:rsidRPr="006D5389">
        <w:rPr>
          <w:szCs w:val="22"/>
        </w:rPr>
        <w:t>(</w:t>
      </w:r>
      <w:proofErr w:type="spellStart"/>
      <w:r w:rsidRPr="006D5389">
        <w:rPr>
          <w:szCs w:val="22"/>
        </w:rPr>
        <w:t>GnRH</w:t>
      </w:r>
      <w:proofErr w:type="spellEnd"/>
      <w:r w:rsidRPr="006D5389">
        <w:rPr>
          <w:szCs w:val="22"/>
        </w:rPr>
        <w:t>) je pouze symptomatická, základní příčiny poruchy plodnosti nejsou touto léčbou eliminovány</w:t>
      </w:r>
      <w:r w:rsidR="00DA32CC" w:rsidRPr="006D5389">
        <w:rPr>
          <w:szCs w:val="22"/>
        </w:rPr>
        <w:t>.</w:t>
      </w:r>
    </w:p>
    <w:p w14:paraId="2E79013C" w14:textId="77777777" w:rsidR="00E22611" w:rsidRPr="006D5389" w:rsidRDefault="00E22611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6D5389" w:rsidRDefault="00B80A44" w:rsidP="00B13B6D">
      <w:pPr>
        <w:pStyle w:val="Style1"/>
      </w:pPr>
      <w:r w:rsidRPr="006D5389">
        <w:t>3.5</w:t>
      </w:r>
      <w:r w:rsidRPr="006D5389">
        <w:tab/>
        <w:t>Zvláštní opatření pro použití</w:t>
      </w:r>
    </w:p>
    <w:p w14:paraId="0B94D7B2" w14:textId="77777777" w:rsidR="00C114FF" w:rsidRPr="006D53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6D5389" w:rsidRDefault="00B80A4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D5389">
        <w:rPr>
          <w:szCs w:val="22"/>
          <w:u w:val="single"/>
        </w:rPr>
        <w:t>Zvláštní opatření pro bezpečné použití u cílových druhů zvířat:</w:t>
      </w:r>
    </w:p>
    <w:p w14:paraId="643B1E5C" w14:textId="34201185" w:rsidR="00C114FF" w:rsidRPr="006D5389" w:rsidRDefault="00B80A44" w:rsidP="00A9226B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Neuplatňuje se.</w:t>
      </w:r>
    </w:p>
    <w:p w14:paraId="117F609A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36EEF7F7" w:rsidR="00C114FF" w:rsidRPr="006D5389" w:rsidRDefault="00B80A44" w:rsidP="00D9790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D5389">
        <w:rPr>
          <w:szCs w:val="22"/>
          <w:u w:val="single"/>
        </w:rPr>
        <w:t>Zvláštní opatření pro osobu, která podává veterinární léčivý přípravek zvířatům:</w:t>
      </w:r>
    </w:p>
    <w:p w14:paraId="173E9F88" w14:textId="4E5C21F2" w:rsidR="00907A70" w:rsidRPr="006D5389" w:rsidRDefault="00907A70" w:rsidP="00907A70">
      <w:pPr>
        <w:spacing w:line="240" w:lineRule="auto"/>
        <w:jc w:val="both"/>
        <w:rPr>
          <w:szCs w:val="22"/>
        </w:rPr>
      </w:pPr>
      <w:r w:rsidRPr="006D5389">
        <w:rPr>
          <w:szCs w:val="22"/>
        </w:rPr>
        <w:t xml:space="preserve">Zabraňte kontaktu přípravku s pokožkou a očima. V případě náhodného zasažení očí je důkladně vypláchněte vodou. V případě kontaktu </w:t>
      </w:r>
      <w:r w:rsidR="003A184B">
        <w:rPr>
          <w:szCs w:val="22"/>
        </w:rPr>
        <w:t>veterinárního léčivého přípravku </w:t>
      </w:r>
      <w:r w:rsidRPr="006D5389">
        <w:rPr>
          <w:szCs w:val="22"/>
        </w:rPr>
        <w:t>s</w:t>
      </w:r>
      <w:r w:rsidR="003A184B">
        <w:rPr>
          <w:szCs w:val="22"/>
        </w:rPr>
        <w:t> </w:t>
      </w:r>
      <w:r w:rsidRPr="006D5389">
        <w:rPr>
          <w:szCs w:val="22"/>
        </w:rPr>
        <w:t xml:space="preserve">pokožkou opláchněte exponovanou část ihned mýdlem a vodou, protože analogy </w:t>
      </w:r>
      <w:proofErr w:type="spellStart"/>
      <w:r w:rsidRPr="006D5389">
        <w:rPr>
          <w:szCs w:val="22"/>
        </w:rPr>
        <w:t>GnRH</w:t>
      </w:r>
      <w:proofErr w:type="spellEnd"/>
      <w:r w:rsidRPr="006D5389">
        <w:rPr>
          <w:szCs w:val="22"/>
        </w:rPr>
        <w:t xml:space="preserve"> mohou být absorbovány kůží.</w:t>
      </w:r>
    </w:p>
    <w:p w14:paraId="45205BA9" w14:textId="55B1E076" w:rsidR="00D3691A" w:rsidRPr="006D5389" w:rsidRDefault="00907A70" w:rsidP="00A7516F">
      <w:pPr>
        <w:spacing w:line="240" w:lineRule="auto"/>
        <w:jc w:val="both"/>
        <w:rPr>
          <w:szCs w:val="22"/>
        </w:rPr>
      </w:pPr>
      <w:r w:rsidRPr="006D5389">
        <w:rPr>
          <w:szCs w:val="22"/>
        </w:rPr>
        <w:t xml:space="preserve">Při </w:t>
      </w:r>
      <w:r w:rsidR="003A184B">
        <w:rPr>
          <w:szCs w:val="22"/>
        </w:rPr>
        <w:t xml:space="preserve">podávání veterinárního léčivého </w:t>
      </w:r>
      <w:r w:rsidR="00E6527C" w:rsidRPr="006D5389">
        <w:rPr>
          <w:szCs w:val="22"/>
        </w:rPr>
        <w:t>přípravk</w:t>
      </w:r>
      <w:r w:rsidR="00E6527C">
        <w:rPr>
          <w:szCs w:val="22"/>
        </w:rPr>
        <w:t>u</w:t>
      </w:r>
      <w:r w:rsidR="00E6527C" w:rsidRPr="006D5389" w:rsidDel="00881C4B">
        <w:rPr>
          <w:szCs w:val="22"/>
        </w:rPr>
        <w:t xml:space="preserve"> </w:t>
      </w:r>
      <w:r w:rsidRPr="006D5389">
        <w:rPr>
          <w:szCs w:val="22"/>
        </w:rPr>
        <w:t xml:space="preserve">předcházejte náhodnému </w:t>
      </w:r>
      <w:proofErr w:type="spellStart"/>
      <w:r w:rsidRPr="006D5389">
        <w:rPr>
          <w:szCs w:val="22"/>
        </w:rPr>
        <w:t>samopodání</w:t>
      </w:r>
      <w:proofErr w:type="spellEnd"/>
      <w:r w:rsidRPr="006D5389">
        <w:rPr>
          <w:szCs w:val="22"/>
        </w:rPr>
        <w:t xml:space="preserve"> injekce t</w:t>
      </w:r>
      <w:r w:rsidR="003A184B">
        <w:rPr>
          <w:szCs w:val="22"/>
        </w:rPr>
        <w:t>ím</w:t>
      </w:r>
      <w:r w:rsidRPr="006D5389">
        <w:rPr>
          <w:szCs w:val="22"/>
        </w:rPr>
        <w:t xml:space="preserve">, že se přesvědčíte, že zvířata jsou řádně zafixována a jehla je chráněna </w:t>
      </w:r>
      <w:r w:rsidR="003A184B">
        <w:rPr>
          <w:szCs w:val="22"/>
        </w:rPr>
        <w:t xml:space="preserve">krytkou </w:t>
      </w:r>
      <w:r w:rsidRPr="006D5389">
        <w:rPr>
          <w:szCs w:val="22"/>
        </w:rPr>
        <w:t>až do okamžiku podání.</w:t>
      </w:r>
      <w:r w:rsidR="003A184B">
        <w:rPr>
          <w:szCs w:val="22"/>
        </w:rPr>
        <w:t xml:space="preserve"> </w:t>
      </w:r>
      <w:r w:rsidR="003B019C" w:rsidRPr="006D5389">
        <w:rPr>
          <w:szCs w:val="22"/>
        </w:rPr>
        <w:t>Vzhledem k možným účinkům na reprodukční funkci by ženy v plodném věku měly manipulovat s</w:t>
      </w:r>
      <w:r w:rsidR="003A184B">
        <w:rPr>
          <w:szCs w:val="22"/>
        </w:rPr>
        <w:t> </w:t>
      </w:r>
      <w:bookmarkStart w:id="1" w:name="_Hlk139284814"/>
      <w:r w:rsidR="003A184B">
        <w:rPr>
          <w:szCs w:val="22"/>
        </w:rPr>
        <w:t xml:space="preserve">veterinárním léčivým </w:t>
      </w:r>
      <w:bookmarkEnd w:id="1"/>
      <w:r w:rsidR="003B019C" w:rsidRPr="006D5389">
        <w:rPr>
          <w:szCs w:val="22"/>
        </w:rPr>
        <w:t>přípravkem obezřetně. Veterinární léčivý přípravek by neměly podávat těhotné ženy. V případě náhodného sebepoškození injekčně aplikovaným přípravkem vyhledejte ihned lékařskou pomoc a ukažte příbalovou informaci nebo etiketu praktickému lékaři.</w:t>
      </w:r>
    </w:p>
    <w:p w14:paraId="7D364D19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0C4D" w14:textId="17DA2645" w:rsidR="00295140" w:rsidRPr="006D5389" w:rsidRDefault="00B80A44" w:rsidP="00D9790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D5389">
        <w:rPr>
          <w:szCs w:val="22"/>
          <w:u w:val="single"/>
        </w:rPr>
        <w:t>Zvláštní opatření pro ochranu životního prostředí:</w:t>
      </w:r>
    </w:p>
    <w:p w14:paraId="2C4F1D27" w14:textId="77777777" w:rsidR="005A107A" w:rsidRPr="006D5389" w:rsidRDefault="005A107A" w:rsidP="005A107A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Neuplatňuje se.</w:t>
      </w:r>
    </w:p>
    <w:p w14:paraId="309A1DB9" w14:textId="77777777" w:rsidR="00295140" w:rsidRPr="006D5389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6D5389" w:rsidRDefault="00B80A44" w:rsidP="00B13B6D">
      <w:pPr>
        <w:pStyle w:val="Style1"/>
      </w:pPr>
      <w:r w:rsidRPr="006D5389">
        <w:t>3.6</w:t>
      </w:r>
      <w:r w:rsidRPr="006D5389">
        <w:tab/>
        <w:t>Nežádoucí účinky</w:t>
      </w:r>
    </w:p>
    <w:p w14:paraId="10F3D673" w14:textId="77777777" w:rsidR="00295140" w:rsidRPr="006D5389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56DD643" w14:textId="0927A5A2" w:rsidR="000843F2" w:rsidRPr="006D5389" w:rsidRDefault="000843F2" w:rsidP="000843F2">
      <w:pPr>
        <w:jc w:val="both"/>
        <w:rPr>
          <w:szCs w:val="22"/>
        </w:rPr>
      </w:pPr>
      <w:r w:rsidRPr="006D5389">
        <w:rPr>
          <w:szCs w:val="22"/>
        </w:rPr>
        <w:t>Nejsou</w:t>
      </w:r>
      <w:r w:rsidR="00B80C30" w:rsidRPr="006D5389">
        <w:rPr>
          <w:szCs w:val="22"/>
        </w:rPr>
        <w:t xml:space="preserve"> známy</w:t>
      </w:r>
      <w:r w:rsidRPr="006D5389">
        <w:rPr>
          <w:szCs w:val="22"/>
        </w:rPr>
        <w:t>.</w:t>
      </w:r>
    </w:p>
    <w:p w14:paraId="1D616E5A" w14:textId="77777777" w:rsidR="00295140" w:rsidRPr="006D5389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FC48E5F" w:rsidR="00247A48" w:rsidRPr="006D5389" w:rsidRDefault="00B80A44" w:rsidP="00D9790B">
      <w:pPr>
        <w:spacing w:line="240" w:lineRule="auto"/>
        <w:jc w:val="both"/>
        <w:rPr>
          <w:szCs w:val="22"/>
        </w:rPr>
      </w:pPr>
      <w:bookmarkStart w:id="2" w:name="_Hlk66891708"/>
      <w:r w:rsidRPr="006D5389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6D5389">
        <w:rPr>
          <w:szCs w:val="22"/>
        </w:rPr>
        <w:t>,</w:t>
      </w:r>
      <w:r w:rsidRPr="006D5389">
        <w:rPr>
          <w:szCs w:val="22"/>
        </w:rPr>
        <w:t xml:space="preserve"> pokud možno</w:t>
      </w:r>
      <w:r w:rsidR="005272F4" w:rsidRPr="006D5389">
        <w:rPr>
          <w:szCs w:val="22"/>
        </w:rPr>
        <w:t>,</w:t>
      </w:r>
      <w:r w:rsidRPr="006D5389">
        <w:rPr>
          <w:szCs w:val="22"/>
        </w:rPr>
        <w:t xml:space="preserve"> prostřednictvím veterinárního lékaře</w:t>
      </w:r>
      <w:r w:rsidR="00562715" w:rsidRPr="006D5389">
        <w:rPr>
          <w:szCs w:val="22"/>
        </w:rPr>
        <w:t>,</w:t>
      </w:r>
      <w:r w:rsidRPr="006D5389">
        <w:rPr>
          <w:szCs w:val="22"/>
        </w:rPr>
        <w:t xml:space="preserve"> buď držiteli rozhodnutí o registraci</w:t>
      </w:r>
      <w:r w:rsidR="00CA28D8" w:rsidRPr="006D5389">
        <w:rPr>
          <w:szCs w:val="22"/>
        </w:rPr>
        <w:t>,</w:t>
      </w:r>
      <w:r w:rsidR="00761B05" w:rsidRPr="006D5389">
        <w:rPr>
          <w:szCs w:val="22"/>
        </w:rPr>
        <w:t xml:space="preserve"> </w:t>
      </w:r>
      <w:r w:rsidRPr="006D5389">
        <w:rPr>
          <w:szCs w:val="22"/>
        </w:rPr>
        <w:t>nebo jeho místnímu zástupci, nebo příslušnému vnitrostátnímu orgánu prostřednictvím národního systému hlášení. Podrobné kontaktní údaje naleznete v příbalové informac</w:t>
      </w:r>
      <w:r w:rsidR="006D5389" w:rsidRPr="006D5389">
        <w:rPr>
          <w:szCs w:val="22"/>
        </w:rPr>
        <w:t>i</w:t>
      </w:r>
      <w:r w:rsidRPr="006D5389">
        <w:rPr>
          <w:szCs w:val="22"/>
        </w:rPr>
        <w:t>.</w:t>
      </w:r>
    </w:p>
    <w:bookmarkEnd w:id="2"/>
    <w:p w14:paraId="6871F765" w14:textId="77777777" w:rsidR="00247A48" w:rsidRPr="006D5389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6D5389" w:rsidRDefault="00B80A44" w:rsidP="00B13B6D">
      <w:pPr>
        <w:pStyle w:val="Style1"/>
      </w:pPr>
      <w:r w:rsidRPr="006D5389">
        <w:t>3.7</w:t>
      </w:r>
      <w:r w:rsidRPr="006D5389">
        <w:tab/>
        <w:t>Použití v průběhu březosti, laktace nebo snášky</w:t>
      </w:r>
    </w:p>
    <w:p w14:paraId="53C1DD44" w14:textId="36CABE31" w:rsidR="00092A37" w:rsidRPr="006D5389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0EE71A" w14:textId="77777777" w:rsidR="00F1611F" w:rsidRPr="006D5389" w:rsidRDefault="00F1611F" w:rsidP="00F1611F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  <w:u w:val="single"/>
        </w:rPr>
        <w:t>Březost a laktace</w:t>
      </w:r>
      <w:r w:rsidRPr="006D5389">
        <w:rPr>
          <w:szCs w:val="22"/>
        </w:rPr>
        <w:t>:</w:t>
      </w:r>
    </w:p>
    <w:p w14:paraId="3D9C3821" w14:textId="068F0E20" w:rsidR="00F1611F" w:rsidRPr="006D5389" w:rsidRDefault="00F1611F" w:rsidP="00F1611F">
      <w:pPr>
        <w:pStyle w:val="TextkrperFachinformation"/>
        <w:rPr>
          <w:szCs w:val="22"/>
        </w:rPr>
      </w:pPr>
      <w:r w:rsidRPr="006D5389">
        <w:rPr>
          <w:szCs w:val="22"/>
        </w:rPr>
        <w:t>Lze podávat zvířatům v jakémkoliv stádiu březosti nebo laktace.</w:t>
      </w:r>
    </w:p>
    <w:p w14:paraId="45A16993" w14:textId="50A487ED" w:rsidR="00C114FF" w:rsidRPr="006D5389" w:rsidRDefault="00C114FF" w:rsidP="00F1611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6D5389" w:rsidRDefault="00B80A44" w:rsidP="00B13B6D">
      <w:pPr>
        <w:pStyle w:val="Style1"/>
      </w:pPr>
      <w:r w:rsidRPr="006D5389">
        <w:t>3.8</w:t>
      </w:r>
      <w:r w:rsidRPr="006D5389">
        <w:tab/>
        <w:t>Interakce s jinými léčivými přípravky a další formy interakce</w:t>
      </w:r>
    </w:p>
    <w:p w14:paraId="54454937" w14:textId="77777777" w:rsidR="00C114FF" w:rsidRPr="006D53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E5DE1E" w14:textId="34661E80" w:rsidR="00C90EDA" w:rsidRPr="006D5389" w:rsidRDefault="00B80A44" w:rsidP="00C90EDA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Nejsou známy.</w:t>
      </w:r>
    </w:p>
    <w:p w14:paraId="0B86F3A7" w14:textId="77777777" w:rsidR="00C90EDA" w:rsidRPr="006D5389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7C7F48" w14:textId="52EAC217" w:rsidR="00C114FF" w:rsidRPr="006D5389" w:rsidRDefault="00B80A44" w:rsidP="00C6252A">
      <w:pPr>
        <w:pStyle w:val="Style1"/>
      </w:pPr>
      <w:r w:rsidRPr="006D5389">
        <w:t>3.9</w:t>
      </w:r>
      <w:r w:rsidRPr="006D5389">
        <w:tab/>
        <w:t>Cesty podání a dávkování</w:t>
      </w:r>
    </w:p>
    <w:p w14:paraId="2158B721" w14:textId="5EDAE7D6" w:rsidR="00247A48" w:rsidRPr="006D5389" w:rsidRDefault="00247A48" w:rsidP="00247A48">
      <w:pPr>
        <w:rPr>
          <w:szCs w:val="22"/>
        </w:rPr>
      </w:pPr>
    </w:p>
    <w:p w14:paraId="7135B2AF" w14:textId="763CCBB3" w:rsidR="00C6252A" w:rsidRPr="006D5389" w:rsidRDefault="00C6252A" w:rsidP="00247A48">
      <w:pPr>
        <w:rPr>
          <w:szCs w:val="22"/>
        </w:rPr>
      </w:pPr>
      <w:r w:rsidRPr="006D5389">
        <w:rPr>
          <w:szCs w:val="22"/>
        </w:rPr>
        <w:t xml:space="preserve">Intramuskulární </w:t>
      </w:r>
      <w:r w:rsidR="006D5389">
        <w:rPr>
          <w:szCs w:val="22"/>
        </w:rPr>
        <w:t>podání</w:t>
      </w:r>
      <w:r w:rsidR="009C45EE" w:rsidRPr="006D5389">
        <w:rPr>
          <w:szCs w:val="22"/>
        </w:rPr>
        <w:t xml:space="preserve"> </w:t>
      </w:r>
      <w:r w:rsidRPr="006D5389">
        <w:rPr>
          <w:szCs w:val="22"/>
        </w:rPr>
        <w:t xml:space="preserve">(skot, koně, králíci), intravenózní </w:t>
      </w:r>
      <w:r w:rsidR="006D5389">
        <w:rPr>
          <w:szCs w:val="22"/>
        </w:rPr>
        <w:t>podání</w:t>
      </w:r>
      <w:r w:rsidR="009C45EE" w:rsidRPr="006D5389">
        <w:rPr>
          <w:szCs w:val="22"/>
        </w:rPr>
        <w:t xml:space="preserve"> </w:t>
      </w:r>
      <w:r w:rsidRPr="006D5389">
        <w:rPr>
          <w:szCs w:val="22"/>
        </w:rPr>
        <w:t>(koně) nebo subkutánní</w:t>
      </w:r>
      <w:r w:rsidR="009C45EE" w:rsidRPr="006D5389">
        <w:rPr>
          <w:szCs w:val="22"/>
        </w:rPr>
        <w:t xml:space="preserve"> </w:t>
      </w:r>
      <w:r w:rsidR="006D5389">
        <w:rPr>
          <w:szCs w:val="22"/>
        </w:rPr>
        <w:t>podání</w:t>
      </w:r>
      <w:r w:rsidRPr="006D5389">
        <w:rPr>
          <w:szCs w:val="22"/>
        </w:rPr>
        <w:t xml:space="preserve"> (koně, králíci).</w:t>
      </w:r>
    </w:p>
    <w:p w14:paraId="4BD80061" w14:textId="77777777" w:rsidR="00DC5152" w:rsidRPr="006D5389" w:rsidRDefault="00DC5152" w:rsidP="00247A48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9"/>
        <w:gridCol w:w="1417"/>
        <w:gridCol w:w="1031"/>
      </w:tblGrid>
      <w:tr w:rsidR="00DC5152" w:rsidRPr="006D5389" w14:paraId="48471390" w14:textId="77777777" w:rsidTr="00F62E29">
        <w:trPr>
          <w:trHeight w:val="256"/>
          <w:jc w:val="center"/>
        </w:trPr>
        <w:tc>
          <w:tcPr>
            <w:tcW w:w="5569" w:type="dxa"/>
            <w:shd w:val="clear" w:color="auto" w:fill="auto"/>
          </w:tcPr>
          <w:p w14:paraId="720B0AD1" w14:textId="7777777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>Druhy zvířat / indikace</w:t>
            </w:r>
          </w:p>
        </w:tc>
        <w:tc>
          <w:tcPr>
            <w:tcW w:w="1417" w:type="dxa"/>
            <w:shd w:val="clear" w:color="auto" w:fill="auto"/>
          </w:tcPr>
          <w:p w14:paraId="2CAAF9AD" w14:textId="7777777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 xml:space="preserve">mg </w:t>
            </w:r>
            <w:proofErr w:type="spellStart"/>
            <w:r w:rsidRPr="006D5389">
              <w:rPr>
                <w:szCs w:val="22"/>
              </w:rPr>
              <w:t>buserelinu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14:paraId="36391E2A" w14:textId="155F994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 xml:space="preserve">ml </w:t>
            </w:r>
            <w:r w:rsidR="004A0A57">
              <w:rPr>
                <w:szCs w:val="22"/>
              </w:rPr>
              <w:t>B</w:t>
            </w:r>
            <w:r w:rsidRPr="006D5389">
              <w:rPr>
                <w:szCs w:val="22"/>
              </w:rPr>
              <w:t>usolu</w:t>
            </w:r>
          </w:p>
        </w:tc>
      </w:tr>
      <w:tr w:rsidR="00DC5152" w:rsidRPr="006D5389" w14:paraId="6C6A7DE1" w14:textId="77777777" w:rsidTr="00F62E29">
        <w:trPr>
          <w:trHeight w:val="376"/>
          <w:jc w:val="center"/>
        </w:trPr>
        <w:tc>
          <w:tcPr>
            <w:tcW w:w="5569" w:type="dxa"/>
            <w:shd w:val="clear" w:color="auto" w:fill="auto"/>
          </w:tcPr>
          <w:p w14:paraId="69C66123" w14:textId="77777777" w:rsidR="00DC5152" w:rsidRPr="006D5389" w:rsidRDefault="00DC5152">
            <w:pPr>
              <w:pStyle w:val="berschriftFachInfo3"/>
              <w:numPr>
                <w:ilvl w:val="0"/>
                <w:numId w:val="0"/>
              </w:numPr>
              <w:rPr>
                <w:rFonts w:cs="Times New Roman"/>
                <w:noProof w:val="0"/>
              </w:rPr>
            </w:pPr>
            <w:r w:rsidRPr="006D5389">
              <w:rPr>
                <w:rFonts w:cs="Times New Roman"/>
                <w:noProof w:val="0"/>
              </w:rPr>
              <w:t>Krávy</w:t>
            </w:r>
          </w:p>
        </w:tc>
        <w:tc>
          <w:tcPr>
            <w:tcW w:w="1417" w:type="dxa"/>
            <w:shd w:val="clear" w:color="auto" w:fill="auto"/>
          </w:tcPr>
          <w:p w14:paraId="7A897625" w14:textId="7777777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06866201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</w:p>
        </w:tc>
      </w:tr>
      <w:tr w:rsidR="00DC5152" w:rsidRPr="006D5389" w14:paraId="7E691DAB" w14:textId="77777777" w:rsidTr="00F62E29">
        <w:trPr>
          <w:trHeight w:val="512"/>
          <w:jc w:val="center"/>
        </w:trPr>
        <w:tc>
          <w:tcPr>
            <w:tcW w:w="5569" w:type="dxa"/>
            <w:shd w:val="clear" w:color="auto" w:fill="auto"/>
          </w:tcPr>
          <w:p w14:paraId="4C6BFF72" w14:textId="7777777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>Indukce ovulace u krav s dominantním folikulem</w:t>
            </w:r>
          </w:p>
        </w:tc>
        <w:tc>
          <w:tcPr>
            <w:tcW w:w="1417" w:type="dxa"/>
            <w:shd w:val="clear" w:color="auto" w:fill="auto"/>
          </w:tcPr>
          <w:p w14:paraId="6633A907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0,01</w:t>
            </w:r>
          </w:p>
        </w:tc>
        <w:tc>
          <w:tcPr>
            <w:tcW w:w="1031" w:type="dxa"/>
            <w:shd w:val="clear" w:color="auto" w:fill="auto"/>
          </w:tcPr>
          <w:p w14:paraId="66E871F8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2,5</w:t>
            </w:r>
          </w:p>
        </w:tc>
      </w:tr>
      <w:tr w:rsidR="00DC5152" w:rsidRPr="006D5389" w14:paraId="526A945C" w14:textId="77777777" w:rsidTr="00D9790B">
        <w:trPr>
          <w:trHeight w:val="1408"/>
          <w:jc w:val="center"/>
        </w:trPr>
        <w:tc>
          <w:tcPr>
            <w:tcW w:w="5569" w:type="dxa"/>
            <w:shd w:val="clear" w:color="auto" w:fill="auto"/>
          </w:tcPr>
          <w:p w14:paraId="21A41C83" w14:textId="7777777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lastRenderedPageBreak/>
              <w:t>Synchronizace říje a indukce ovulace při následujícím používání:</w:t>
            </w:r>
          </w:p>
          <w:p w14:paraId="2FE69CF1" w14:textId="0F87E70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 xml:space="preserve">podání </w:t>
            </w:r>
            <w:proofErr w:type="spellStart"/>
            <w:r w:rsidRPr="006D5389">
              <w:rPr>
                <w:szCs w:val="22"/>
              </w:rPr>
              <w:t>buserelinu</w:t>
            </w:r>
            <w:proofErr w:type="spellEnd"/>
            <w:r w:rsidRPr="006D5389">
              <w:rPr>
                <w:szCs w:val="22"/>
              </w:rPr>
              <w:t xml:space="preserve"> (den 0), následované ošetřením PGF2</w:t>
            </w:r>
            <w:r w:rsidR="006D5389">
              <w:rPr>
                <w:szCs w:val="22"/>
              </w:rPr>
              <w:t>α</w:t>
            </w:r>
            <w:r w:rsidRPr="006D5389">
              <w:rPr>
                <w:szCs w:val="22"/>
              </w:rPr>
              <w:t xml:space="preserve"> za sedm dní (den 7) a druhé podání </w:t>
            </w:r>
            <w:proofErr w:type="spellStart"/>
            <w:r w:rsidRPr="006D5389">
              <w:rPr>
                <w:szCs w:val="22"/>
              </w:rPr>
              <w:t>buserelinu</w:t>
            </w:r>
            <w:proofErr w:type="spellEnd"/>
            <w:r w:rsidRPr="006D5389">
              <w:rPr>
                <w:szCs w:val="22"/>
              </w:rPr>
              <w:t xml:space="preserve"> po devíti dnech (den 9).</w:t>
            </w:r>
          </w:p>
        </w:tc>
        <w:tc>
          <w:tcPr>
            <w:tcW w:w="1417" w:type="dxa"/>
            <w:shd w:val="clear" w:color="auto" w:fill="auto"/>
          </w:tcPr>
          <w:p w14:paraId="3D1F8ABD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0,01</w:t>
            </w:r>
          </w:p>
        </w:tc>
        <w:tc>
          <w:tcPr>
            <w:tcW w:w="1031" w:type="dxa"/>
            <w:shd w:val="clear" w:color="auto" w:fill="auto"/>
          </w:tcPr>
          <w:p w14:paraId="7E1A4F8B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2,5</w:t>
            </w:r>
          </w:p>
        </w:tc>
      </w:tr>
      <w:tr w:rsidR="00DC5152" w:rsidRPr="006D5389" w14:paraId="3DF44A32" w14:textId="77777777" w:rsidTr="00F62E29">
        <w:trPr>
          <w:trHeight w:val="256"/>
          <w:jc w:val="center"/>
        </w:trPr>
        <w:tc>
          <w:tcPr>
            <w:tcW w:w="5569" w:type="dxa"/>
            <w:shd w:val="clear" w:color="auto" w:fill="auto"/>
          </w:tcPr>
          <w:p w14:paraId="5DCA79D7" w14:textId="7777777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>Léčba ovariálních folikulárních cyst</w:t>
            </w:r>
            <w:r w:rsidRPr="006D5389">
              <w:rPr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3BB126F1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0,02</w:t>
            </w:r>
          </w:p>
        </w:tc>
        <w:tc>
          <w:tcPr>
            <w:tcW w:w="1031" w:type="dxa"/>
            <w:shd w:val="clear" w:color="auto" w:fill="auto"/>
          </w:tcPr>
          <w:p w14:paraId="162FAC5E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5,0</w:t>
            </w:r>
          </w:p>
        </w:tc>
      </w:tr>
      <w:tr w:rsidR="00DC5152" w:rsidRPr="006D5389" w14:paraId="1517D7D6" w14:textId="77777777" w:rsidTr="00F62E29">
        <w:trPr>
          <w:trHeight w:val="376"/>
          <w:jc w:val="center"/>
        </w:trPr>
        <w:tc>
          <w:tcPr>
            <w:tcW w:w="5569" w:type="dxa"/>
            <w:shd w:val="clear" w:color="auto" w:fill="auto"/>
          </w:tcPr>
          <w:p w14:paraId="5FCF34E8" w14:textId="77777777" w:rsidR="00DC5152" w:rsidRPr="006D5389" w:rsidRDefault="00DC5152" w:rsidP="00465AFF">
            <w:pPr>
              <w:pStyle w:val="berschriftFachInfo3"/>
              <w:numPr>
                <w:ilvl w:val="0"/>
                <w:numId w:val="0"/>
              </w:numPr>
              <w:rPr>
                <w:rFonts w:cs="Times New Roman"/>
                <w:noProof w:val="0"/>
              </w:rPr>
            </w:pPr>
            <w:r w:rsidRPr="006D5389">
              <w:rPr>
                <w:rFonts w:cs="Times New Roman"/>
                <w:noProof w:val="0"/>
              </w:rPr>
              <w:t>Klisny</w:t>
            </w:r>
          </w:p>
        </w:tc>
        <w:tc>
          <w:tcPr>
            <w:tcW w:w="1417" w:type="dxa"/>
            <w:shd w:val="clear" w:color="auto" w:fill="auto"/>
          </w:tcPr>
          <w:p w14:paraId="2B2D92D5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0E66B419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</w:p>
        </w:tc>
      </w:tr>
      <w:tr w:rsidR="00DC5152" w:rsidRPr="006D5389" w14:paraId="622C4FB7" w14:textId="77777777" w:rsidTr="004404D1">
        <w:trPr>
          <w:trHeight w:val="768"/>
          <w:jc w:val="center"/>
        </w:trPr>
        <w:tc>
          <w:tcPr>
            <w:tcW w:w="5569" w:type="dxa"/>
            <w:shd w:val="clear" w:color="auto" w:fill="auto"/>
          </w:tcPr>
          <w:p w14:paraId="4EBFDB6C" w14:textId="5A360BB4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 xml:space="preserve">Indukce ovulace u klisen v říji při </w:t>
            </w:r>
            <w:r w:rsidR="00730C61">
              <w:rPr>
                <w:szCs w:val="22"/>
              </w:rPr>
              <w:t xml:space="preserve">opakovaném </w:t>
            </w:r>
            <w:r w:rsidRPr="006D5389">
              <w:rPr>
                <w:szCs w:val="22"/>
              </w:rPr>
              <w:t>podání ve 12hodinových intervalech</w:t>
            </w:r>
          </w:p>
        </w:tc>
        <w:tc>
          <w:tcPr>
            <w:tcW w:w="1417" w:type="dxa"/>
            <w:shd w:val="clear" w:color="auto" w:fill="auto"/>
          </w:tcPr>
          <w:p w14:paraId="31519E4B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0,02 – 0,04</w:t>
            </w:r>
          </w:p>
        </w:tc>
        <w:tc>
          <w:tcPr>
            <w:tcW w:w="1031" w:type="dxa"/>
            <w:shd w:val="clear" w:color="auto" w:fill="auto"/>
          </w:tcPr>
          <w:p w14:paraId="233277D8" w14:textId="4AC9AA8F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proofErr w:type="gramStart"/>
            <w:r w:rsidRPr="006D5389">
              <w:rPr>
                <w:szCs w:val="22"/>
              </w:rPr>
              <w:t>5 – 10</w:t>
            </w:r>
            <w:proofErr w:type="gramEnd"/>
          </w:p>
        </w:tc>
      </w:tr>
      <w:tr w:rsidR="00DC5152" w:rsidRPr="006D5389" w14:paraId="55F39EEC" w14:textId="77777777" w:rsidTr="004404D1">
        <w:trPr>
          <w:trHeight w:val="783"/>
          <w:jc w:val="center"/>
        </w:trPr>
        <w:tc>
          <w:tcPr>
            <w:tcW w:w="5569" w:type="dxa"/>
            <w:shd w:val="clear" w:color="auto" w:fill="auto"/>
          </w:tcPr>
          <w:p w14:paraId="58FB0CCD" w14:textId="7777777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>Zvýšení pravděpodobnosti zabřeznutí při podání v rozmezí 8 až 12 dnů po přirozeném páření / inseminaci</w:t>
            </w:r>
          </w:p>
        </w:tc>
        <w:tc>
          <w:tcPr>
            <w:tcW w:w="1417" w:type="dxa"/>
            <w:shd w:val="clear" w:color="auto" w:fill="auto"/>
          </w:tcPr>
          <w:p w14:paraId="3226EED6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0,02 – 0,04</w:t>
            </w:r>
          </w:p>
        </w:tc>
        <w:tc>
          <w:tcPr>
            <w:tcW w:w="1031" w:type="dxa"/>
            <w:shd w:val="clear" w:color="auto" w:fill="auto"/>
          </w:tcPr>
          <w:p w14:paraId="1AA563D5" w14:textId="35A1146E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proofErr w:type="gramStart"/>
            <w:r w:rsidRPr="006D5389">
              <w:rPr>
                <w:szCs w:val="22"/>
              </w:rPr>
              <w:t>5 – 10</w:t>
            </w:r>
            <w:proofErr w:type="gramEnd"/>
          </w:p>
        </w:tc>
      </w:tr>
      <w:tr w:rsidR="00DC5152" w:rsidRPr="006D5389" w14:paraId="20684EE2" w14:textId="77777777" w:rsidTr="00F62E29">
        <w:trPr>
          <w:trHeight w:val="361"/>
          <w:jc w:val="center"/>
        </w:trPr>
        <w:tc>
          <w:tcPr>
            <w:tcW w:w="5569" w:type="dxa"/>
            <w:shd w:val="clear" w:color="auto" w:fill="auto"/>
          </w:tcPr>
          <w:p w14:paraId="7E249494" w14:textId="666BD2D4" w:rsidR="00DC5152" w:rsidRPr="006D5389" w:rsidRDefault="00B80C30" w:rsidP="00465AFF">
            <w:pPr>
              <w:pStyle w:val="berschriftFachInfo3"/>
              <w:numPr>
                <w:ilvl w:val="0"/>
                <w:numId w:val="0"/>
              </w:numPr>
              <w:rPr>
                <w:rFonts w:cs="Times New Roman"/>
                <w:noProof w:val="0"/>
              </w:rPr>
            </w:pPr>
            <w:r w:rsidRPr="006D5389">
              <w:rPr>
                <w:rFonts w:cs="Times New Roman"/>
                <w:b w:val="0"/>
                <w:bCs w:val="0"/>
                <w:noProof w:val="0"/>
              </w:rPr>
              <w:t>S</w:t>
            </w:r>
            <w:r w:rsidRPr="006D5389">
              <w:rPr>
                <w:rFonts w:cs="Times New Roman"/>
                <w:noProof w:val="0"/>
              </w:rPr>
              <w:t>amice králíků</w:t>
            </w:r>
            <w:r w:rsidRPr="006D5389">
              <w:rPr>
                <w:rFonts w:cs="Times New Roman"/>
                <w:b w:val="0"/>
                <w:bCs w:val="0"/>
                <w:noProof w:val="0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14:paraId="5C64F198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27952990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</w:p>
        </w:tc>
      </w:tr>
      <w:tr w:rsidR="00DC5152" w:rsidRPr="006D5389" w14:paraId="3584EE82" w14:textId="77777777" w:rsidTr="00D9790B">
        <w:trPr>
          <w:trHeight w:val="323"/>
          <w:jc w:val="center"/>
        </w:trPr>
        <w:tc>
          <w:tcPr>
            <w:tcW w:w="5569" w:type="dxa"/>
            <w:shd w:val="clear" w:color="auto" w:fill="auto"/>
          </w:tcPr>
          <w:p w14:paraId="5CA6F836" w14:textId="7777777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 xml:space="preserve">Indukce ovulace při inseminaci post </w:t>
            </w:r>
            <w:proofErr w:type="spellStart"/>
            <w:r w:rsidRPr="006D5389">
              <w:rPr>
                <w:szCs w:val="22"/>
              </w:rPr>
              <w:t>partum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8D0DBB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0,0008</w:t>
            </w:r>
          </w:p>
        </w:tc>
        <w:tc>
          <w:tcPr>
            <w:tcW w:w="1031" w:type="dxa"/>
            <w:shd w:val="clear" w:color="auto" w:fill="auto"/>
          </w:tcPr>
          <w:p w14:paraId="1A5477CF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0,2</w:t>
            </w:r>
          </w:p>
        </w:tc>
      </w:tr>
      <w:tr w:rsidR="00DC5152" w:rsidRPr="006D5389" w14:paraId="0AAFCD8E" w14:textId="77777777" w:rsidTr="00F62E29">
        <w:trPr>
          <w:trHeight w:val="256"/>
          <w:jc w:val="center"/>
        </w:trPr>
        <w:tc>
          <w:tcPr>
            <w:tcW w:w="5569" w:type="dxa"/>
            <w:shd w:val="clear" w:color="auto" w:fill="auto"/>
          </w:tcPr>
          <w:p w14:paraId="47BEAE71" w14:textId="77777777" w:rsidR="00DC5152" w:rsidRPr="006D5389" w:rsidRDefault="00DC5152" w:rsidP="00F62E29">
            <w:pPr>
              <w:pStyle w:val="TextkrperFachinformation"/>
              <w:rPr>
                <w:szCs w:val="22"/>
              </w:rPr>
            </w:pPr>
            <w:r w:rsidRPr="006D5389">
              <w:rPr>
                <w:szCs w:val="22"/>
              </w:rPr>
              <w:t xml:space="preserve">Zvýšení pravděpodobnosti zabřeznutí </w:t>
            </w:r>
          </w:p>
        </w:tc>
        <w:tc>
          <w:tcPr>
            <w:tcW w:w="1417" w:type="dxa"/>
            <w:shd w:val="clear" w:color="auto" w:fill="auto"/>
          </w:tcPr>
          <w:p w14:paraId="79370E3F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0,0008</w:t>
            </w:r>
          </w:p>
        </w:tc>
        <w:tc>
          <w:tcPr>
            <w:tcW w:w="1031" w:type="dxa"/>
            <w:shd w:val="clear" w:color="auto" w:fill="auto"/>
          </w:tcPr>
          <w:p w14:paraId="502A87FD" w14:textId="77777777" w:rsidR="00DC5152" w:rsidRPr="006D5389" w:rsidRDefault="00DC5152" w:rsidP="00F62E29">
            <w:pPr>
              <w:pStyle w:val="TextkrperFachinformation"/>
              <w:jc w:val="right"/>
              <w:rPr>
                <w:szCs w:val="22"/>
              </w:rPr>
            </w:pPr>
            <w:r w:rsidRPr="006D5389">
              <w:rPr>
                <w:szCs w:val="22"/>
              </w:rPr>
              <w:t>0,2</w:t>
            </w:r>
          </w:p>
        </w:tc>
      </w:tr>
    </w:tbl>
    <w:p w14:paraId="48494A10" w14:textId="23BBF4FF" w:rsidR="00247A48" w:rsidRPr="006D5389" w:rsidRDefault="00247A48" w:rsidP="00247A48">
      <w:pPr>
        <w:rPr>
          <w:szCs w:val="22"/>
        </w:rPr>
      </w:pPr>
    </w:p>
    <w:p w14:paraId="0A85AF50" w14:textId="198BF553" w:rsidR="00C114FF" w:rsidRPr="006D5389" w:rsidRDefault="00B80A44" w:rsidP="00B13B6D">
      <w:pPr>
        <w:pStyle w:val="Style1"/>
      </w:pPr>
      <w:r w:rsidRPr="006D5389">
        <w:t>3.10</w:t>
      </w:r>
      <w:r w:rsidRPr="006D5389">
        <w:tab/>
        <w:t xml:space="preserve">Příznaky předávkování </w:t>
      </w:r>
      <w:r w:rsidR="00EC5045" w:rsidRPr="006D5389">
        <w:t>(</w:t>
      </w:r>
      <w:r w:rsidRPr="006D5389">
        <w:t xml:space="preserve">a </w:t>
      </w:r>
      <w:r w:rsidR="00202A85" w:rsidRPr="006D5389">
        <w:t>kde</w:t>
      </w:r>
      <w:r w:rsidR="005E66FC" w:rsidRPr="006D5389">
        <w:t xml:space="preserve"> </w:t>
      </w:r>
      <w:r w:rsidR="00202A85" w:rsidRPr="006D5389">
        <w:t>je</w:t>
      </w:r>
      <w:r w:rsidR="005E66FC" w:rsidRPr="006D5389">
        <w:t xml:space="preserve"> </w:t>
      </w:r>
      <w:r w:rsidR="00FB6F2F" w:rsidRPr="006D5389">
        <w:t>relevantní</w:t>
      </w:r>
      <w:r w:rsidR="00202A85" w:rsidRPr="006D5389">
        <w:t>, první pomoc</w:t>
      </w:r>
      <w:r w:rsidRPr="006D5389">
        <w:t xml:space="preserve"> a antidota</w:t>
      </w:r>
      <w:r w:rsidR="00202A85" w:rsidRPr="006D5389">
        <w:t>)</w:t>
      </w:r>
      <w:r w:rsidRPr="006D5389">
        <w:t xml:space="preserve"> </w:t>
      </w:r>
    </w:p>
    <w:p w14:paraId="45A34650" w14:textId="66420100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2D545D" w14:textId="41D768D1" w:rsidR="00C6252A" w:rsidRPr="006D5389" w:rsidRDefault="004301BB" w:rsidP="00A9226B">
      <w:pPr>
        <w:tabs>
          <w:tab w:val="clear" w:pos="567"/>
        </w:tabs>
        <w:spacing w:line="240" w:lineRule="auto"/>
        <w:rPr>
          <w:szCs w:val="22"/>
        </w:rPr>
      </w:pPr>
      <w:r w:rsidRPr="004301BB">
        <w:rPr>
          <w:szCs w:val="22"/>
        </w:rPr>
        <w:t>Nejsou známy žádné specifické reakce na předávkování.</w:t>
      </w:r>
    </w:p>
    <w:p w14:paraId="25E30830" w14:textId="77777777" w:rsidR="0097492F" w:rsidRDefault="0097492F" w:rsidP="00FB6AC8">
      <w:pPr>
        <w:pStyle w:val="Style1"/>
      </w:pPr>
    </w:p>
    <w:p w14:paraId="1625AC86" w14:textId="72A10252" w:rsidR="009A6509" w:rsidRPr="006D5389" w:rsidRDefault="00B80A44" w:rsidP="00FB6AC8">
      <w:pPr>
        <w:pStyle w:val="Style1"/>
      </w:pPr>
      <w:r w:rsidRPr="006D5389">
        <w:t>3.11</w:t>
      </w:r>
      <w:r w:rsidRPr="006D5389">
        <w:tab/>
        <w:t>Zvláštní omezení pro použití a zvláštní podmínky pro použití, včetně omezení používání antimikrob</w:t>
      </w:r>
      <w:r w:rsidR="00202A85" w:rsidRPr="006D5389">
        <w:t>ních</w:t>
      </w:r>
      <w:r w:rsidRPr="006D5389">
        <w:t xml:space="preserve"> a antiparazitárních veterinárních léčivých přípravků, za účelem snížení rizika rozvoje rezistence</w:t>
      </w:r>
      <w:bookmarkStart w:id="3" w:name="_Hlk82067277"/>
    </w:p>
    <w:bookmarkEnd w:id="3"/>
    <w:p w14:paraId="3E58438E" w14:textId="77777777" w:rsidR="009A6509" w:rsidRPr="006D5389" w:rsidRDefault="009A6509" w:rsidP="009A6509">
      <w:pPr>
        <w:rPr>
          <w:szCs w:val="22"/>
        </w:rPr>
      </w:pPr>
    </w:p>
    <w:p w14:paraId="5B24853D" w14:textId="1B8CEFCE" w:rsidR="009A6509" w:rsidRPr="006D5389" w:rsidRDefault="00B80A44" w:rsidP="009A6509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Neuplatňuje se.</w:t>
      </w:r>
    </w:p>
    <w:p w14:paraId="23184928" w14:textId="77777777" w:rsidR="009A6509" w:rsidRPr="006D5389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6D5389" w:rsidRDefault="00B80A44" w:rsidP="00B13B6D">
      <w:pPr>
        <w:pStyle w:val="Style1"/>
      </w:pPr>
      <w:r w:rsidRPr="006D5389">
        <w:t>3.12</w:t>
      </w:r>
      <w:r w:rsidRPr="006D5389">
        <w:tab/>
        <w:t>Ochranné lhůty</w:t>
      </w:r>
    </w:p>
    <w:p w14:paraId="35946CB6" w14:textId="5638B0CD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55C55F" w14:textId="77777777" w:rsidR="00527C45" w:rsidRPr="006D5389" w:rsidRDefault="00527C45" w:rsidP="00527C45">
      <w:pPr>
        <w:jc w:val="both"/>
        <w:rPr>
          <w:szCs w:val="22"/>
        </w:rPr>
      </w:pPr>
      <w:r w:rsidRPr="006D5389">
        <w:rPr>
          <w:szCs w:val="22"/>
        </w:rPr>
        <w:t>Skot, koně, králíci</w:t>
      </w:r>
    </w:p>
    <w:p w14:paraId="4B81AED8" w14:textId="1F269F0E" w:rsidR="00527C45" w:rsidRPr="006D5389" w:rsidRDefault="00527C45" w:rsidP="00527C45">
      <w:pPr>
        <w:jc w:val="both"/>
        <w:rPr>
          <w:szCs w:val="22"/>
        </w:rPr>
      </w:pPr>
      <w:proofErr w:type="gramStart"/>
      <w:r w:rsidRPr="006D5389">
        <w:rPr>
          <w:szCs w:val="22"/>
        </w:rPr>
        <w:t xml:space="preserve">Maso:   </w:t>
      </w:r>
      <w:proofErr w:type="gramEnd"/>
      <w:r w:rsidRPr="006D5389">
        <w:rPr>
          <w:szCs w:val="22"/>
        </w:rPr>
        <w:t xml:space="preserve">             </w:t>
      </w:r>
      <w:r w:rsidRPr="006D5389">
        <w:rPr>
          <w:szCs w:val="22"/>
        </w:rPr>
        <w:tab/>
      </w:r>
      <w:r w:rsidRPr="006D5389">
        <w:rPr>
          <w:szCs w:val="22"/>
        </w:rPr>
        <w:tab/>
      </w:r>
      <w:r w:rsidR="00B80C30" w:rsidRPr="006D5389">
        <w:rPr>
          <w:szCs w:val="22"/>
        </w:rPr>
        <w:tab/>
      </w:r>
      <w:r w:rsidRPr="006D5389">
        <w:rPr>
          <w:szCs w:val="22"/>
        </w:rPr>
        <w:t>Bez ochranných lhůt.</w:t>
      </w:r>
    </w:p>
    <w:p w14:paraId="491D6C6F" w14:textId="77777777" w:rsidR="00527C45" w:rsidRPr="006D5389" w:rsidRDefault="00527C45" w:rsidP="00527C45">
      <w:pPr>
        <w:jc w:val="both"/>
        <w:rPr>
          <w:szCs w:val="22"/>
        </w:rPr>
      </w:pPr>
    </w:p>
    <w:p w14:paraId="08D5C19C" w14:textId="77777777" w:rsidR="00527C45" w:rsidRPr="006D5389" w:rsidRDefault="00527C45" w:rsidP="00527C45">
      <w:pPr>
        <w:jc w:val="both"/>
        <w:rPr>
          <w:szCs w:val="22"/>
        </w:rPr>
      </w:pPr>
      <w:r w:rsidRPr="006D5389">
        <w:rPr>
          <w:szCs w:val="22"/>
        </w:rPr>
        <w:t>Skot, koně</w:t>
      </w:r>
    </w:p>
    <w:p w14:paraId="0B7124A3" w14:textId="77777777" w:rsidR="00527C45" w:rsidRPr="006D5389" w:rsidRDefault="00527C45" w:rsidP="00527C45">
      <w:pPr>
        <w:jc w:val="both"/>
        <w:rPr>
          <w:szCs w:val="22"/>
        </w:rPr>
      </w:pPr>
      <w:r w:rsidRPr="006D5389">
        <w:rPr>
          <w:szCs w:val="22"/>
        </w:rPr>
        <w:t>Mléko:</w:t>
      </w:r>
      <w:r w:rsidRPr="006D5389">
        <w:rPr>
          <w:szCs w:val="22"/>
        </w:rPr>
        <w:tab/>
      </w:r>
      <w:r w:rsidRPr="006D5389">
        <w:rPr>
          <w:szCs w:val="22"/>
        </w:rPr>
        <w:tab/>
      </w:r>
      <w:r w:rsidRPr="006D5389">
        <w:rPr>
          <w:szCs w:val="22"/>
        </w:rPr>
        <w:tab/>
      </w:r>
      <w:r w:rsidRPr="006D5389">
        <w:rPr>
          <w:szCs w:val="22"/>
        </w:rPr>
        <w:tab/>
        <w:t>Bez ochranných lhůt.</w:t>
      </w:r>
    </w:p>
    <w:p w14:paraId="57E38442" w14:textId="77777777" w:rsidR="00527C45" w:rsidRPr="006D5389" w:rsidRDefault="00527C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6D5389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EE19BD2" w:rsidR="00C114FF" w:rsidRPr="006D5389" w:rsidRDefault="00B80A44" w:rsidP="00B13B6D">
      <w:pPr>
        <w:pStyle w:val="Style1"/>
      </w:pPr>
      <w:r w:rsidRPr="006D5389">
        <w:t>4.</w:t>
      </w:r>
      <w:r w:rsidRPr="006D5389">
        <w:tab/>
        <w:t>FARMAKOLOGICKÉ INFORMACE</w:t>
      </w:r>
    </w:p>
    <w:p w14:paraId="2C2A4C50" w14:textId="77777777" w:rsidR="00C114FF" w:rsidRPr="006D53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3698C7" w14:textId="1A84D12E" w:rsidR="00B27DB3" w:rsidRPr="006D5389" w:rsidRDefault="00B80A44" w:rsidP="00D9790B">
      <w:pPr>
        <w:pStyle w:val="Style1"/>
      </w:pPr>
      <w:r w:rsidRPr="006D5389">
        <w:t>4.1</w:t>
      </w:r>
      <w:r w:rsidRPr="006D5389">
        <w:tab/>
      </w:r>
      <w:proofErr w:type="spellStart"/>
      <w:r w:rsidRPr="006D5389">
        <w:t>ATCvet</w:t>
      </w:r>
      <w:proofErr w:type="spellEnd"/>
      <w:r w:rsidRPr="006D5389">
        <w:t xml:space="preserve"> kód:</w:t>
      </w:r>
      <w:r w:rsidR="0097492F">
        <w:t xml:space="preserve"> </w:t>
      </w:r>
      <w:r w:rsidR="00B27DB3" w:rsidRPr="00D9790B">
        <w:rPr>
          <w:b w:val="0"/>
        </w:rPr>
        <w:t>QH01CA90</w:t>
      </w:r>
    </w:p>
    <w:p w14:paraId="5C965196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10CC562E" w:rsidR="00C114FF" w:rsidRPr="006D5389" w:rsidRDefault="00B80A44" w:rsidP="00B13B6D">
      <w:pPr>
        <w:pStyle w:val="Style1"/>
      </w:pPr>
      <w:r w:rsidRPr="006D5389">
        <w:t>4.2</w:t>
      </w:r>
      <w:r w:rsidRPr="006D5389">
        <w:tab/>
        <w:t>Farmakodynamika</w:t>
      </w:r>
    </w:p>
    <w:p w14:paraId="480CB4CE" w14:textId="77777777" w:rsidR="0097492F" w:rsidRDefault="0097492F" w:rsidP="00B27DB3">
      <w:pPr>
        <w:pStyle w:val="TextkrperFachinformation"/>
        <w:rPr>
          <w:szCs w:val="22"/>
        </w:rPr>
      </w:pPr>
    </w:p>
    <w:p w14:paraId="3E8D8DB4" w14:textId="3EF13F0D" w:rsidR="00B27DB3" w:rsidRPr="006D5389" w:rsidRDefault="00B27DB3" w:rsidP="00B27DB3">
      <w:pPr>
        <w:pStyle w:val="TextkrperFachinformation"/>
        <w:rPr>
          <w:szCs w:val="22"/>
        </w:rPr>
      </w:pPr>
      <w:proofErr w:type="spellStart"/>
      <w:r w:rsidRPr="006D5389">
        <w:rPr>
          <w:szCs w:val="22"/>
        </w:rPr>
        <w:t>Buserelin</w:t>
      </w:r>
      <w:proofErr w:type="spellEnd"/>
      <w:r w:rsidRPr="006D5389">
        <w:rPr>
          <w:szCs w:val="22"/>
        </w:rPr>
        <w:t xml:space="preserve"> je peptidový hormon, který je analogický uvolňujícímu hormonu (RH) luteinizačního hormonu (LH) a folikuly stimulujícího hormonu (FH), a tedy analog gonadotropiny uvolňujícího hormonu (</w:t>
      </w:r>
      <w:proofErr w:type="spellStart"/>
      <w:r w:rsidRPr="006D5389">
        <w:rPr>
          <w:szCs w:val="22"/>
        </w:rPr>
        <w:t>GnRH</w:t>
      </w:r>
      <w:proofErr w:type="spellEnd"/>
      <w:r w:rsidRPr="006D5389">
        <w:rPr>
          <w:szCs w:val="22"/>
        </w:rPr>
        <w:t>).</w:t>
      </w:r>
    </w:p>
    <w:p w14:paraId="57820243" w14:textId="77777777" w:rsidR="00B27DB3" w:rsidRPr="006D5389" w:rsidRDefault="00B27DB3" w:rsidP="00B27DB3">
      <w:pPr>
        <w:pStyle w:val="TextkrperFachinformation"/>
        <w:rPr>
          <w:szCs w:val="22"/>
        </w:rPr>
      </w:pPr>
      <w:r w:rsidRPr="006D5389">
        <w:rPr>
          <w:szCs w:val="22"/>
        </w:rPr>
        <w:t xml:space="preserve">Způsob působení </w:t>
      </w:r>
      <w:proofErr w:type="spellStart"/>
      <w:r w:rsidRPr="006D5389">
        <w:rPr>
          <w:szCs w:val="22"/>
        </w:rPr>
        <w:t>buserelinu</w:t>
      </w:r>
      <w:proofErr w:type="spellEnd"/>
      <w:r w:rsidRPr="006D5389">
        <w:rPr>
          <w:szCs w:val="22"/>
        </w:rPr>
        <w:t xml:space="preserve"> odpovídá fyziologicko-endokrinologickému působení přirozeně se vyskytujícího gonadotropiny uvolňujícímu hormonu.</w:t>
      </w:r>
    </w:p>
    <w:p w14:paraId="319DB64F" w14:textId="77777777" w:rsidR="00B27DB3" w:rsidRPr="006D5389" w:rsidRDefault="00B27DB3" w:rsidP="00B27DB3">
      <w:pPr>
        <w:pStyle w:val="TextkrperFachinformation"/>
        <w:rPr>
          <w:szCs w:val="22"/>
        </w:rPr>
      </w:pPr>
      <w:proofErr w:type="spellStart"/>
      <w:r w:rsidRPr="006D5389">
        <w:rPr>
          <w:szCs w:val="22"/>
        </w:rPr>
        <w:t>GnRH</w:t>
      </w:r>
      <w:proofErr w:type="spellEnd"/>
      <w:r w:rsidRPr="006D5389">
        <w:rPr>
          <w:szCs w:val="22"/>
        </w:rPr>
        <w:t xml:space="preserve"> opouští hypotalamus přes hypofyzární portální cévy a vstupuje do předního laloku hypofýzy. Zde indukuje sekreci dvou gonadotropinů FSH a LH do periferního krevního oběhu. Ty pak působí fyziologicky a způsobují zrání ovariálních folikulů, ovulaci a </w:t>
      </w:r>
      <w:proofErr w:type="spellStart"/>
      <w:r w:rsidRPr="006D5389">
        <w:rPr>
          <w:szCs w:val="22"/>
        </w:rPr>
        <w:t>luteinizaci</w:t>
      </w:r>
      <w:proofErr w:type="spellEnd"/>
      <w:r w:rsidRPr="006D5389">
        <w:rPr>
          <w:szCs w:val="22"/>
        </w:rPr>
        <w:t xml:space="preserve"> v ovariu.</w:t>
      </w:r>
    </w:p>
    <w:p w14:paraId="50FA42E3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9B6406C" w:rsidR="00C114FF" w:rsidRPr="006D5389" w:rsidRDefault="00B80A44" w:rsidP="00D9790B">
      <w:pPr>
        <w:pStyle w:val="Style1"/>
        <w:keepNext/>
      </w:pPr>
      <w:r w:rsidRPr="006D5389">
        <w:lastRenderedPageBreak/>
        <w:t>4.3</w:t>
      </w:r>
      <w:r w:rsidRPr="006D5389">
        <w:tab/>
        <w:t>Farmakokinetika</w:t>
      </w:r>
    </w:p>
    <w:p w14:paraId="588F223F" w14:textId="77777777" w:rsidR="00B27DB3" w:rsidRPr="006D5389" w:rsidRDefault="00B27DB3" w:rsidP="00D9790B">
      <w:pPr>
        <w:keepNext/>
        <w:jc w:val="both"/>
        <w:rPr>
          <w:szCs w:val="22"/>
        </w:rPr>
      </w:pPr>
    </w:p>
    <w:p w14:paraId="1A57F0B9" w14:textId="2FB1F19F" w:rsidR="00B27DB3" w:rsidRPr="006D5389" w:rsidRDefault="00B27DB3" w:rsidP="00B27DB3">
      <w:pPr>
        <w:jc w:val="both"/>
        <w:rPr>
          <w:szCs w:val="22"/>
        </w:rPr>
      </w:pPr>
      <w:proofErr w:type="spellStart"/>
      <w:r w:rsidRPr="006D5389">
        <w:rPr>
          <w:szCs w:val="22"/>
        </w:rPr>
        <w:t>Buserelin</w:t>
      </w:r>
      <w:proofErr w:type="spellEnd"/>
      <w:r w:rsidRPr="006D5389">
        <w:rPr>
          <w:szCs w:val="22"/>
        </w:rPr>
        <w:t xml:space="preserve"> je rychle eliminován z plazmy po intravenózním podání, jeho počáteční poločas je 3 - 4,5 minut u potkanů a 12 minut u morčat. Hromadí se v játrech, ledvinách a v hypofýze, vysoké koncentrace jsou nacházeny v hypofyzární tkáni asi za 60 minut. Inaktivaci </w:t>
      </w:r>
      <w:proofErr w:type="spellStart"/>
      <w:r w:rsidRPr="006D5389">
        <w:rPr>
          <w:szCs w:val="22"/>
        </w:rPr>
        <w:t>buserelinu</w:t>
      </w:r>
      <w:proofErr w:type="spellEnd"/>
      <w:r w:rsidRPr="006D5389">
        <w:rPr>
          <w:szCs w:val="22"/>
        </w:rPr>
        <w:t xml:space="preserve"> enzymatickým rozkladem (</w:t>
      </w:r>
      <w:proofErr w:type="spellStart"/>
      <w:r w:rsidRPr="006D5389">
        <w:rPr>
          <w:szCs w:val="22"/>
        </w:rPr>
        <w:t>peptidázou</w:t>
      </w:r>
      <w:proofErr w:type="spellEnd"/>
      <w:r w:rsidRPr="006D5389">
        <w:rPr>
          <w:szCs w:val="22"/>
        </w:rPr>
        <w:t>) lze prokázat v hypotalamu, v hypofýze, v játrech a v ledvinách.</w:t>
      </w:r>
    </w:p>
    <w:p w14:paraId="0A06DF6E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6D5389" w:rsidRDefault="00B80A44" w:rsidP="00B13B6D">
      <w:pPr>
        <w:pStyle w:val="Style1"/>
      </w:pPr>
      <w:r w:rsidRPr="006D5389">
        <w:t>5.</w:t>
      </w:r>
      <w:r w:rsidRPr="006D5389">
        <w:tab/>
        <w:t>FARMACEUTICKÉ ÚDAJE</w:t>
      </w:r>
    </w:p>
    <w:p w14:paraId="7BC53755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6D5389" w:rsidRDefault="00B80A44" w:rsidP="00B13B6D">
      <w:pPr>
        <w:pStyle w:val="Style1"/>
      </w:pPr>
      <w:r w:rsidRPr="006D5389">
        <w:t>5.1</w:t>
      </w:r>
      <w:r w:rsidRPr="006D5389">
        <w:tab/>
        <w:t>Hlavní inkompatibility</w:t>
      </w:r>
    </w:p>
    <w:p w14:paraId="15C29130" w14:textId="77777777" w:rsidR="00C114FF" w:rsidRPr="006D53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7F521080" w:rsidR="00C114FF" w:rsidRPr="006D5389" w:rsidRDefault="00B80A44" w:rsidP="00D979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D5389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288F0D5C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6D5389" w:rsidRDefault="00B80A44" w:rsidP="00B13B6D">
      <w:pPr>
        <w:pStyle w:val="Style1"/>
      </w:pPr>
      <w:r w:rsidRPr="006D5389">
        <w:t>5.2</w:t>
      </w:r>
      <w:r w:rsidRPr="006D5389">
        <w:tab/>
        <w:t>Doba použitelnosti</w:t>
      </w:r>
    </w:p>
    <w:p w14:paraId="77216101" w14:textId="77777777" w:rsidR="003306A2" w:rsidRPr="006D5389" w:rsidRDefault="003306A2" w:rsidP="003306A2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1A4D74E0" w14:textId="2DCEF1DC" w:rsidR="003306A2" w:rsidRPr="006D5389" w:rsidRDefault="003306A2" w:rsidP="003306A2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6D5389">
        <w:rPr>
          <w:szCs w:val="22"/>
        </w:rPr>
        <w:t>Doba použitelnosti veterinárního léčivého přípravku v neporušeném obalu:</w:t>
      </w:r>
      <w:r w:rsidRPr="006D5389">
        <w:rPr>
          <w:szCs w:val="22"/>
        </w:rPr>
        <w:tab/>
        <w:t>2 roky.</w:t>
      </w:r>
    </w:p>
    <w:p w14:paraId="2889748B" w14:textId="74599E49" w:rsidR="003306A2" w:rsidRPr="006D5389" w:rsidRDefault="003306A2" w:rsidP="00D9790B">
      <w:pPr>
        <w:tabs>
          <w:tab w:val="clear" w:pos="567"/>
          <w:tab w:val="left" w:pos="6804"/>
        </w:tabs>
        <w:spacing w:line="240" w:lineRule="auto"/>
        <w:ind w:right="-318"/>
        <w:rPr>
          <w:szCs w:val="22"/>
        </w:rPr>
      </w:pPr>
      <w:r w:rsidRPr="006D5389">
        <w:rPr>
          <w:szCs w:val="22"/>
        </w:rPr>
        <w:t>Doba použitelnosti po prvním otevření vnitřního obalu:</w:t>
      </w:r>
      <w:r w:rsidRPr="006D5389">
        <w:rPr>
          <w:szCs w:val="22"/>
        </w:rPr>
        <w:tab/>
        <w:t>28 dní.</w:t>
      </w:r>
    </w:p>
    <w:p w14:paraId="4CD9C987" w14:textId="4F1CAE09" w:rsidR="00C114FF" w:rsidRPr="006D5389" w:rsidRDefault="00C114FF" w:rsidP="003306A2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6D5389" w:rsidRDefault="00B80A44" w:rsidP="00B13B6D">
      <w:pPr>
        <w:pStyle w:val="Style1"/>
      </w:pPr>
      <w:r w:rsidRPr="006D5389">
        <w:t>5.3</w:t>
      </w:r>
      <w:r w:rsidRPr="006D5389">
        <w:tab/>
        <w:t>Zvláštní opatření pro uchovávání</w:t>
      </w:r>
    </w:p>
    <w:p w14:paraId="7826F268" w14:textId="2ABA7A7C" w:rsidR="00C114FF" w:rsidRPr="006D53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CBFFC7" w14:textId="77777777" w:rsidR="006D3DCC" w:rsidRPr="006D5389" w:rsidRDefault="006D3DCC" w:rsidP="006D3DCC">
      <w:pPr>
        <w:rPr>
          <w:szCs w:val="22"/>
        </w:rPr>
      </w:pPr>
      <w:r w:rsidRPr="006D5389">
        <w:rPr>
          <w:szCs w:val="22"/>
        </w:rPr>
        <w:t>Uchovávejte při teplotě do 25 °C.</w:t>
      </w:r>
    </w:p>
    <w:p w14:paraId="4EF9A8C2" w14:textId="5F20654F" w:rsidR="006D3DCC" w:rsidRPr="006D5389" w:rsidRDefault="006D3DCC" w:rsidP="006D3DCC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Chraňte před mrazem</w:t>
      </w:r>
    </w:p>
    <w:p w14:paraId="6A148EB2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6D5389" w:rsidRDefault="00B80A44" w:rsidP="00B13B6D">
      <w:pPr>
        <w:pStyle w:val="Style1"/>
      </w:pPr>
      <w:r w:rsidRPr="006D5389">
        <w:t>5.4</w:t>
      </w:r>
      <w:r w:rsidRPr="006D5389">
        <w:tab/>
        <w:t>Druh a složení vnitřního obalu</w:t>
      </w:r>
    </w:p>
    <w:p w14:paraId="3EB26241" w14:textId="37A5EE86" w:rsidR="00C114FF" w:rsidRPr="006D5389" w:rsidRDefault="00C114FF" w:rsidP="005E66FC">
      <w:pPr>
        <w:pStyle w:val="Style1"/>
      </w:pPr>
    </w:p>
    <w:p w14:paraId="738EB14B" w14:textId="64672102" w:rsidR="00E12CC8" w:rsidRPr="006D5389" w:rsidRDefault="003B5F07" w:rsidP="00E12CC8">
      <w:pPr>
        <w:pStyle w:val="Style1"/>
      </w:pPr>
      <w:r w:rsidRPr="006D5389">
        <w:rPr>
          <w:b w:val="0"/>
          <w:bCs/>
        </w:rPr>
        <w:t>L</w:t>
      </w:r>
      <w:r w:rsidR="00E12CC8" w:rsidRPr="006D5389">
        <w:rPr>
          <w:b w:val="0"/>
          <w:bCs/>
        </w:rPr>
        <w:t>ahvičky z bezbarvého skla (typ I)</w:t>
      </w:r>
      <w:r w:rsidR="00E12CC8" w:rsidRPr="006D5389">
        <w:t xml:space="preserve"> </w:t>
      </w:r>
      <w:r w:rsidR="00E12CC8" w:rsidRPr="006D5389">
        <w:rPr>
          <w:b w:val="0"/>
          <w:bCs/>
        </w:rPr>
        <w:t xml:space="preserve">uzavřeny </w:t>
      </w:r>
      <w:proofErr w:type="spellStart"/>
      <w:r w:rsidR="00E12CC8" w:rsidRPr="006D5389">
        <w:rPr>
          <w:b w:val="0"/>
          <w:bCs/>
        </w:rPr>
        <w:t>bromobutylovou</w:t>
      </w:r>
      <w:proofErr w:type="spellEnd"/>
      <w:r w:rsidR="00E12CC8" w:rsidRPr="006D5389">
        <w:rPr>
          <w:b w:val="0"/>
          <w:bCs/>
        </w:rPr>
        <w:t xml:space="preserve"> gumovou zátkou a hliníkov</w:t>
      </w:r>
      <w:r w:rsidR="00947C55">
        <w:rPr>
          <w:b w:val="0"/>
          <w:bCs/>
        </w:rPr>
        <w:t>ým</w:t>
      </w:r>
      <w:r w:rsidR="00E12CC8" w:rsidRPr="006D5389">
        <w:rPr>
          <w:b w:val="0"/>
          <w:bCs/>
        </w:rPr>
        <w:t xml:space="preserve"> </w:t>
      </w:r>
      <w:proofErr w:type="spellStart"/>
      <w:r w:rsidR="00E12CC8" w:rsidRPr="006D5389">
        <w:rPr>
          <w:b w:val="0"/>
          <w:bCs/>
        </w:rPr>
        <w:t>pertl</w:t>
      </w:r>
      <w:r w:rsidR="00947C55">
        <w:rPr>
          <w:b w:val="0"/>
          <w:bCs/>
        </w:rPr>
        <w:t>em</w:t>
      </w:r>
      <w:proofErr w:type="spellEnd"/>
      <w:r w:rsidR="00E12CC8" w:rsidRPr="006D5389">
        <w:rPr>
          <w:b w:val="0"/>
          <w:bCs/>
        </w:rPr>
        <w:t>.</w:t>
      </w:r>
    </w:p>
    <w:p w14:paraId="3BBCAF73" w14:textId="0ADF1138" w:rsidR="00E12CC8" w:rsidRPr="006D5389" w:rsidRDefault="00E12CC8" w:rsidP="005E66FC">
      <w:pPr>
        <w:pStyle w:val="Style1"/>
      </w:pPr>
    </w:p>
    <w:p w14:paraId="2AA4383C" w14:textId="45DB68B4" w:rsidR="00E12CC8" w:rsidRPr="006D5389" w:rsidRDefault="00E12CC8" w:rsidP="005E66FC">
      <w:pPr>
        <w:pStyle w:val="Style1"/>
        <w:rPr>
          <w:b w:val="0"/>
          <w:bCs/>
        </w:rPr>
      </w:pPr>
      <w:r w:rsidRPr="006D5389">
        <w:rPr>
          <w:b w:val="0"/>
          <w:bCs/>
        </w:rPr>
        <w:t>Velikost balení:</w:t>
      </w:r>
    </w:p>
    <w:p w14:paraId="7DD76F51" w14:textId="77777777" w:rsidR="003B5F07" w:rsidRPr="006D5389" w:rsidRDefault="00E12CC8" w:rsidP="005E66FC">
      <w:pPr>
        <w:pStyle w:val="Style1"/>
        <w:rPr>
          <w:b w:val="0"/>
          <w:bCs/>
        </w:rPr>
      </w:pPr>
      <w:r w:rsidRPr="006D5389">
        <w:rPr>
          <w:b w:val="0"/>
          <w:bCs/>
        </w:rPr>
        <w:t>5 lahviček po 10 ml v papírové krabičce</w:t>
      </w:r>
    </w:p>
    <w:p w14:paraId="5EA15154" w14:textId="77777777" w:rsidR="003B5F07" w:rsidRPr="006D5389" w:rsidRDefault="003B5F07" w:rsidP="005E66FC">
      <w:pPr>
        <w:pStyle w:val="Style1"/>
        <w:rPr>
          <w:b w:val="0"/>
          <w:bCs/>
        </w:rPr>
      </w:pPr>
      <w:r w:rsidRPr="006D5389">
        <w:rPr>
          <w:b w:val="0"/>
          <w:bCs/>
        </w:rPr>
        <w:t>Velikosti vícenásobných balení:</w:t>
      </w:r>
    </w:p>
    <w:p w14:paraId="4CEB3CE3" w14:textId="3B18F460" w:rsidR="003B5F07" w:rsidRPr="006D5389" w:rsidRDefault="003B5F07" w:rsidP="005E66FC">
      <w:pPr>
        <w:pStyle w:val="Style1"/>
        <w:rPr>
          <w:b w:val="0"/>
          <w:bCs/>
        </w:rPr>
      </w:pPr>
      <w:r w:rsidRPr="006D5389">
        <w:rPr>
          <w:b w:val="0"/>
          <w:bCs/>
        </w:rPr>
        <w:t>50 (10x5) lahviček po 10 ml v papírové krabičce</w:t>
      </w:r>
    </w:p>
    <w:p w14:paraId="11D22088" w14:textId="51E688CD" w:rsidR="003B5F07" w:rsidRPr="006D5389" w:rsidRDefault="003B5F07" w:rsidP="005E66FC">
      <w:pPr>
        <w:pStyle w:val="Style1"/>
        <w:rPr>
          <w:b w:val="0"/>
          <w:bCs/>
        </w:rPr>
      </w:pPr>
      <w:r w:rsidRPr="006D5389">
        <w:rPr>
          <w:b w:val="0"/>
          <w:bCs/>
        </w:rPr>
        <w:t>100 (20x5) lahviček po 10 ml v papírové krabičce</w:t>
      </w:r>
    </w:p>
    <w:p w14:paraId="3BC0CC10" w14:textId="372A0BF0" w:rsidR="003B5F07" w:rsidRPr="006D5389" w:rsidRDefault="003B5F07" w:rsidP="005E66FC">
      <w:pPr>
        <w:pStyle w:val="Style1"/>
        <w:rPr>
          <w:b w:val="0"/>
          <w:bCs/>
        </w:rPr>
      </w:pPr>
      <w:r w:rsidRPr="006D5389">
        <w:rPr>
          <w:b w:val="0"/>
          <w:bCs/>
        </w:rPr>
        <w:t>250 (50x5) lahviček po 10 ml v papírové krabičce</w:t>
      </w:r>
    </w:p>
    <w:p w14:paraId="1CF8CC9A" w14:textId="7385E5D5" w:rsidR="003B5F07" w:rsidRPr="006D5389" w:rsidRDefault="003B5F07" w:rsidP="005E66FC">
      <w:pPr>
        <w:pStyle w:val="Style1"/>
        <w:rPr>
          <w:b w:val="0"/>
          <w:bCs/>
        </w:rPr>
      </w:pPr>
      <w:r w:rsidRPr="006D5389">
        <w:rPr>
          <w:b w:val="0"/>
          <w:bCs/>
        </w:rPr>
        <w:t>500 (100x5) lahviček po 10 ml v papírové krabičce.</w:t>
      </w:r>
    </w:p>
    <w:p w14:paraId="0D4C9623" w14:textId="7882CC79" w:rsidR="00E12CC8" w:rsidRPr="006D5389" w:rsidRDefault="00E12CC8" w:rsidP="005E66FC">
      <w:pPr>
        <w:pStyle w:val="Style1"/>
        <w:rPr>
          <w:b w:val="0"/>
          <w:bCs/>
        </w:rPr>
      </w:pPr>
      <w:r w:rsidRPr="006D5389">
        <w:rPr>
          <w:b w:val="0"/>
          <w:bCs/>
        </w:rPr>
        <w:t xml:space="preserve"> </w:t>
      </w:r>
    </w:p>
    <w:p w14:paraId="5C703918" w14:textId="4B61DF72" w:rsidR="00C114FF" w:rsidRPr="006D5389" w:rsidRDefault="008F7249" w:rsidP="00A9226B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Na trhu nemusí být všechny velikosti balení.</w:t>
      </w:r>
    </w:p>
    <w:p w14:paraId="584B339F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6D5389" w:rsidRDefault="00B80A44" w:rsidP="00D9790B">
      <w:pPr>
        <w:pStyle w:val="Style1"/>
        <w:keepNext/>
        <w:jc w:val="both"/>
      </w:pPr>
      <w:r w:rsidRPr="006D5389">
        <w:t>5.5</w:t>
      </w:r>
      <w:r w:rsidRPr="006D5389">
        <w:tab/>
        <w:t xml:space="preserve">Zvláštní opatření pro </w:t>
      </w:r>
      <w:r w:rsidR="00CF069C" w:rsidRPr="006D5389">
        <w:t xml:space="preserve">likvidaci </w:t>
      </w:r>
      <w:r w:rsidRPr="006D5389">
        <w:t>nepoužit</w:t>
      </w:r>
      <w:r w:rsidR="002F64C6" w:rsidRPr="006D5389">
        <w:t>ých</w:t>
      </w:r>
      <w:r w:rsidR="00905CAB" w:rsidRPr="006D5389">
        <w:t xml:space="preserve"> </w:t>
      </w:r>
      <w:r w:rsidRPr="006D5389">
        <w:t>veterinární</w:t>
      </w:r>
      <w:r w:rsidR="002F64C6" w:rsidRPr="006D5389">
        <w:t>ch</w:t>
      </w:r>
      <w:r w:rsidRPr="006D5389">
        <w:t xml:space="preserve"> léčiv</w:t>
      </w:r>
      <w:r w:rsidR="002F64C6" w:rsidRPr="006D5389">
        <w:t>ých</w:t>
      </w:r>
      <w:r w:rsidRPr="006D5389">
        <w:t xml:space="preserve"> přípravk</w:t>
      </w:r>
      <w:r w:rsidR="002F64C6" w:rsidRPr="006D5389">
        <w:t>ů</w:t>
      </w:r>
      <w:r w:rsidRPr="006D5389">
        <w:t xml:space="preserve"> nebo odpad</w:t>
      </w:r>
      <w:r w:rsidR="00F84AED" w:rsidRPr="006D5389">
        <w:t>ů</w:t>
      </w:r>
      <w:r w:rsidR="00B36E65" w:rsidRPr="006D5389">
        <w:t>, kter</w:t>
      </w:r>
      <w:r w:rsidR="00F84AED" w:rsidRPr="006D5389">
        <w:t>é</w:t>
      </w:r>
      <w:r w:rsidRPr="006D5389">
        <w:t xml:space="preserve"> pocház</w:t>
      </w:r>
      <w:r w:rsidR="00B36E65" w:rsidRPr="006D5389">
        <w:t>í</w:t>
      </w:r>
      <w:r w:rsidRPr="006D5389">
        <w:t xml:space="preserve"> z</w:t>
      </w:r>
      <w:r w:rsidR="002F64C6" w:rsidRPr="006D5389">
        <w:t> </w:t>
      </w:r>
      <w:r w:rsidRPr="006D5389">
        <w:t>t</w:t>
      </w:r>
      <w:r w:rsidR="002F64C6" w:rsidRPr="006D5389">
        <w:t xml:space="preserve">ěchto </w:t>
      </w:r>
      <w:r w:rsidRPr="006D5389">
        <w:t>přípravk</w:t>
      </w:r>
      <w:r w:rsidR="002F64C6" w:rsidRPr="006D5389">
        <w:t>ů</w:t>
      </w:r>
    </w:p>
    <w:p w14:paraId="4E04C78C" w14:textId="77777777" w:rsidR="00C114FF" w:rsidRPr="006D5389" w:rsidRDefault="00C114FF" w:rsidP="00D9790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5C598F45" w:rsidR="00FD1E45" w:rsidRPr="006D5389" w:rsidRDefault="00B80A44" w:rsidP="00D9790B">
      <w:pPr>
        <w:jc w:val="both"/>
        <w:rPr>
          <w:szCs w:val="22"/>
        </w:rPr>
      </w:pPr>
      <w:r w:rsidRPr="006D5389">
        <w:rPr>
          <w:szCs w:val="22"/>
        </w:rPr>
        <w:t>Léčivé přípravky se nesmí likvidovat prostřednictvím odpadní vody či domovního odpadu.</w:t>
      </w:r>
    </w:p>
    <w:p w14:paraId="44A5EE14" w14:textId="77777777" w:rsidR="00FD1E45" w:rsidRPr="006D5389" w:rsidRDefault="00FD1E45" w:rsidP="00D979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363B7A" w14:textId="637592A6" w:rsidR="00C114FF" w:rsidRPr="006D5389" w:rsidRDefault="00B80A44" w:rsidP="00D979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D5389">
        <w:rPr>
          <w:szCs w:val="22"/>
        </w:rPr>
        <w:t>Všechen n</w:t>
      </w:r>
      <w:r w:rsidR="00DA2A06" w:rsidRPr="006D5389">
        <w:rPr>
          <w:szCs w:val="22"/>
        </w:rPr>
        <w:t xml:space="preserve">epoužitý veterinární léčivý přípravek nebo </w:t>
      </w:r>
      <w:r w:rsidR="00905CAB" w:rsidRPr="006D5389">
        <w:rPr>
          <w:szCs w:val="22"/>
        </w:rPr>
        <w:t>odpad, který pochází z tohoto přípravku,</w:t>
      </w:r>
      <w:r w:rsidR="00DA2A06" w:rsidRPr="006D5389">
        <w:rPr>
          <w:szCs w:val="22"/>
        </w:rPr>
        <w:t xml:space="preserve"> </w:t>
      </w:r>
      <w:r w:rsidR="004C0568" w:rsidRPr="006D5389">
        <w:rPr>
          <w:szCs w:val="22"/>
        </w:rPr>
        <w:t xml:space="preserve">likvidujte </w:t>
      </w:r>
      <w:r w:rsidR="007464DA" w:rsidRPr="006D5389">
        <w:rPr>
          <w:szCs w:val="22"/>
        </w:rPr>
        <w:t>odevzdáním</w:t>
      </w:r>
      <w:r w:rsidR="00730908" w:rsidRPr="006D5389">
        <w:rPr>
          <w:szCs w:val="22"/>
        </w:rPr>
        <w:t xml:space="preserve"> </w:t>
      </w:r>
      <w:r w:rsidR="00DA2A06" w:rsidRPr="006D5389">
        <w:rPr>
          <w:szCs w:val="22"/>
        </w:rPr>
        <w:t>v souladu s místními požadavky a národními systémy sběru, které jsou platné pro příslušný veterinární léčivý přípravek.</w:t>
      </w:r>
    </w:p>
    <w:p w14:paraId="06949C1A" w14:textId="5B6A07C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BA026A" w14:textId="77777777" w:rsidR="0097492F" w:rsidRPr="006D5389" w:rsidRDefault="0097492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6D5389" w:rsidRDefault="00B80A44" w:rsidP="00B13B6D">
      <w:pPr>
        <w:pStyle w:val="Style1"/>
      </w:pPr>
      <w:r w:rsidRPr="006D5389">
        <w:t>6.</w:t>
      </w:r>
      <w:r w:rsidRPr="006D5389">
        <w:tab/>
        <w:t>JMÉNO DRŽITELE ROZHODNUTÍ O REGISTRACI</w:t>
      </w:r>
    </w:p>
    <w:p w14:paraId="2E652F1A" w14:textId="77777777" w:rsidR="00C114FF" w:rsidRPr="006D53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4E0BE7" w14:textId="77777777" w:rsidR="003D7C36" w:rsidRPr="006D5389" w:rsidRDefault="003D7C36" w:rsidP="003D7C36">
      <w:pPr>
        <w:pStyle w:val="TextkrperGebrauchsinformation"/>
        <w:rPr>
          <w:szCs w:val="22"/>
        </w:rPr>
      </w:pPr>
      <w:r w:rsidRPr="006D5389">
        <w:rPr>
          <w:szCs w:val="22"/>
        </w:rPr>
        <w:t xml:space="preserve">T.P. </w:t>
      </w:r>
      <w:proofErr w:type="spellStart"/>
      <w:r w:rsidRPr="006D5389">
        <w:rPr>
          <w:szCs w:val="22"/>
        </w:rPr>
        <w:t>Whelehan</w:t>
      </w:r>
      <w:proofErr w:type="spellEnd"/>
      <w:r w:rsidRPr="006D5389">
        <w:rPr>
          <w:szCs w:val="22"/>
        </w:rPr>
        <w:t xml:space="preserve"> Son &amp; Co. Ltd.</w:t>
      </w:r>
    </w:p>
    <w:p w14:paraId="1F61240C" w14:textId="43243F89" w:rsidR="00C114FF" w:rsidRPr="006D5389" w:rsidRDefault="00C114FF" w:rsidP="003D7C36">
      <w:pPr>
        <w:pStyle w:val="TextkrperGebrauchsinformation"/>
        <w:rPr>
          <w:szCs w:val="22"/>
        </w:rPr>
      </w:pPr>
    </w:p>
    <w:p w14:paraId="6CB09C60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6D5389" w:rsidRDefault="00B80A44" w:rsidP="00B13B6D">
      <w:pPr>
        <w:pStyle w:val="Style1"/>
      </w:pPr>
      <w:r w:rsidRPr="006D5389">
        <w:t>7.</w:t>
      </w:r>
      <w:r w:rsidRPr="006D5389">
        <w:tab/>
        <w:t>REGISTRAČNÍ ČÍSLO(A)</w:t>
      </w:r>
    </w:p>
    <w:p w14:paraId="1FA2C56F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0098E4" w14:textId="77777777" w:rsidR="003D7C36" w:rsidRPr="006D5389" w:rsidRDefault="003D7C36" w:rsidP="003D7C36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96/051/</w:t>
      </w:r>
      <w:proofErr w:type="gramStart"/>
      <w:r w:rsidRPr="006D5389">
        <w:rPr>
          <w:szCs w:val="22"/>
        </w:rPr>
        <w:t>17-C</w:t>
      </w:r>
      <w:proofErr w:type="gramEnd"/>
    </w:p>
    <w:p w14:paraId="427D05E5" w14:textId="77777777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6D5389" w:rsidRDefault="00B80A44" w:rsidP="00B13B6D">
      <w:pPr>
        <w:pStyle w:val="Style1"/>
      </w:pPr>
      <w:r w:rsidRPr="006D5389">
        <w:t>8.</w:t>
      </w:r>
      <w:r w:rsidRPr="006D5389">
        <w:tab/>
        <w:t>DATUM PRVNÍ REGISTRACE</w:t>
      </w:r>
    </w:p>
    <w:p w14:paraId="669AE9C0" w14:textId="77777777" w:rsidR="00D65777" w:rsidRPr="006D5389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1326D3" w14:textId="60A63492" w:rsidR="00096994" w:rsidRPr="006D5389" w:rsidRDefault="00DF1068" w:rsidP="00096994">
      <w:pPr>
        <w:tabs>
          <w:tab w:val="clear" w:pos="567"/>
        </w:tabs>
        <w:spacing w:line="240" w:lineRule="auto"/>
        <w:rPr>
          <w:szCs w:val="22"/>
        </w:rPr>
      </w:pPr>
      <w:r w:rsidRPr="006D5389">
        <w:rPr>
          <w:szCs w:val="22"/>
        </w:rPr>
        <w:t>14</w:t>
      </w:r>
      <w:r w:rsidR="00096994" w:rsidRPr="006D5389">
        <w:rPr>
          <w:szCs w:val="22"/>
        </w:rPr>
        <w:t>.</w:t>
      </w:r>
      <w:r w:rsidRPr="006D5389">
        <w:rPr>
          <w:szCs w:val="22"/>
        </w:rPr>
        <w:t>11. 2017</w:t>
      </w:r>
    </w:p>
    <w:p w14:paraId="60065931" w14:textId="36C55062" w:rsidR="00C114FF" w:rsidRPr="006D53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6D5389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6D5389" w:rsidRDefault="00B80A44" w:rsidP="00B13B6D">
      <w:pPr>
        <w:pStyle w:val="Style1"/>
      </w:pPr>
      <w:r w:rsidRPr="006D5389">
        <w:t>9.</w:t>
      </w:r>
      <w:r w:rsidRPr="006D5389">
        <w:tab/>
        <w:t>DATUM POSLEDNÍ AKTUALIZACE SOUHRNU ÚDAJŮ O PŘÍPRAVKU</w:t>
      </w:r>
    </w:p>
    <w:p w14:paraId="30326986" w14:textId="77777777" w:rsidR="00C114FF" w:rsidRPr="006D53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A2CD86" w14:textId="314FFEA5" w:rsidR="00096994" w:rsidRPr="006D5389" w:rsidRDefault="00D9790B" w:rsidP="0009699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</w:t>
      </w:r>
      <w:bookmarkStart w:id="4" w:name="_GoBack"/>
      <w:bookmarkEnd w:id="4"/>
      <w:r w:rsidR="004414D1">
        <w:rPr>
          <w:szCs w:val="22"/>
        </w:rPr>
        <w:t xml:space="preserve"> 2023</w:t>
      </w:r>
    </w:p>
    <w:p w14:paraId="224434F8" w14:textId="77777777" w:rsidR="0078538F" w:rsidRPr="006D5389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6D538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6D5389" w:rsidRDefault="00B80A44" w:rsidP="00D9790B">
      <w:pPr>
        <w:pStyle w:val="Style1"/>
        <w:jc w:val="both"/>
      </w:pPr>
      <w:r w:rsidRPr="006D5389">
        <w:t>10.</w:t>
      </w:r>
      <w:r w:rsidRPr="006D5389">
        <w:tab/>
        <w:t>KLASIFIKACE VETERINÁRNÍCH LÉČIVÝCH PŘÍPRAVKŮ</w:t>
      </w:r>
    </w:p>
    <w:p w14:paraId="1F12B426" w14:textId="77777777" w:rsidR="0078538F" w:rsidRPr="006D5389" w:rsidRDefault="0078538F" w:rsidP="00D979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95E980" w14:textId="42B8F6BE" w:rsidR="0078538F" w:rsidRPr="006D5389" w:rsidRDefault="00B80A44" w:rsidP="00D9790B">
      <w:pPr>
        <w:numPr>
          <w:ilvl w:val="12"/>
          <w:numId w:val="0"/>
        </w:numPr>
        <w:jc w:val="both"/>
        <w:rPr>
          <w:szCs w:val="22"/>
        </w:rPr>
      </w:pPr>
      <w:r w:rsidRPr="006D5389">
        <w:rPr>
          <w:szCs w:val="22"/>
        </w:rPr>
        <w:t>Veterinární léčivý přípravek je vydáván pouze na předpis.</w:t>
      </w:r>
    </w:p>
    <w:p w14:paraId="05E12133" w14:textId="77777777" w:rsidR="0078538F" w:rsidRPr="006D5389" w:rsidRDefault="0078538F" w:rsidP="00D9790B">
      <w:pPr>
        <w:ind w:right="-318"/>
        <w:jc w:val="both"/>
        <w:rPr>
          <w:szCs w:val="22"/>
        </w:rPr>
      </w:pPr>
    </w:p>
    <w:p w14:paraId="28C35B4C" w14:textId="5D07ABCB" w:rsidR="0078538F" w:rsidRPr="006D5389" w:rsidRDefault="00B80A44" w:rsidP="00D9790B">
      <w:pPr>
        <w:ind w:right="-1"/>
        <w:jc w:val="both"/>
        <w:rPr>
          <w:szCs w:val="22"/>
        </w:rPr>
      </w:pPr>
      <w:bookmarkStart w:id="5" w:name="_Hlk73467306"/>
      <w:r w:rsidRPr="006D5389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6D5389">
          <w:rPr>
            <w:rStyle w:val="Hypertextovodkaz"/>
            <w:szCs w:val="22"/>
          </w:rPr>
          <w:t>https://medicines.health.europa.eu/veterinary</w:t>
        </w:r>
      </w:hyperlink>
      <w:r w:rsidRPr="006D5389">
        <w:rPr>
          <w:szCs w:val="22"/>
        </w:rPr>
        <w:t>)</w:t>
      </w:r>
      <w:r w:rsidRPr="006D5389">
        <w:rPr>
          <w:i/>
          <w:szCs w:val="22"/>
        </w:rPr>
        <w:t>.</w:t>
      </w:r>
    </w:p>
    <w:bookmarkEnd w:id="5"/>
    <w:p w14:paraId="3D227102" w14:textId="77777777" w:rsidR="00E602B5" w:rsidRPr="00E602B5" w:rsidRDefault="00E602B5" w:rsidP="00D9790B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2BBFD3F" w14:textId="196CE0BF" w:rsidR="005F346D" w:rsidRPr="006D5389" w:rsidRDefault="00E602B5" w:rsidP="00D9790B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bookmarkStart w:id="6" w:name="_Hlk139282180"/>
      <w:r w:rsidRPr="00E602B5">
        <w:rPr>
          <w:szCs w:val="22"/>
        </w:rPr>
        <w:t>Podrobné informace o tomto veterinárním léčivém přípravku naleznete také v národní databázi (</w:t>
      </w:r>
      <w:hyperlink r:id="rId9" w:history="1">
        <w:r w:rsidRPr="00AD1949">
          <w:rPr>
            <w:rStyle w:val="Hypertextovodkaz"/>
            <w:szCs w:val="22"/>
          </w:rPr>
          <w:t>https://www.uskvbl.cz</w:t>
        </w:r>
      </w:hyperlink>
      <w:r w:rsidRPr="00E602B5">
        <w:rPr>
          <w:szCs w:val="22"/>
        </w:rPr>
        <w:t>).</w:t>
      </w:r>
      <w:bookmarkEnd w:id="6"/>
    </w:p>
    <w:sectPr w:rsidR="005F346D" w:rsidRPr="006D5389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DDA03" w14:textId="77777777" w:rsidR="008831EA" w:rsidRDefault="008831EA">
      <w:pPr>
        <w:spacing w:line="240" w:lineRule="auto"/>
      </w:pPr>
      <w:r>
        <w:separator/>
      </w:r>
    </w:p>
  </w:endnote>
  <w:endnote w:type="continuationSeparator" w:id="0">
    <w:p w14:paraId="664E5E2E" w14:textId="77777777" w:rsidR="008831EA" w:rsidRDefault="00883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80A4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80A4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27A3D" w14:textId="77777777" w:rsidR="008831EA" w:rsidRDefault="008831EA">
      <w:pPr>
        <w:spacing w:line="240" w:lineRule="auto"/>
      </w:pPr>
      <w:r>
        <w:separator/>
      </w:r>
    </w:p>
  </w:footnote>
  <w:footnote w:type="continuationSeparator" w:id="0">
    <w:p w14:paraId="3631FE87" w14:textId="77777777" w:rsidR="008831EA" w:rsidRDefault="00883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74CB" w14:textId="6934C749" w:rsidR="0088556F" w:rsidRDefault="00885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458A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071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EA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87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AB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1A2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01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C5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05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B0AC2F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6508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EA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03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0A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F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E4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AE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D2A13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B23E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AB853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0423F4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E0840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A5ABD8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6AD19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D8E7A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D5E291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A755E6"/>
    <w:multiLevelType w:val="multilevel"/>
    <w:tmpl w:val="3146C732"/>
    <w:styleLink w:val="GliederungSPC"/>
    <w:lvl w:ilvl="0">
      <w:start w:val="1"/>
      <w:numFmt w:val="decimal"/>
      <w:pStyle w:val="berschriftFachinf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FachInfo2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pStyle w:val="berschriftFachInfo3"/>
      <w:suff w:val="nothing"/>
      <w:lvlText w:val="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56C02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FDED4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11892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0066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6B07F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7C0F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A10483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B8669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DA23F9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563CB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C0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61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2F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01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F26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A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E0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5E7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DD7C5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463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4EF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28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C1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5C5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6B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67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825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CD7483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B1882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209D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C2A4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AA29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C838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D849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96F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8A7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11834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CD20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EB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84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8C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05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4E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7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CA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FAC1CD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1A21D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B88E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C4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CB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E8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8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68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2D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3DB242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8422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349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2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E7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E2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41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709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9A7E7A4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E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84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EB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E4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04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EA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00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85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238808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BF8F32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2E0C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01807B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FF2DF3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8929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4ACDF1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6F2D1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5A038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DC484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E2C1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CF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42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20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D6C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3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EA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989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4DD44EA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A2E4C9C" w:tentative="1">
      <w:start w:val="1"/>
      <w:numFmt w:val="lowerLetter"/>
      <w:lvlText w:val="%2."/>
      <w:lvlJc w:val="left"/>
      <w:pPr>
        <w:ind w:left="1440" w:hanging="360"/>
      </w:pPr>
    </w:lvl>
    <w:lvl w:ilvl="2" w:tplc="750827DA" w:tentative="1">
      <w:start w:val="1"/>
      <w:numFmt w:val="lowerRoman"/>
      <w:lvlText w:val="%3."/>
      <w:lvlJc w:val="right"/>
      <w:pPr>
        <w:ind w:left="2160" w:hanging="180"/>
      </w:pPr>
    </w:lvl>
    <w:lvl w:ilvl="3" w:tplc="407C67F6" w:tentative="1">
      <w:start w:val="1"/>
      <w:numFmt w:val="decimal"/>
      <w:lvlText w:val="%4."/>
      <w:lvlJc w:val="left"/>
      <w:pPr>
        <w:ind w:left="2880" w:hanging="360"/>
      </w:pPr>
    </w:lvl>
    <w:lvl w:ilvl="4" w:tplc="DE7494DE" w:tentative="1">
      <w:start w:val="1"/>
      <w:numFmt w:val="lowerLetter"/>
      <w:lvlText w:val="%5."/>
      <w:lvlJc w:val="left"/>
      <w:pPr>
        <w:ind w:left="3600" w:hanging="360"/>
      </w:pPr>
    </w:lvl>
    <w:lvl w:ilvl="5" w:tplc="9BA0C72A" w:tentative="1">
      <w:start w:val="1"/>
      <w:numFmt w:val="lowerRoman"/>
      <w:lvlText w:val="%6."/>
      <w:lvlJc w:val="right"/>
      <w:pPr>
        <w:ind w:left="4320" w:hanging="180"/>
      </w:pPr>
    </w:lvl>
    <w:lvl w:ilvl="6" w:tplc="21AE9AFA" w:tentative="1">
      <w:start w:val="1"/>
      <w:numFmt w:val="decimal"/>
      <w:lvlText w:val="%7."/>
      <w:lvlJc w:val="left"/>
      <w:pPr>
        <w:ind w:left="5040" w:hanging="360"/>
      </w:pPr>
    </w:lvl>
    <w:lvl w:ilvl="7" w:tplc="CDFA77DA" w:tentative="1">
      <w:start w:val="1"/>
      <w:numFmt w:val="lowerLetter"/>
      <w:lvlText w:val="%8."/>
      <w:lvlJc w:val="left"/>
      <w:pPr>
        <w:ind w:left="5760" w:hanging="360"/>
      </w:pPr>
    </w:lvl>
    <w:lvl w:ilvl="8" w:tplc="83DCF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63809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296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0A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0C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66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01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A1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6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A5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6C64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8B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4A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40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CB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00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2F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C7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6B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0A6AF69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CEA3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07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5C7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88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44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CF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9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62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556D0C8">
      <w:start w:val="1"/>
      <w:numFmt w:val="decimal"/>
      <w:lvlText w:val="%1."/>
      <w:lvlJc w:val="left"/>
      <w:pPr>
        <w:ind w:left="720" w:hanging="360"/>
      </w:pPr>
    </w:lvl>
    <w:lvl w:ilvl="1" w:tplc="25CEC2DA" w:tentative="1">
      <w:start w:val="1"/>
      <w:numFmt w:val="lowerLetter"/>
      <w:lvlText w:val="%2."/>
      <w:lvlJc w:val="left"/>
      <w:pPr>
        <w:ind w:left="1440" w:hanging="360"/>
      </w:pPr>
    </w:lvl>
    <w:lvl w:ilvl="2" w:tplc="E0B89E00" w:tentative="1">
      <w:start w:val="1"/>
      <w:numFmt w:val="lowerRoman"/>
      <w:lvlText w:val="%3."/>
      <w:lvlJc w:val="right"/>
      <w:pPr>
        <w:ind w:left="2160" w:hanging="180"/>
      </w:pPr>
    </w:lvl>
    <w:lvl w:ilvl="3" w:tplc="1384123E" w:tentative="1">
      <w:start w:val="1"/>
      <w:numFmt w:val="decimal"/>
      <w:lvlText w:val="%4."/>
      <w:lvlJc w:val="left"/>
      <w:pPr>
        <w:ind w:left="2880" w:hanging="360"/>
      </w:pPr>
    </w:lvl>
    <w:lvl w:ilvl="4" w:tplc="3196C6D0" w:tentative="1">
      <w:start w:val="1"/>
      <w:numFmt w:val="lowerLetter"/>
      <w:lvlText w:val="%5."/>
      <w:lvlJc w:val="left"/>
      <w:pPr>
        <w:ind w:left="3600" w:hanging="360"/>
      </w:pPr>
    </w:lvl>
    <w:lvl w:ilvl="5" w:tplc="96C801E8" w:tentative="1">
      <w:start w:val="1"/>
      <w:numFmt w:val="lowerRoman"/>
      <w:lvlText w:val="%6."/>
      <w:lvlJc w:val="right"/>
      <w:pPr>
        <w:ind w:left="4320" w:hanging="180"/>
      </w:pPr>
    </w:lvl>
    <w:lvl w:ilvl="6" w:tplc="67A6A7AE" w:tentative="1">
      <w:start w:val="1"/>
      <w:numFmt w:val="decimal"/>
      <w:lvlText w:val="%7."/>
      <w:lvlJc w:val="left"/>
      <w:pPr>
        <w:ind w:left="5040" w:hanging="360"/>
      </w:pPr>
    </w:lvl>
    <w:lvl w:ilvl="7" w:tplc="52A4BAC8" w:tentative="1">
      <w:start w:val="1"/>
      <w:numFmt w:val="lowerLetter"/>
      <w:lvlText w:val="%8."/>
      <w:lvlJc w:val="left"/>
      <w:pPr>
        <w:ind w:left="5760" w:hanging="360"/>
      </w:pPr>
    </w:lvl>
    <w:lvl w:ilvl="8" w:tplc="17522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99AE53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36AC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1CD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4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61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FA5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F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62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565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101"/>
    <w:rsid w:val="00021B82"/>
    <w:rsid w:val="00024777"/>
    <w:rsid w:val="00024E21"/>
    <w:rsid w:val="00027100"/>
    <w:rsid w:val="0003191D"/>
    <w:rsid w:val="000349AA"/>
    <w:rsid w:val="00036C50"/>
    <w:rsid w:val="00052849"/>
    <w:rsid w:val="00052D2B"/>
    <w:rsid w:val="00054F55"/>
    <w:rsid w:val="00056EE7"/>
    <w:rsid w:val="00062945"/>
    <w:rsid w:val="00063946"/>
    <w:rsid w:val="00075538"/>
    <w:rsid w:val="00080453"/>
    <w:rsid w:val="0008169A"/>
    <w:rsid w:val="00082200"/>
    <w:rsid w:val="000838BB"/>
    <w:rsid w:val="000843F2"/>
    <w:rsid w:val="000860CE"/>
    <w:rsid w:val="00092A37"/>
    <w:rsid w:val="000938A6"/>
    <w:rsid w:val="00096994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59D"/>
    <w:rsid w:val="0013799F"/>
    <w:rsid w:val="00140DF6"/>
    <w:rsid w:val="00144039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76C"/>
    <w:rsid w:val="001A0E2C"/>
    <w:rsid w:val="001A1238"/>
    <w:rsid w:val="001A28C9"/>
    <w:rsid w:val="001A34BC"/>
    <w:rsid w:val="001A621E"/>
    <w:rsid w:val="001A71EB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9B6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DC1"/>
    <w:rsid w:val="00203F2E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308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8F3"/>
    <w:rsid w:val="002B6560"/>
    <w:rsid w:val="002B6599"/>
    <w:rsid w:val="002C1F27"/>
    <w:rsid w:val="002C5592"/>
    <w:rsid w:val="002C55FF"/>
    <w:rsid w:val="002C592B"/>
    <w:rsid w:val="002D300D"/>
    <w:rsid w:val="002E0CD4"/>
    <w:rsid w:val="002E155A"/>
    <w:rsid w:val="002E3A90"/>
    <w:rsid w:val="002E46CC"/>
    <w:rsid w:val="002E4F48"/>
    <w:rsid w:val="002E62CB"/>
    <w:rsid w:val="002E6DF1"/>
    <w:rsid w:val="002E6ED9"/>
    <w:rsid w:val="002E7AA5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6A2"/>
    <w:rsid w:val="00330CC1"/>
    <w:rsid w:val="0033129D"/>
    <w:rsid w:val="003320ED"/>
    <w:rsid w:val="0033480E"/>
    <w:rsid w:val="00337123"/>
    <w:rsid w:val="00341866"/>
    <w:rsid w:val="00342C0C"/>
    <w:rsid w:val="00345B68"/>
    <w:rsid w:val="003535E0"/>
    <w:rsid w:val="003543AC"/>
    <w:rsid w:val="00355AB8"/>
    <w:rsid w:val="00355D02"/>
    <w:rsid w:val="00361607"/>
    <w:rsid w:val="00365C0D"/>
    <w:rsid w:val="00366EF7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84B"/>
    <w:rsid w:val="003A31B9"/>
    <w:rsid w:val="003A3E2F"/>
    <w:rsid w:val="003A6CCB"/>
    <w:rsid w:val="003B019C"/>
    <w:rsid w:val="003B0F22"/>
    <w:rsid w:val="003B10C4"/>
    <w:rsid w:val="003B48EB"/>
    <w:rsid w:val="003B5CD1"/>
    <w:rsid w:val="003B5F07"/>
    <w:rsid w:val="003C33FF"/>
    <w:rsid w:val="003C3E0E"/>
    <w:rsid w:val="003C64A5"/>
    <w:rsid w:val="003C70C9"/>
    <w:rsid w:val="003D03CC"/>
    <w:rsid w:val="003D378C"/>
    <w:rsid w:val="003D3893"/>
    <w:rsid w:val="003D4BB7"/>
    <w:rsid w:val="003D7C36"/>
    <w:rsid w:val="003E0116"/>
    <w:rsid w:val="003E10EE"/>
    <w:rsid w:val="003E26C3"/>
    <w:rsid w:val="003E6225"/>
    <w:rsid w:val="003E703B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2C42"/>
    <w:rsid w:val="00414B20"/>
    <w:rsid w:val="0041628A"/>
    <w:rsid w:val="00417DE3"/>
    <w:rsid w:val="00420850"/>
    <w:rsid w:val="00423968"/>
    <w:rsid w:val="00427054"/>
    <w:rsid w:val="004301BB"/>
    <w:rsid w:val="004304B1"/>
    <w:rsid w:val="00432DA8"/>
    <w:rsid w:val="0043320A"/>
    <w:rsid w:val="004332E3"/>
    <w:rsid w:val="0043586F"/>
    <w:rsid w:val="004371A3"/>
    <w:rsid w:val="004404D1"/>
    <w:rsid w:val="004414D1"/>
    <w:rsid w:val="0044189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1D1"/>
    <w:rsid w:val="00465AFF"/>
    <w:rsid w:val="004716BC"/>
    <w:rsid w:val="004738E0"/>
    <w:rsid w:val="00474C50"/>
    <w:rsid w:val="004768DB"/>
    <w:rsid w:val="004771F9"/>
    <w:rsid w:val="00484FC2"/>
    <w:rsid w:val="00486006"/>
    <w:rsid w:val="00486BAD"/>
    <w:rsid w:val="00486BBE"/>
    <w:rsid w:val="00487123"/>
    <w:rsid w:val="00493418"/>
    <w:rsid w:val="00495A75"/>
    <w:rsid w:val="00495CAE"/>
    <w:rsid w:val="0049641F"/>
    <w:rsid w:val="004A005B"/>
    <w:rsid w:val="004A0A57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35BE"/>
    <w:rsid w:val="00517756"/>
    <w:rsid w:val="005202C6"/>
    <w:rsid w:val="00523C53"/>
    <w:rsid w:val="00524D81"/>
    <w:rsid w:val="005272F4"/>
    <w:rsid w:val="00527B8F"/>
    <w:rsid w:val="00527C45"/>
    <w:rsid w:val="00536031"/>
    <w:rsid w:val="005410EA"/>
    <w:rsid w:val="0054134B"/>
    <w:rsid w:val="00541D40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107A"/>
    <w:rsid w:val="005A48CC"/>
    <w:rsid w:val="005A4CBE"/>
    <w:rsid w:val="005A5578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7BAB"/>
    <w:rsid w:val="005D0E6A"/>
    <w:rsid w:val="005D27E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608"/>
    <w:rsid w:val="00606EA1"/>
    <w:rsid w:val="006128F0"/>
    <w:rsid w:val="0061726B"/>
    <w:rsid w:val="00617B81"/>
    <w:rsid w:val="006207CD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29B9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718E"/>
    <w:rsid w:val="006C4775"/>
    <w:rsid w:val="006C4F4A"/>
    <w:rsid w:val="006C5E80"/>
    <w:rsid w:val="006C7CEE"/>
    <w:rsid w:val="006D075E"/>
    <w:rsid w:val="006D09DC"/>
    <w:rsid w:val="006D3509"/>
    <w:rsid w:val="006D3DCC"/>
    <w:rsid w:val="006D5389"/>
    <w:rsid w:val="006D7C6E"/>
    <w:rsid w:val="006E15A2"/>
    <w:rsid w:val="006E2F95"/>
    <w:rsid w:val="006F148B"/>
    <w:rsid w:val="006F19AC"/>
    <w:rsid w:val="007001EA"/>
    <w:rsid w:val="00705EAF"/>
    <w:rsid w:val="00706D46"/>
    <w:rsid w:val="0070773E"/>
    <w:rsid w:val="007101CC"/>
    <w:rsid w:val="0071271C"/>
    <w:rsid w:val="00715C55"/>
    <w:rsid w:val="00724E3B"/>
    <w:rsid w:val="00725EEA"/>
    <w:rsid w:val="007276B6"/>
    <w:rsid w:val="00730908"/>
    <w:rsid w:val="00730C61"/>
    <w:rsid w:val="00730CE9"/>
    <w:rsid w:val="0073373D"/>
    <w:rsid w:val="00736B1E"/>
    <w:rsid w:val="0073750E"/>
    <w:rsid w:val="007439DB"/>
    <w:rsid w:val="007464DA"/>
    <w:rsid w:val="00751555"/>
    <w:rsid w:val="007568D8"/>
    <w:rsid w:val="007616B4"/>
    <w:rsid w:val="00761B05"/>
    <w:rsid w:val="00765316"/>
    <w:rsid w:val="007708C8"/>
    <w:rsid w:val="00775CA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4B9D"/>
    <w:rsid w:val="007B72E1"/>
    <w:rsid w:val="007B783A"/>
    <w:rsid w:val="007C1B95"/>
    <w:rsid w:val="007C3DF3"/>
    <w:rsid w:val="007C45BA"/>
    <w:rsid w:val="007C796D"/>
    <w:rsid w:val="007D325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3F5A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1A8A"/>
    <w:rsid w:val="00852FF2"/>
    <w:rsid w:val="008530E7"/>
    <w:rsid w:val="008538F3"/>
    <w:rsid w:val="00856BDB"/>
    <w:rsid w:val="00857675"/>
    <w:rsid w:val="00861F86"/>
    <w:rsid w:val="00867C0D"/>
    <w:rsid w:val="0087128D"/>
    <w:rsid w:val="00872C48"/>
    <w:rsid w:val="00874D4A"/>
    <w:rsid w:val="00875EC3"/>
    <w:rsid w:val="008763E7"/>
    <w:rsid w:val="008808C5"/>
    <w:rsid w:val="00881A7C"/>
    <w:rsid w:val="008831EA"/>
    <w:rsid w:val="00883C78"/>
    <w:rsid w:val="00883F30"/>
    <w:rsid w:val="00885159"/>
    <w:rsid w:val="00885214"/>
    <w:rsid w:val="0088556F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C89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7249"/>
    <w:rsid w:val="00903D0D"/>
    <w:rsid w:val="009048E1"/>
    <w:rsid w:val="0090598C"/>
    <w:rsid w:val="00905CAB"/>
    <w:rsid w:val="009071BB"/>
    <w:rsid w:val="00907A70"/>
    <w:rsid w:val="00913885"/>
    <w:rsid w:val="00915ABF"/>
    <w:rsid w:val="00921CAD"/>
    <w:rsid w:val="009311ED"/>
    <w:rsid w:val="00931D41"/>
    <w:rsid w:val="00933D18"/>
    <w:rsid w:val="00942221"/>
    <w:rsid w:val="00947C55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92F"/>
    <w:rsid w:val="00975676"/>
    <w:rsid w:val="00976467"/>
    <w:rsid w:val="00976D32"/>
    <w:rsid w:val="009844F7"/>
    <w:rsid w:val="009907A5"/>
    <w:rsid w:val="009938F7"/>
    <w:rsid w:val="00995A7D"/>
    <w:rsid w:val="00995EE8"/>
    <w:rsid w:val="009A05AA"/>
    <w:rsid w:val="009A2D5A"/>
    <w:rsid w:val="009A6509"/>
    <w:rsid w:val="009A6E2F"/>
    <w:rsid w:val="009B2969"/>
    <w:rsid w:val="009B2C7E"/>
    <w:rsid w:val="009B5F98"/>
    <w:rsid w:val="009B6DBD"/>
    <w:rsid w:val="009C108A"/>
    <w:rsid w:val="009C2E47"/>
    <w:rsid w:val="009C3766"/>
    <w:rsid w:val="009C45EE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20AA"/>
    <w:rsid w:val="00A24016"/>
    <w:rsid w:val="00A265BF"/>
    <w:rsid w:val="00A26F44"/>
    <w:rsid w:val="00A34E80"/>
    <w:rsid w:val="00A34FAB"/>
    <w:rsid w:val="00A42C43"/>
    <w:rsid w:val="00A4313D"/>
    <w:rsid w:val="00A50120"/>
    <w:rsid w:val="00A51745"/>
    <w:rsid w:val="00A54EFD"/>
    <w:rsid w:val="00A60351"/>
    <w:rsid w:val="00A61C6D"/>
    <w:rsid w:val="00A63015"/>
    <w:rsid w:val="00A6387B"/>
    <w:rsid w:val="00A6482F"/>
    <w:rsid w:val="00A66254"/>
    <w:rsid w:val="00A678B4"/>
    <w:rsid w:val="00A704A3"/>
    <w:rsid w:val="00A711AF"/>
    <w:rsid w:val="00A7516F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89B"/>
    <w:rsid w:val="00AA2FBE"/>
    <w:rsid w:val="00AB1A2E"/>
    <w:rsid w:val="00AB328A"/>
    <w:rsid w:val="00AB4918"/>
    <w:rsid w:val="00AB4BC8"/>
    <w:rsid w:val="00AB6BA7"/>
    <w:rsid w:val="00AB7BE8"/>
    <w:rsid w:val="00AD0710"/>
    <w:rsid w:val="00AD4DB9"/>
    <w:rsid w:val="00AD4ED3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7DB3"/>
    <w:rsid w:val="00B304E7"/>
    <w:rsid w:val="00B318B6"/>
    <w:rsid w:val="00B33360"/>
    <w:rsid w:val="00B3499B"/>
    <w:rsid w:val="00B356B7"/>
    <w:rsid w:val="00B36E65"/>
    <w:rsid w:val="00B41D57"/>
    <w:rsid w:val="00B41F47"/>
    <w:rsid w:val="00B44468"/>
    <w:rsid w:val="00B60AC9"/>
    <w:rsid w:val="00B660D6"/>
    <w:rsid w:val="00B67323"/>
    <w:rsid w:val="00B6797B"/>
    <w:rsid w:val="00B715F2"/>
    <w:rsid w:val="00B74071"/>
    <w:rsid w:val="00B7428E"/>
    <w:rsid w:val="00B74B67"/>
    <w:rsid w:val="00B74F00"/>
    <w:rsid w:val="00B75580"/>
    <w:rsid w:val="00B779AA"/>
    <w:rsid w:val="00B80A44"/>
    <w:rsid w:val="00B80C30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11C3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5197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03F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FCE"/>
    <w:rsid w:val="00C56F31"/>
    <w:rsid w:val="00C57A81"/>
    <w:rsid w:val="00C57E3B"/>
    <w:rsid w:val="00C60193"/>
    <w:rsid w:val="00C6252A"/>
    <w:rsid w:val="00C6342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EE7"/>
    <w:rsid w:val="00CC1E65"/>
    <w:rsid w:val="00CC567A"/>
    <w:rsid w:val="00CD33E5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6FA"/>
    <w:rsid w:val="00D42DCB"/>
    <w:rsid w:val="00D44B9C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90B"/>
    <w:rsid w:val="00D97E7D"/>
    <w:rsid w:val="00DA2A06"/>
    <w:rsid w:val="00DA32CC"/>
    <w:rsid w:val="00DB1C8C"/>
    <w:rsid w:val="00DB3439"/>
    <w:rsid w:val="00DB3618"/>
    <w:rsid w:val="00DB468A"/>
    <w:rsid w:val="00DC2946"/>
    <w:rsid w:val="00DC4340"/>
    <w:rsid w:val="00DC5152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1068"/>
    <w:rsid w:val="00DF18CE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2CC8"/>
    <w:rsid w:val="00E14C47"/>
    <w:rsid w:val="00E22611"/>
    <w:rsid w:val="00E22698"/>
    <w:rsid w:val="00E25B7C"/>
    <w:rsid w:val="00E3076B"/>
    <w:rsid w:val="00E33224"/>
    <w:rsid w:val="00E3725B"/>
    <w:rsid w:val="00E434D1"/>
    <w:rsid w:val="00E56CBB"/>
    <w:rsid w:val="00E579A6"/>
    <w:rsid w:val="00E602B5"/>
    <w:rsid w:val="00E61950"/>
    <w:rsid w:val="00E61E51"/>
    <w:rsid w:val="00E6527C"/>
    <w:rsid w:val="00E6552A"/>
    <w:rsid w:val="00E65731"/>
    <w:rsid w:val="00E6707D"/>
    <w:rsid w:val="00E70337"/>
    <w:rsid w:val="00E70E7C"/>
    <w:rsid w:val="00E71313"/>
    <w:rsid w:val="00E71A29"/>
    <w:rsid w:val="00E72606"/>
    <w:rsid w:val="00E73C3E"/>
    <w:rsid w:val="00E74050"/>
    <w:rsid w:val="00E82496"/>
    <w:rsid w:val="00E834CD"/>
    <w:rsid w:val="00E846DC"/>
    <w:rsid w:val="00E84E9D"/>
    <w:rsid w:val="00E85C49"/>
    <w:rsid w:val="00E86CEE"/>
    <w:rsid w:val="00E935AF"/>
    <w:rsid w:val="00EA6C9A"/>
    <w:rsid w:val="00EB0E20"/>
    <w:rsid w:val="00EB1682"/>
    <w:rsid w:val="00EB1A80"/>
    <w:rsid w:val="00EB3D41"/>
    <w:rsid w:val="00EB457B"/>
    <w:rsid w:val="00EC27E1"/>
    <w:rsid w:val="00EC3E4B"/>
    <w:rsid w:val="00EC47C4"/>
    <w:rsid w:val="00EC4E5B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611F"/>
    <w:rsid w:val="00F16CFC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6E4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7032"/>
    <w:rsid w:val="00FA06FD"/>
    <w:rsid w:val="00FA515B"/>
    <w:rsid w:val="00FA6B90"/>
    <w:rsid w:val="00FA70F9"/>
    <w:rsid w:val="00FA74CB"/>
    <w:rsid w:val="00FB207A"/>
    <w:rsid w:val="00FB2886"/>
    <w:rsid w:val="00FB466E"/>
    <w:rsid w:val="00FB50C0"/>
    <w:rsid w:val="00FB6AC8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C9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48B0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745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extkrperFachinformation">
    <w:name w:val="TextkörperFachinformation"/>
    <w:basedOn w:val="Normln"/>
    <w:link w:val="TextkrperFachinformationChar"/>
    <w:rsid w:val="0071271C"/>
    <w:pPr>
      <w:jc w:val="both"/>
    </w:pPr>
    <w:rPr>
      <w:snapToGrid w:val="0"/>
      <w:lang w:eastAsia="cs-CZ" w:bidi="cs-CZ"/>
    </w:rPr>
  </w:style>
  <w:style w:type="character" w:customStyle="1" w:styleId="TextkrperFachinformationChar">
    <w:name w:val="TextkörperFachinformation Char"/>
    <w:link w:val="TextkrperFachinformation"/>
    <w:rsid w:val="0071271C"/>
    <w:rPr>
      <w:snapToGrid w:val="0"/>
      <w:sz w:val="22"/>
      <w:lang w:eastAsia="cs-CZ" w:bidi="cs-CZ"/>
    </w:rPr>
  </w:style>
  <w:style w:type="numbering" w:customStyle="1" w:styleId="GliederungSPC">
    <w:name w:val="Gliederung SPC"/>
    <w:basedOn w:val="Bezseznamu"/>
    <w:rsid w:val="0071271C"/>
    <w:pPr>
      <w:numPr>
        <w:numId w:val="41"/>
      </w:numPr>
    </w:pPr>
  </w:style>
  <w:style w:type="paragraph" w:customStyle="1" w:styleId="berschriftFachinfo1">
    <w:name w:val="ÜberschriftFachinfo1"/>
    <w:basedOn w:val="Nadpis1"/>
    <w:rsid w:val="0071271C"/>
    <w:pPr>
      <w:keepNext/>
      <w:numPr>
        <w:numId w:val="41"/>
      </w:numPr>
      <w:spacing w:before="360" w:after="60" w:line="240" w:lineRule="auto"/>
    </w:pPr>
    <w:rPr>
      <w:rFonts w:cs="Arial"/>
      <w:bCs/>
      <w:snapToGrid w:val="0"/>
      <w:kern w:val="32"/>
      <w:sz w:val="22"/>
      <w:szCs w:val="22"/>
      <w:lang w:eastAsia="cs-CZ" w:bidi="cs-CZ"/>
    </w:rPr>
  </w:style>
  <w:style w:type="paragraph" w:customStyle="1" w:styleId="berschriftFachInfo2">
    <w:name w:val="ÜberschriftFachInfo2"/>
    <w:basedOn w:val="berschriftFachinfo1"/>
    <w:next w:val="TextkrperFachinformation"/>
    <w:rsid w:val="0071271C"/>
    <w:pPr>
      <w:numPr>
        <w:ilvl w:val="1"/>
      </w:numPr>
      <w:spacing w:after="0"/>
    </w:pPr>
    <w:rPr>
      <w:caps w:val="0"/>
    </w:rPr>
  </w:style>
  <w:style w:type="paragraph" w:customStyle="1" w:styleId="berschriftFachInfo3">
    <w:name w:val="ÜberschriftFachInfo3"/>
    <w:basedOn w:val="berschriftFachInfo2"/>
    <w:next w:val="TextkrperFachinformation"/>
    <w:rsid w:val="0071271C"/>
    <w:pPr>
      <w:numPr>
        <w:ilvl w:val="2"/>
      </w:numPr>
      <w:tabs>
        <w:tab w:val="clear" w:pos="567"/>
      </w:tabs>
      <w:spacing w:before="120"/>
    </w:pPr>
    <w:rPr>
      <w:noProof/>
    </w:rPr>
  </w:style>
  <w:style w:type="paragraph" w:customStyle="1" w:styleId="TextkrperGebrauchsinformation">
    <w:name w:val="TextkörperGebrauchsinformation"/>
    <w:basedOn w:val="Normln"/>
    <w:link w:val="TextkrperGebrauchsinformationChar"/>
    <w:rsid w:val="003D7C36"/>
    <w:pPr>
      <w:jc w:val="both"/>
    </w:pPr>
    <w:rPr>
      <w:snapToGrid w:val="0"/>
      <w:lang w:eastAsia="cs-CZ" w:bidi="cs-CZ"/>
    </w:rPr>
  </w:style>
  <w:style w:type="character" w:customStyle="1" w:styleId="TextkrperGebrauchsinformationChar">
    <w:name w:val="TextkörperGebrauchsinformation Char"/>
    <w:link w:val="TextkrperGebrauchsinformation"/>
    <w:rsid w:val="003D7C36"/>
    <w:rPr>
      <w:snapToGrid w:val="0"/>
      <w:sz w:val="22"/>
      <w:lang w:eastAsia="cs-CZ" w:bidi="cs-CZ"/>
    </w:rPr>
  </w:style>
  <w:style w:type="character" w:styleId="Nevyeenzmnka">
    <w:name w:val="Unresolved Mention"/>
    <w:basedOn w:val="Standardnpsmoodstavce"/>
    <w:rsid w:val="00E60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9599-3446-4E96-9FBA-63230030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1105</Words>
  <Characters>6522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103</cp:revision>
  <cp:lastPrinted>2023-08-04T05:35:00Z</cp:lastPrinted>
  <dcterms:created xsi:type="dcterms:W3CDTF">2023-06-05T11:00:00Z</dcterms:created>
  <dcterms:modified xsi:type="dcterms:W3CDTF">2023-08-04T05:35:00Z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