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2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5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0E712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7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0E712A8" w14:textId="77777777" w:rsidR="00C114FF" w:rsidRPr="00B41D57" w:rsidRDefault="00273FA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0E712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FD221D" w14:textId="77777777" w:rsidR="004E1290" w:rsidRPr="00DB7712" w:rsidRDefault="004E1290" w:rsidP="004E1290">
      <w:pPr>
        <w:spacing w:line="240" w:lineRule="auto"/>
        <w:rPr>
          <w:bCs/>
        </w:rPr>
      </w:pPr>
      <w:proofErr w:type="spellStart"/>
      <w:r w:rsidRPr="00DB7712">
        <w:t>Tialin</w:t>
      </w:r>
      <w:proofErr w:type="spellEnd"/>
      <w:r w:rsidRPr="00DB7712">
        <w:t xml:space="preserve"> 125 mg/ml roztok pro podání v pitné vodě pro </w:t>
      </w:r>
      <w:r w:rsidRPr="00DB7712">
        <w:rPr>
          <w:bCs/>
        </w:rPr>
        <w:t>prasata, kur</w:t>
      </w:r>
      <w:r>
        <w:rPr>
          <w:bCs/>
        </w:rPr>
        <w:t>a</w:t>
      </w:r>
      <w:r w:rsidRPr="00DB7712">
        <w:rPr>
          <w:bCs/>
        </w:rPr>
        <w:t xml:space="preserve"> domácí</w:t>
      </w:r>
      <w:r>
        <w:rPr>
          <w:bCs/>
        </w:rPr>
        <w:t>ho</w:t>
      </w:r>
      <w:r w:rsidRPr="00DB7712">
        <w:rPr>
          <w:bCs/>
        </w:rPr>
        <w:t xml:space="preserve"> a krůty</w:t>
      </w:r>
    </w:p>
    <w:p w14:paraId="10E712AC" w14:textId="0443AC7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3D49AC" w14:textId="77777777" w:rsidR="00B6626F" w:rsidRPr="00B41D57" w:rsidRDefault="00B662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D" w14:textId="77777777" w:rsidR="00C114FF" w:rsidRPr="00B41D57" w:rsidRDefault="00273FA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0E712AE" w14:textId="41C88FC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08C38" w14:textId="4ED9A613" w:rsidR="00BB26BC" w:rsidRPr="00603269" w:rsidRDefault="009C4C63" w:rsidP="00BB26BC">
      <w:pPr>
        <w:spacing w:line="240" w:lineRule="auto"/>
      </w:pPr>
      <w:r w:rsidRPr="009C4C63">
        <w:rPr>
          <w:u w:val="single"/>
        </w:rPr>
        <w:t>Každý</w:t>
      </w:r>
      <w:r w:rsidR="00BB26BC">
        <w:rPr>
          <w:u w:val="single"/>
        </w:rPr>
        <w:t xml:space="preserve"> ml obsahuje</w:t>
      </w:r>
      <w:r w:rsidR="00BB26BC">
        <w:t>:</w:t>
      </w:r>
    </w:p>
    <w:p w14:paraId="3F6FFE89" w14:textId="77777777" w:rsidR="00BB26BC" w:rsidRPr="007F29AA" w:rsidRDefault="00BB26BC" w:rsidP="00BB26BC">
      <w:pPr>
        <w:spacing w:line="240" w:lineRule="auto"/>
        <w:rPr>
          <w:b/>
        </w:rPr>
      </w:pPr>
    </w:p>
    <w:p w14:paraId="46849E78" w14:textId="77777777" w:rsidR="00BB26BC" w:rsidRPr="00603269" w:rsidRDefault="00BB26BC" w:rsidP="00BB26BC">
      <w:pPr>
        <w:spacing w:line="240" w:lineRule="auto"/>
      </w:pPr>
      <w:r>
        <w:rPr>
          <w:b/>
        </w:rPr>
        <w:t>Léčivá látka:</w:t>
      </w:r>
    </w:p>
    <w:p w14:paraId="68C02D1F" w14:textId="0EC513ED" w:rsidR="00BB26BC" w:rsidRPr="00603269" w:rsidRDefault="00BB26BC" w:rsidP="00BB26BC">
      <w:pPr>
        <w:spacing w:line="240" w:lineRule="auto"/>
      </w:pPr>
    </w:p>
    <w:p w14:paraId="2F8FDBB3" w14:textId="5BB014F3" w:rsidR="00BB26BC" w:rsidRPr="00603269" w:rsidRDefault="00BD72E1" w:rsidP="00BB26BC">
      <w:pPr>
        <w:spacing w:line="240" w:lineRule="auto"/>
      </w:pPr>
      <w:proofErr w:type="spellStart"/>
      <w:r>
        <w:t>Tiamulinum</w:t>
      </w:r>
      <w:proofErr w:type="spellEnd"/>
      <w:r>
        <w:t xml:space="preserve"> </w:t>
      </w:r>
      <w:r w:rsidR="00BB26BC">
        <w:t xml:space="preserve">101,2 </w:t>
      </w:r>
      <w:proofErr w:type="gramStart"/>
      <w:r w:rsidR="00BB26BC">
        <w:t xml:space="preserve">mg </w:t>
      </w:r>
      <w:r w:rsidR="009C4C63">
        <w:t>,</w:t>
      </w:r>
      <w:proofErr w:type="gramEnd"/>
      <w:r w:rsidR="009C4C63">
        <w:t xml:space="preserve"> odpovídá 125,0 mg </w:t>
      </w:r>
      <w:proofErr w:type="spellStart"/>
      <w:r w:rsidR="009C4C63">
        <w:t>tiamulini</w:t>
      </w:r>
      <w:proofErr w:type="spellEnd"/>
      <w:r w:rsidR="009C4C63">
        <w:t xml:space="preserve"> </w:t>
      </w:r>
      <w:proofErr w:type="spellStart"/>
      <w:r w:rsidR="009C4C63">
        <w:t>hydrogenofumaras</w:t>
      </w:r>
      <w:proofErr w:type="spellEnd"/>
    </w:p>
    <w:p w14:paraId="3CEC28E9" w14:textId="77777777" w:rsidR="00BB26BC" w:rsidRPr="007F29AA" w:rsidRDefault="00BB26BC" w:rsidP="00BB26BC">
      <w:pPr>
        <w:spacing w:line="240" w:lineRule="auto"/>
        <w:rPr>
          <w:iCs/>
        </w:rPr>
      </w:pPr>
    </w:p>
    <w:p w14:paraId="10E712B4" w14:textId="161051A7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DF60ED" w14:paraId="10E712B7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5" w14:textId="0719DE37" w:rsidR="00872C48" w:rsidRPr="00B41D57" w:rsidRDefault="00273FA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B6" w14:textId="05B2BC98" w:rsidR="00872C48" w:rsidRPr="00B41D57" w:rsidRDefault="00273FA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BD72E1" w14:paraId="3D11ADD0" w14:textId="77777777" w:rsidTr="00C528D1">
        <w:tc>
          <w:tcPr>
            <w:tcW w:w="4544" w:type="dxa"/>
            <w:shd w:val="clear" w:color="auto" w:fill="auto"/>
            <w:vAlign w:val="center"/>
          </w:tcPr>
          <w:p w14:paraId="7A3E0511" w14:textId="787BF16C" w:rsidR="00BD72E1" w:rsidRDefault="00BD72E1" w:rsidP="00BD72E1">
            <w:pPr>
              <w:spacing w:before="60" w:after="60"/>
              <w:ind w:left="567" w:hanging="567"/>
            </w:pPr>
            <w:proofErr w:type="spellStart"/>
            <w:r w:rsidRPr="00DB7712">
              <w:t>Et</w:t>
            </w:r>
            <w:r>
              <w:t>h</w:t>
            </w:r>
            <w:r w:rsidRPr="00DB7712">
              <w:t>anol</w:t>
            </w:r>
            <w:proofErr w:type="spellEnd"/>
            <w:r w:rsidRPr="00DB7712">
              <w:t xml:space="preserve"> 96 %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85557AF" w14:textId="45E9C461" w:rsidR="00BD72E1" w:rsidRDefault="00BD72E1" w:rsidP="00BD72E1">
            <w:pPr>
              <w:spacing w:before="60" w:after="60"/>
            </w:pPr>
            <w:r>
              <w:rPr>
                <w:iCs/>
                <w:szCs w:val="22"/>
              </w:rPr>
              <w:t>100,0 mg</w:t>
            </w:r>
          </w:p>
        </w:tc>
      </w:tr>
      <w:tr w:rsidR="00BD72E1" w14:paraId="10E712BA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8" w14:textId="1DA86E50" w:rsidR="00BD72E1" w:rsidRPr="00B41D57" w:rsidRDefault="00BD72E1" w:rsidP="00BD72E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>
              <w:t>Methylparaben</w:t>
            </w:r>
            <w:proofErr w:type="spellEnd"/>
            <w:r>
              <w:t xml:space="preserve"> (E 218)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B9" w14:textId="34F9CC51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  <w:r>
              <w:t>0,9 mg</w:t>
            </w:r>
          </w:p>
        </w:tc>
      </w:tr>
      <w:tr w:rsidR="00BD72E1" w14:paraId="10E712BD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B" w14:textId="0438B6BC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Propylparaben</w:t>
            </w:r>
            <w:proofErr w:type="spellEnd"/>
          </w:p>
        </w:tc>
        <w:tc>
          <w:tcPr>
            <w:tcW w:w="4517" w:type="dxa"/>
            <w:shd w:val="clear" w:color="auto" w:fill="auto"/>
            <w:vAlign w:val="center"/>
          </w:tcPr>
          <w:p w14:paraId="10E712BC" w14:textId="6E2002A2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  <w:r>
              <w:t>0,1 mg</w:t>
            </w:r>
          </w:p>
        </w:tc>
      </w:tr>
      <w:tr w:rsidR="00BD72E1" w14:paraId="10E712C0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E" w14:textId="23A2F1B1" w:rsidR="00BD72E1" w:rsidRPr="00C528D1" w:rsidRDefault="00BD72E1" w:rsidP="00BD72E1">
            <w:pPr>
              <w:spacing w:line="240" w:lineRule="auto"/>
              <w:rPr>
                <w:b/>
              </w:rPr>
            </w:pPr>
            <w:proofErr w:type="spellStart"/>
            <w:r>
              <w:t>Monohydrát</w:t>
            </w:r>
            <w:proofErr w:type="spellEnd"/>
            <w:r>
              <w:t xml:space="preserve"> kyseliny citronové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BF" w14:textId="77777777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</w:p>
        </w:tc>
      </w:tr>
      <w:tr w:rsidR="00BD72E1" w14:paraId="10E712C3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C1" w14:textId="71F4DFAB" w:rsidR="00BD72E1" w:rsidRPr="00C528D1" w:rsidRDefault="00BD72E1" w:rsidP="00BD72E1">
            <w:pPr>
              <w:spacing w:line="240" w:lineRule="auto"/>
              <w:rPr>
                <w:b/>
              </w:rPr>
            </w:pPr>
            <w:proofErr w:type="spellStart"/>
            <w:r>
              <w:t>D</w:t>
            </w:r>
            <w:r w:rsidRPr="00DB7712">
              <w:t>ihydrát</w:t>
            </w:r>
            <w:proofErr w:type="spellEnd"/>
            <w:r w:rsidRPr="00DB7712">
              <w:t xml:space="preserve"> </w:t>
            </w:r>
            <w:proofErr w:type="spellStart"/>
            <w:r>
              <w:t>h</w:t>
            </w:r>
            <w:r w:rsidRPr="00DB7712">
              <w:t>ydrogenfosforečnan</w:t>
            </w:r>
            <w:r>
              <w:t>u</w:t>
            </w:r>
            <w:proofErr w:type="spellEnd"/>
            <w:r w:rsidRPr="00DB7712">
              <w:t xml:space="preserve"> </w:t>
            </w:r>
            <w:r>
              <w:t>sodného</w:t>
            </w:r>
            <w:r w:rsidRPr="00DB7712"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C2" w14:textId="77777777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</w:p>
        </w:tc>
      </w:tr>
      <w:tr w:rsidR="00BD72E1" w14:paraId="3D51F05F" w14:textId="77777777" w:rsidTr="00C528D1">
        <w:tc>
          <w:tcPr>
            <w:tcW w:w="4544" w:type="dxa"/>
            <w:shd w:val="clear" w:color="auto" w:fill="auto"/>
            <w:vAlign w:val="center"/>
          </w:tcPr>
          <w:p w14:paraId="60FFF436" w14:textId="3ACA2FE5" w:rsidR="00BD72E1" w:rsidRPr="00DB7712" w:rsidRDefault="00BD72E1" w:rsidP="00BD72E1">
            <w:pPr>
              <w:spacing w:line="240" w:lineRule="auto"/>
            </w:pPr>
            <w:r w:rsidRPr="00DB7712">
              <w:t>Čištěná voda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648AE42" w14:textId="77777777" w:rsidR="00BD72E1" w:rsidRPr="00B41D57" w:rsidRDefault="00BD72E1" w:rsidP="00BD72E1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0E712C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D6842" w14:textId="3800CB4F" w:rsidR="00C528D1" w:rsidRPr="00603269" w:rsidRDefault="00C528D1" w:rsidP="00C528D1">
      <w:pPr>
        <w:spacing w:line="240" w:lineRule="auto"/>
        <w:rPr>
          <w:b/>
          <w:bCs/>
        </w:rPr>
      </w:pPr>
      <w:r>
        <w:rPr>
          <w:bCs/>
        </w:rPr>
        <w:t>Čirý bezbarvý až světle žlutý roztok.</w:t>
      </w:r>
    </w:p>
    <w:p w14:paraId="10E712C8" w14:textId="5140148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60CFCC" w14:textId="77777777" w:rsidR="00B6626F" w:rsidRPr="00B41D57" w:rsidRDefault="00B662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C9" w14:textId="77777777" w:rsidR="00C114FF" w:rsidRPr="00B41D57" w:rsidRDefault="00273FA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0E712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CB" w14:textId="77777777" w:rsidR="00C114FF" w:rsidRPr="00B41D57" w:rsidRDefault="00273FA6" w:rsidP="00D021E9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10E712CC" w14:textId="04587637" w:rsidR="00C114FF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BBC437" w14:textId="3883AA95" w:rsidR="00C84466" w:rsidRPr="00C84466" w:rsidRDefault="00C84466" w:rsidP="00D021E9">
      <w:pPr>
        <w:spacing w:line="240" w:lineRule="auto"/>
        <w:jc w:val="both"/>
        <w:rPr>
          <w:bCs/>
        </w:rPr>
      </w:pPr>
      <w:r w:rsidRPr="00DB7712">
        <w:rPr>
          <w:bCs/>
        </w:rPr>
        <w:t>Prasata, kur domácí</w:t>
      </w:r>
      <w:r w:rsidRPr="00DB7712">
        <w:t xml:space="preserve"> </w:t>
      </w:r>
      <w:r w:rsidRPr="00DB7712">
        <w:rPr>
          <w:bCs/>
        </w:rPr>
        <w:t>(kuřice, chovné slepice, nosnice) a krůty (chovné krůty, nosnice).</w:t>
      </w:r>
      <w:r>
        <w:t xml:space="preserve"> </w:t>
      </w:r>
    </w:p>
    <w:p w14:paraId="262213A5" w14:textId="77777777" w:rsidR="00C84466" w:rsidRPr="00B41D57" w:rsidRDefault="00C84466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2CD" w14:textId="77777777" w:rsidR="00C114FF" w:rsidRPr="00B41D57" w:rsidRDefault="00273FA6" w:rsidP="00D021E9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0E712CE" w14:textId="77777777" w:rsidR="00C114FF" w:rsidRPr="00B41D57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508B60" w14:textId="480593E0" w:rsidR="00C84466" w:rsidRPr="00603269" w:rsidRDefault="00C84466" w:rsidP="00D021E9">
      <w:pPr>
        <w:spacing w:line="240" w:lineRule="auto"/>
        <w:jc w:val="both"/>
        <w:rPr>
          <w:u w:val="single"/>
        </w:rPr>
      </w:pPr>
      <w:r>
        <w:rPr>
          <w:u w:val="single"/>
        </w:rPr>
        <w:t>Prasata</w:t>
      </w:r>
      <w:r w:rsidRPr="00C84466">
        <w:t>:</w:t>
      </w:r>
    </w:p>
    <w:p w14:paraId="7DFF84AD" w14:textId="77777777" w:rsidR="00C84466" w:rsidRPr="00603269" w:rsidRDefault="00C84466" w:rsidP="00D021E9">
      <w:pPr>
        <w:numPr>
          <w:ilvl w:val="0"/>
          <w:numId w:val="41"/>
        </w:numPr>
        <w:spacing w:line="240" w:lineRule="auto"/>
        <w:contextualSpacing/>
        <w:jc w:val="both"/>
        <w:rPr>
          <w:u w:val="single"/>
        </w:rPr>
      </w:pPr>
      <w:r>
        <w:t xml:space="preserve">Léčba dyzentérie prasat </w:t>
      </w:r>
      <w:r w:rsidRPr="000F243B">
        <w:t>vyvolan</w:t>
      </w:r>
      <w:r w:rsidRPr="00AB451A">
        <w:t>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hyodysenteriae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 xml:space="preserve">. </w:t>
      </w:r>
    </w:p>
    <w:p w14:paraId="4E91DC24" w14:textId="1D36FB28" w:rsidR="00C84466" w:rsidRPr="00603269" w:rsidRDefault="00C84466" w:rsidP="00D021E9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spirochetózy tlustého střeva prasat (kolitidy)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pilosicoli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4CB739E7" w14:textId="488D693C" w:rsidR="00C84466" w:rsidRPr="00603269" w:rsidRDefault="00C84466" w:rsidP="00D021E9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</w:t>
      </w:r>
      <w:proofErr w:type="spellStart"/>
      <w:r w:rsidRPr="00DB7712">
        <w:t>proliferativní</w:t>
      </w:r>
      <w:proofErr w:type="spellEnd"/>
      <w:r w:rsidRPr="00DB7712">
        <w:t xml:space="preserve"> </w:t>
      </w:r>
      <w:proofErr w:type="spellStart"/>
      <w:r w:rsidRPr="00DB7712">
        <w:t>enteropatie</w:t>
      </w:r>
      <w:proofErr w:type="spellEnd"/>
      <w:r w:rsidRPr="00DB7712">
        <w:t xml:space="preserve"> prasat (ileitidy) </w:t>
      </w:r>
      <w:r w:rsidRPr="00672E36">
        <w:t>vyvolané</w:t>
      </w:r>
      <w:r>
        <w:t xml:space="preserve"> zárodky</w:t>
      </w:r>
      <w:r w:rsidR="00685BE8"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Lawsonia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intracellularis</w:t>
      </w:r>
      <w:proofErr w:type="spellEnd"/>
      <w:r w:rsidRPr="00DB7712">
        <w:t xml:space="preserve"> </w:t>
      </w:r>
      <w:r>
        <w:t xml:space="preserve">citlivými k </w:t>
      </w:r>
      <w:proofErr w:type="spellStart"/>
      <w:r>
        <w:t>tiamulinu</w:t>
      </w:r>
      <w:proofErr w:type="spellEnd"/>
      <w:r>
        <w:t>.</w:t>
      </w:r>
    </w:p>
    <w:p w14:paraId="2C35312E" w14:textId="740B04F3" w:rsidR="00C84466" w:rsidRPr="00603269" w:rsidRDefault="00C84466" w:rsidP="00D021E9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a </w:t>
      </w:r>
      <w:proofErr w:type="spellStart"/>
      <w:r>
        <w:t>metafylaxe</w:t>
      </w:r>
      <w:proofErr w:type="spellEnd"/>
      <w:r>
        <w:t xml:space="preserve"> enzootické pneumonie prasat </w:t>
      </w:r>
      <w:r w:rsidRPr="00672E36">
        <w:t>vyvolané</w:t>
      </w:r>
      <w:r w:rsidDel="00D55EDD">
        <w:t xml:space="preserve"> </w:t>
      </w:r>
      <w:r>
        <w:t>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hyopneumoniae</w:t>
      </w:r>
      <w:proofErr w:type="spellEnd"/>
      <w:r>
        <w:t xml:space="preserve"> včetně infekcí komplikovaných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Pasteurella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multocida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0FAC7885" w14:textId="0C1E29CC" w:rsidR="00C84466" w:rsidRPr="00DB7712" w:rsidRDefault="00C84466" w:rsidP="00D021E9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pleuropneumonie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Actinobacillus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pleuropneumoniae</w:t>
      </w:r>
      <w:proofErr w:type="spellEnd"/>
      <w:r w:rsidRPr="00DB7712">
        <w:t xml:space="preserve"> </w:t>
      </w:r>
      <w:r>
        <w:t xml:space="preserve">citlivými </w:t>
      </w:r>
      <w:r w:rsidR="001316F7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669852BE" w14:textId="77777777" w:rsidR="00C84466" w:rsidRPr="00DB7712" w:rsidRDefault="00C84466" w:rsidP="00D021E9">
      <w:pPr>
        <w:spacing w:line="240" w:lineRule="auto"/>
        <w:jc w:val="both"/>
        <w:rPr>
          <w:u w:val="single"/>
        </w:rPr>
      </w:pPr>
    </w:p>
    <w:p w14:paraId="4D1189DA" w14:textId="5945FB25" w:rsidR="00C84466" w:rsidRPr="006457FE" w:rsidRDefault="00C84466" w:rsidP="00D021E9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9C4C63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ve stádě.</w:t>
      </w:r>
    </w:p>
    <w:p w14:paraId="61DCBE65" w14:textId="77777777" w:rsidR="00C84466" w:rsidRPr="00DB7712" w:rsidRDefault="00C84466" w:rsidP="00D021E9">
      <w:pPr>
        <w:spacing w:line="240" w:lineRule="auto"/>
        <w:jc w:val="both"/>
        <w:rPr>
          <w:u w:val="single"/>
        </w:rPr>
      </w:pPr>
    </w:p>
    <w:p w14:paraId="34E2483D" w14:textId="1906C913" w:rsidR="00C84466" w:rsidRPr="00DB7712" w:rsidRDefault="00C84466" w:rsidP="00D021E9">
      <w:pPr>
        <w:spacing w:line="240" w:lineRule="auto"/>
        <w:jc w:val="both"/>
        <w:rPr>
          <w:u w:val="single"/>
        </w:rPr>
      </w:pPr>
      <w:r w:rsidRPr="00DB7712">
        <w:rPr>
          <w:u w:val="single"/>
        </w:rPr>
        <w:t>Kur domácí</w:t>
      </w:r>
      <w:r w:rsidRPr="00C84466">
        <w:t>:</w:t>
      </w:r>
    </w:p>
    <w:p w14:paraId="67FA100B" w14:textId="5E7CDECC" w:rsidR="00C84466" w:rsidRPr="00DB7712" w:rsidRDefault="00C84466" w:rsidP="00D021E9">
      <w:pPr>
        <w:spacing w:line="240" w:lineRule="auto"/>
        <w:jc w:val="both"/>
      </w:pPr>
      <w:r w:rsidRPr="00DB7712">
        <w:t xml:space="preserve">Léčba a </w:t>
      </w:r>
      <w:proofErr w:type="spellStart"/>
      <w:r w:rsidRPr="00DB7712">
        <w:t>metafylaxe</w:t>
      </w:r>
      <w:proofErr w:type="spellEnd"/>
      <w:r w:rsidRPr="00DB7712">
        <w:t xml:space="preserve"> chronické respirační </w:t>
      </w:r>
      <w:r>
        <w:t>nemoci</w:t>
      </w:r>
      <w:r w:rsidRPr="00DB7712">
        <w:t xml:space="preserve"> </w:t>
      </w:r>
      <w:r w:rsidRPr="00672E36">
        <w:t>vyvolané</w:t>
      </w:r>
      <w:r>
        <w:t xml:space="preserve"> zárodky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gallisepticum</w:t>
      </w:r>
      <w:proofErr w:type="spellEnd"/>
      <w:r w:rsidRPr="00DB7712">
        <w:t xml:space="preserve"> </w:t>
      </w:r>
      <w:r w:rsidR="001316F7" w:rsidRPr="00DB7712">
        <w:t>a</w:t>
      </w:r>
      <w:r w:rsidR="001316F7">
        <w:t> </w:t>
      </w:r>
      <w:proofErr w:type="spellStart"/>
      <w:r w:rsidRPr="00DB7712">
        <w:t>aerosakulitidy</w:t>
      </w:r>
      <w:proofErr w:type="spellEnd"/>
      <w:r w:rsidRPr="00DB7712">
        <w:t xml:space="preserve"> a infekční synovitidy </w:t>
      </w:r>
      <w:r w:rsidRPr="00672E36">
        <w:t>vyvolan</w:t>
      </w:r>
      <w:r>
        <w:t>ých zárodky</w:t>
      </w:r>
      <w:r w:rsidRPr="00DB7712">
        <w:t xml:space="preserve">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7F466590" w14:textId="77777777" w:rsidR="00C84466" w:rsidRPr="00DB7712" w:rsidRDefault="00C84466" w:rsidP="00D021E9">
      <w:pPr>
        <w:spacing w:line="240" w:lineRule="auto"/>
        <w:jc w:val="both"/>
        <w:rPr>
          <w:u w:val="single"/>
        </w:rPr>
      </w:pPr>
    </w:p>
    <w:p w14:paraId="4AB330E9" w14:textId="121D47EC" w:rsidR="00C84466" w:rsidRDefault="00C84466" w:rsidP="00D021E9">
      <w:pPr>
        <w:spacing w:line="240" w:lineRule="auto"/>
        <w:jc w:val="both"/>
      </w:pPr>
      <w:r w:rsidRPr="00DB7712">
        <w:rPr>
          <w:bCs/>
        </w:rPr>
        <w:t xml:space="preserve">Před použitím </w:t>
      </w:r>
      <w:bookmarkStart w:id="0" w:name="_Hlk136332443"/>
      <w:r w:rsidR="009C4C63" w:rsidRPr="009C4C63">
        <w:rPr>
          <w:bCs/>
        </w:rPr>
        <w:t xml:space="preserve">veterinárního léčivého </w:t>
      </w:r>
      <w:bookmarkEnd w:id="0"/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085CF28B" w14:textId="77777777" w:rsidR="00BA386E" w:rsidRPr="00F74569" w:rsidRDefault="00BA386E" w:rsidP="00C84466">
      <w:pPr>
        <w:spacing w:line="240" w:lineRule="auto"/>
      </w:pPr>
    </w:p>
    <w:p w14:paraId="4ACE8F6B" w14:textId="62B31369" w:rsidR="00C84466" w:rsidRPr="00603269" w:rsidRDefault="00C84466" w:rsidP="00C84466">
      <w:pPr>
        <w:spacing w:line="240" w:lineRule="auto"/>
        <w:rPr>
          <w:u w:val="single"/>
        </w:rPr>
      </w:pPr>
      <w:r>
        <w:rPr>
          <w:u w:val="single"/>
        </w:rPr>
        <w:t>Krůty</w:t>
      </w:r>
      <w:r w:rsidRPr="00C84466">
        <w:t>:</w:t>
      </w:r>
    </w:p>
    <w:p w14:paraId="7160D0FD" w14:textId="77777777" w:rsidR="00C84466" w:rsidRPr="00DB7712" w:rsidRDefault="00C84466" w:rsidP="00D021E9">
      <w:pPr>
        <w:spacing w:line="240" w:lineRule="auto"/>
        <w:jc w:val="both"/>
      </w:pPr>
      <w:r>
        <w:t xml:space="preserve">Léčba a </w:t>
      </w:r>
      <w:proofErr w:type="spellStart"/>
      <w:r>
        <w:t>metafylaxe</w:t>
      </w:r>
      <w:proofErr w:type="spellEnd"/>
      <w:r>
        <w:t xml:space="preserve"> infekční sinusitidy a </w:t>
      </w:r>
      <w:proofErr w:type="spellStart"/>
      <w:r>
        <w:t>aerosakulitidy</w:t>
      </w:r>
      <w:proofErr w:type="spellEnd"/>
      <w:r>
        <w:t xml:space="preserve"> vyvolaných zárodky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gallisepticum</w:t>
      </w:r>
      <w:proofErr w:type="spellEnd"/>
      <w:r>
        <w:t xml:space="preserve">,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a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meleagridis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2A3E60F0" w14:textId="77777777" w:rsidR="00C84466" w:rsidRPr="00DB7712" w:rsidRDefault="00C84466" w:rsidP="00D021E9">
      <w:pPr>
        <w:spacing w:line="240" w:lineRule="auto"/>
        <w:jc w:val="both"/>
      </w:pPr>
    </w:p>
    <w:p w14:paraId="10E712D2" w14:textId="5956E6E7" w:rsidR="00E86CEE" w:rsidRDefault="00C84466" w:rsidP="00D021E9">
      <w:pPr>
        <w:tabs>
          <w:tab w:val="clear" w:pos="567"/>
        </w:tabs>
        <w:spacing w:line="240" w:lineRule="auto"/>
        <w:jc w:val="both"/>
      </w:pPr>
      <w:r w:rsidRPr="00DB7712">
        <w:rPr>
          <w:bCs/>
        </w:rPr>
        <w:t xml:space="preserve">Před použitím </w:t>
      </w:r>
      <w:r w:rsidR="009C4C63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15AC6631" w14:textId="77777777" w:rsidR="00C84466" w:rsidRPr="00B41D57" w:rsidRDefault="00C84466" w:rsidP="00C84466">
      <w:pPr>
        <w:tabs>
          <w:tab w:val="clear" w:pos="567"/>
        </w:tabs>
        <w:spacing w:line="240" w:lineRule="auto"/>
        <w:rPr>
          <w:szCs w:val="22"/>
        </w:rPr>
      </w:pPr>
    </w:p>
    <w:p w14:paraId="10E712D3" w14:textId="77777777" w:rsidR="00C114FF" w:rsidRPr="00B41D57" w:rsidRDefault="00273FA6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10E712D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11011E7" w14:textId="3AEB8951" w:rsidR="00C84466" w:rsidRPr="00DB7712" w:rsidRDefault="00C84466" w:rsidP="00C84466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Nepoužívat u prasat a </w:t>
      </w:r>
      <w:r>
        <w:rPr>
          <w:bCs/>
        </w:rPr>
        <w:t>drůbeže</w:t>
      </w:r>
      <w:r w:rsidRPr="00DB7712">
        <w:rPr>
          <w:bCs/>
        </w:rPr>
        <w:t xml:space="preserve">, kteří by mohli dostávat </w:t>
      </w:r>
      <w:r w:rsidR="009C4C63" w:rsidRPr="009C4C63">
        <w:rPr>
          <w:bCs/>
        </w:rPr>
        <w:t xml:space="preserve">veterinární léčivé </w:t>
      </w:r>
      <w:r w:rsidRPr="00DB7712">
        <w:rPr>
          <w:bCs/>
        </w:rPr>
        <w:t>příprav</w:t>
      </w:r>
      <w:r w:rsidR="003A11FD">
        <w:rPr>
          <w:bCs/>
        </w:rPr>
        <w:t>e</w:t>
      </w:r>
      <w:r w:rsidRPr="00DB7712">
        <w:rPr>
          <w:bCs/>
        </w:rPr>
        <w:t xml:space="preserve">k obsahující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</w:t>
      </w:r>
      <w:r>
        <w:rPr>
          <w:bCs/>
        </w:rPr>
        <w:t xml:space="preserve">během léčby nebo </w:t>
      </w:r>
      <w:r w:rsidRPr="00DB7712">
        <w:rPr>
          <w:bCs/>
        </w:rPr>
        <w:t>7 dn</w:t>
      </w:r>
      <w:r>
        <w:rPr>
          <w:bCs/>
        </w:rPr>
        <w:t>ů</w:t>
      </w:r>
      <w:r w:rsidRPr="00DB7712">
        <w:rPr>
          <w:bCs/>
        </w:rPr>
        <w:t xml:space="preserve"> před a 7 dn</w:t>
      </w:r>
      <w:r>
        <w:rPr>
          <w:bCs/>
        </w:rPr>
        <w:t>ů</w:t>
      </w:r>
      <w:r w:rsidRPr="00DB7712">
        <w:rPr>
          <w:bCs/>
        </w:rPr>
        <w:t xml:space="preserve"> po léčbě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. Může dojít </w:t>
      </w:r>
      <w:r w:rsidR="001316F7" w:rsidRPr="00DB7712">
        <w:rPr>
          <w:bCs/>
        </w:rPr>
        <w:t>k</w:t>
      </w:r>
      <w:r w:rsidR="001316F7">
        <w:rPr>
          <w:bCs/>
        </w:rPr>
        <w:t> </w:t>
      </w:r>
      <w:r w:rsidRPr="00DB7712">
        <w:rPr>
          <w:bCs/>
        </w:rPr>
        <w:t>závažnému potlačení růstu nebo úhynu.</w:t>
      </w:r>
    </w:p>
    <w:p w14:paraId="208BA6B5" w14:textId="78FFC389" w:rsidR="00C84466" w:rsidRPr="00DB7712" w:rsidRDefault="00C84466" w:rsidP="00C84466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Nepoužívat v </w:t>
      </w:r>
      <w:r w:rsidR="00FB43B6" w:rsidRPr="00B41D57">
        <w:t>případech</w:t>
      </w:r>
      <w:r w:rsidRPr="00DB7712">
        <w:rPr>
          <w:bCs/>
        </w:rPr>
        <w:t xml:space="preserve"> přecitlivělosti na léčivou látku nebo na některou z pomocných látek.</w:t>
      </w:r>
    </w:p>
    <w:p w14:paraId="288734CA" w14:textId="06FD5A2E" w:rsidR="00C84466" w:rsidRPr="00603269" w:rsidRDefault="00C84466" w:rsidP="00C84466">
      <w:pPr>
        <w:spacing w:line="240" w:lineRule="auto"/>
        <w:jc w:val="both"/>
        <w:rPr>
          <w:b/>
          <w:bCs/>
        </w:rPr>
      </w:pPr>
      <w:r w:rsidRPr="00DB7712">
        <w:rPr>
          <w:bCs/>
        </w:rPr>
        <w:t xml:space="preserve">Viz bod </w:t>
      </w:r>
      <w:r>
        <w:rPr>
          <w:bCs/>
        </w:rPr>
        <w:t>3</w:t>
      </w:r>
      <w:r w:rsidRPr="00DB7712">
        <w:rPr>
          <w:bCs/>
        </w:rPr>
        <w:t xml:space="preserve">.8, pro informace týkající se interakce mezi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a ionofory.</w:t>
      </w:r>
    </w:p>
    <w:p w14:paraId="10E712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D9" w14:textId="77777777" w:rsidR="00C114FF" w:rsidRPr="00B41D57" w:rsidRDefault="00273FA6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10E712D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305C23" w14:textId="77777777" w:rsidR="003D184C" w:rsidRPr="00603269" w:rsidRDefault="003D184C" w:rsidP="003D184C">
      <w:pPr>
        <w:spacing w:line="240" w:lineRule="auto"/>
        <w:jc w:val="both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Prasata se sníženým příjmem vody a/nebo v oslabené kondici je nutné léčit parenterálně.</w:t>
      </w:r>
    </w:p>
    <w:p w14:paraId="664B9449" w14:textId="77777777" w:rsidR="003D184C" w:rsidRPr="00447DEB" w:rsidRDefault="003D184C" w:rsidP="003D184C">
      <w:pPr>
        <w:spacing w:line="240" w:lineRule="auto"/>
        <w:jc w:val="both"/>
      </w:pPr>
    </w:p>
    <w:p w14:paraId="7C84B22C" w14:textId="77777777" w:rsidR="003D184C" w:rsidRPr="00603269" w:rsidRDefault="003D184C" w:rsidP="003D184C">
      <w:pPr>
        <w:spacing w:line="240" w:lineRule="auto"/>
        <w:jc w:val="both"/>
        <w:rPr>
          <w:bCs/>
          <w:snapToGrid w:val="0"/>
          <w:szCs w:val="24"/>
        </w:rPr>
      </w:pPr>
      <w:r w:rsidRPr="00DB7712">
        <w:rPr>
          <w:bCs/>
          <w:snapToGrid w:val="0"/>
          <w:szCs w:val="24"/>
        </w:rPr>
        <w:t xml:space="preserve">Příjem vody u </w:t>
      </w:r>
      <w:r>
        <w:rPr>
          <w:bCs/>
          <w:snapToGrid w:val="0"/>
          <w:szCs w:val="24"/>
        </w:rPr>
        <w:t>drůbeže</w:t>
      </w:r>
      <w:r w:rsidRPr="00DB7712">
        <w:rPr>
          <w:bCs/>
          <w:snapToGrid w:val="0"/>
          <w:szCs w:val="24"/>
        </w:rPr>
        <w:t xml:space="preserve"> je nutné během léčby sledovat v častých intervalech, zvláště v horkém počasí, protože příjem vody se může během podávání </w:t>
      </w:r>
      <w:proofErr w:type="spellStart"/>
      <w:r w:rsidRPr="00DB7712">
        <w:rPr>
          <w:bCs/>
          <w:snapToGrid w:val="0"/>
          <w:szCs w:val="24"/>
        </w:rPr>
        <w:t>tiamulinu</w:t>
      </w:r>
      <w:proofErr w:type="spellEnd"/>
      <w:r w:rsidRPr="00DB7712">
        <w:rPr>
          <w:bCs/>
          <w:snapToGrid w:val="0"/>
          <w:szCs w:val="24"/>
        </w:rPr>
        <w:t xml:space="preserve"> snížit. To se projevuje jako účinek závislý na koncentraci a nezdá se, že má jakýkoliv nežádoucí účinek na celkové chování ptáků nebo účinnost veterinárního léčivého přípravku. U kura domácího,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4 litrech vody může snižovat její příjem přibližně o 10 % a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2 litrech vody o 15 %. U krůt je tento účinek výraznější s pozorovaným snížením o přibližně 20 %, a proto se doporučuje nepřekračovat koncentraci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2 litrech pitné vody.</w:t>
      </w:r>
    </w:p>
    <w:p w14:paraId="10E712D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0E712DF" w14:textId="77777777" w:rsidR="00C114FF" w:rsidRPr="00B41D57" w:rsidRDefault="00273FA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0E712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712E1" w14:textId="77777777" w:rsidR="00C114FF" w:rsidRPr="00B41D57" w:rsidRDefault="00273FA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A54155">
        <w:rPr>
          <w:szCs w:val="22"/>
        </w:rPr>
        <w:t>:</w:t>
      </w:r>
    </w:p>
    <w:p w14:paraId="4E97B2A1" w14:textId="3B3A0523" w:rsidR="00A54155" w:rsidRPr="00DB7712" w:rsidRDefault="00A54155" w:rsidP="00A54155">
      <w:pPr>
        <w:spacing w:line="240" w:lineRule="auto"/>
        <w:jc w:val="both"/>
      </w:pPr>
      <w:r w:rsidRPr="00DB7712">
        <w:t xml:space="preserve">Použití </w:t>
      </w:r>
      <w:r w:rsidR="00FB43B6" w:rsidRPr="00FB43B6">
        <w:t xml:space="preserve">veterinárního léčivého </w:t>
      </w:r>
      <w:r w:rsidRPr="00DB7712">
        <w:t>přípravku musí být založeno na stanovení citlivosti bakterií izolovaných ze zvířete. Pokud to není možné, je nutné založit terapii na místních (</w:t>
      </w:r>
      <w:r>
        <w:t>na úrovni regionu</w:t>
      </w:r>
      <w:r w:rsidRPr="00DB7712">
        <w:t xml:space="preserve">, farmy) epidemiologických informacích o citlivosti cílové bakterie. V některých evropských regionech, zvyšující se podíl izolátů </w:t>
      </w:r>
      <w:proofErr w:type="spellStart"/>
      <w:r w:rsidRPr="000C0B80">
        <w:rPr>
          <w:i/>
        </w:rPr>
        <w:t>Brachyspira</w:t>
      </w:r>
      <w:proofErr w:type="spellEnd"/>
      <w:r w:rsidRPr="000C0B80">
        <w:rPr>
          <w:i/>
        </w:rPr>
        <w:t xml:space="preserve"> </w:t>
      </w:r>
      <w:proofErr w:type="spellStart"/>
      <w:r w:rsidRPr="000C0B80">
        <w:rPr>
          <w:i/>
        </w:rPr>
        <w:t>hyodysenteriae</w:t>
      </w:r>
      <w:proofErr w:type="spellEnd"/>
      <w:r w:rsidRPr="00DB7712">
        <w:t xml:space="preserve"> z klinických případů prokazuje významné snížení citlivosti </w:t>
      </w:r>
      <w:r w:rsidRPr="000C0B80">
        <w:rPr>
          <w:i/>
        </w:rPr>
        <w:t>in vitro</w:t>
      </w:r>
      <w:r w:rsidRPr="00DB7712">
        <w:t xml:space="preserve"> </w:t>
      </w:r>
      <w:r>
        <w:t xml:space="preserve">k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2CACB81C" w14:textId="09115A40" w:rsidR="00A54155" w:rsidRPr="00DB7712" w:rsidRDefault="00A54155" w:rsidP="00A54155">
      <w:pPr>
        <w:spacing w:line="240" w:lineRule="auto"/>
        <w:jc w:val="both"/>
      </w:pPr>
      <w:r w:rsidRPr="00DB7712">
        <w:t xml:space="preserve">Nevhodné použití veterinárního léčivého přípravku může zvýšit prevalenci bakterií rezistentních </w:t>
      </w:r>
      <w:r w:rsidR="001316F7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10E712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ED" w14:textId="77777777" w:rsidR="00C114FF" w:rsidRPr="00B41D57" w:rsidRDefault="00273FA6" w:rsidP="000C0B80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A54155">
        <w:rPr>
          <w:szCs w:val="22"/>
        </w:rPr>
        <w:t>:</w:t>
      </w:r>
    </w:p>
    <w:p w14:paraId="7F38E4BF" w14:textId="551B7F92" w:rsidR="00A54155" w:rsidRPr="00DB7712" w:rsidRDefault="00A54155" w:rsidP="00D021E9">
      <w:pPr>
        <w:spacing w:line="240" w:lineRule="auto"/>
        <w:jc w:val="both"/>
        <w:rPr>
          <w:b/>
          <w:bCs/>
        </w:rPr>
      </w:pPr>
      <w:r w:rsidRPr="00DB7712">
        <w:rPr>
          <w:bCs/>
          <w:iCs/>
        </w:rPr>
        <w:t xml:space="preserve">Tento </w:t>
      </w:r>
      <w:r w:rsidR="00FB43B6" w:rsidRPr="00FB43B6">
        <w:rPr>
          <w:bCs/>
          <w:iCs/>
        </w:rPr>
        <w:t>veterinární léčiv</w:t>
      </w:r>
      <w:r w:rsidR="00BC47E7">
        <w:rPr>
          <w:bCs/>
          <w:iCs/>
        </w:rPr>
        <w:t>ý</w:t>
      </w:r>
      <w:r w:rsidR="00FB43B6" w:rsidRPr="00FB43B6">
        <w:rPr>
          <w:bCs/>
          <w:iCs/>
        </w:rPr>
        <w:t xml:space="preserve"> </w:t>
      </w:r>
      <w:r w:rsidRPr="00DB7712">
        <w:rPr>
          <w:bCs/>
          <w:iCs/>
        </w:rPr>
        <w:t xml:space="preserve">přípravek může způsobit podráždění kůže a očí. </w:t>
      </w:r>
      <w:r w:rsidRPr="00DB7712">
        <w:rPr>
          <w:bCs/>
        </w:rPr>
        <w:t>Při míchání zabr</w:t>
      </w:r>
      <w:r>
        <w:rPr>
          <w:bCs/>
        </w:rPr>
        <w:t>aňte</w:t>
      </w:r>
      <w:r w:rsidRPr="00DB7712">
        <w:rPr>
          <w:bCs/>
        </w:rPr>
        <w:t xml:space="preserve"> přímému </w:t>
      </w:r>
      <w:r>
        <w:rPr>
          <w:bCs/>
        </w:rPr>
        <w:t>kontaktu</w:t>
      </w:r>
      <w:r w:rsidRPr="00DB7712">
        <w:rPr>
          <w:bCs/>
        </w:rPr>
        <w:t xml:space="preserve"> s</w:t>
      </w:r>
      <w:r>
        <w:rPr>
          <w:bCs/>
        </w:rPr>
        <w:t> </w:t>
      </w:r>
      <w:r w:rsidRPr="00DB7712">
        <w:rPr>
          <w:bCs/>
        </w:rPr>
        <w:t>kůží a</w:t>
      </w:r>
      <w:r>
        <w:rPr>
          <w:bCs/>
        </w:rPr>
        <w:t> </w:t>
      </w:r>
      <w:r w:rsidRPr="00DB7712">
        <w:rPr>
          <w:bCs/>
        </w:rPr>
        <w:t xml:space="preserve">vniknutí do očí </w:t>
      </w:r>
      <w:r>
        <w:rPr>
          <w:bCs/>
        </w:rPr>
        <w:t>použitím</w:t>
      </w:r>
      <w:r w:rsidRPr="00DB7712">
        <w:rPr>
          <w:bCs/>
        </w:rPr>
        <w:t xml:space="preserve"> nepropustných gumových rukavic a bezpečnostních brýlí.</w:t>
      </w:r>
    </w:p>
    <w:p w14:paraId="44AC7C48" w14:textId="77777777" w:rsidR="00A54155" w:rsidRDefault="00A54155" w:rsidP="00D021E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náhodného zasažení očí </w:t>
      </w:r>
      <w:r>
        <w:rPr>
          <w:bCs/>
        </w:rPr>
        <w:t>je ihned důkladně vy</w:t>
      </w:r>
      <w:r w:rsidRPr="00DB7712">
        <w:rPr>
          <w:bCs/>
        </w:rPr>
        <w:t>pláchněte čist</w:t>
      </w:r>
      <w:r>
        <w:rPr>
          <w:bCs/>
        </w:rPr>
        <w:t>ou</w:t>
      </w:r>
      <w:r w:rsidRPr="00DB7712">
        <w:rPr>
          <w:bCs/>
        </w:rPr>
        <w:t xml:space="preserve"> tekoucí vod</w:t>
      </w:r>
      <w:r>
        <w:rPr>
          <w:bCs/>
        </w:rPr>
        <w:t>ou</w:t>
      </w:r>
      <w:r w:rsidRPr="00DB7712">
        <w:rPr>
          <w:bCs/>
        </w:rPr>
        <w:t xml:space="preserve">. </w:t>
      </w:r>
    </w:p>
    <w:p w14:paraId="2828AA9A" w14:textId="77777777" w:rsidR="00A54155" w:rsidRPr="00603269" w:rsidRDefault="00A54155" w:rsidP="00D021E9">
      <w:pPr>
        <w:spacing w:line="240" w:lineRule="auto"/>
        <w:jc w:val="both"/>
        <w:rPr>
          <w:b/>
          <w:bCs/>
        </w:rPr>
      </w:pPr>
      <w:r w:rsidRPr="00DB7712">
        <w:rPr>
          <w:bCs/>
        </w:rPr>
        <w:t>Pokud podráždění přetrvává, vyhledejte lékařskou pomoc.</w:t>
      </w:r>
    </w:p>
    <w:p w14:paraId="3B25A49F" w14:textId="77777777" w:rsidR="00A54155" w:rsidRPr="00603269" w:rsidRDefault="00A54155" w:rsidP="00D021E9">
      <w:pPr>
        <w:spacing w:line="240" w:lineRule="auto"/>
        <w:jc w:val="both"/>
        <w:rPr>
          <w:b/>
          <w:bCs/>
        </w:rPr>
      </w:pPr>
      <w:r>
        <w:rPr>
          <w:bCs/>
        </w:rPr>
        <w:t>Znečištěný oděv odstraňte a potřísněnou kůži ihned umyjte.</w:t>
      </w:r>
    </w:p>
    <w:p w14:paraId="10E712EE" w14:textId="64BDB84B" w:rsidR="00C114FF" w:rsidRPr="00A54155" w:rsidRDefault="00A54155" w:rsidP="00D021E9">
      <w:pPr>
        <w:spacing w:line="240" w:lineRule="auto"/>
        <w:jc w:val="both"/>
        <w:rPr>
          <w:b/>
          <w:bCs/>
        </w:rPr>
      </w:pPr>
      <w:r>
        <w:rPr>
          <w:bCs/>
        </w:rPr>
        <w:t>Po použití si umyjte ruce.</w:t>
      </w:r>
    </w:p>
    <w:p w14:paraId="10E71306" w14:textId="77777777" w:rsidR="00C114FF" w:rsidRPr="00B41D57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08" w14:textId="32F1D678" w:rsidR="00295140" w:rsidRPr="00733762" w:rsidRDefault="00273FA6" w:rsidP="00D021E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733762">
        <w:rPr>
          <w:szCs w:val="22"/>
        </w:rPr>
        <w:t>:</w:t>
      </w:r>
    </w:p>
    <w:p w14:paraId="10E71309" w14:textId="7E4ED794" w:rsidR="00C114FF" w:rsidRPr="00B41D57" w:rsidRDefault="00273FA6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10E7130A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0D" w14:textId="77777777" w:rsidR="00C114FF" w:rsidRPr="00B41D57" w:rsidRDefault="00273FA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97C0284" w14:textId="77777777" w:rsidR="00E92495" w:rsidRPr="00DB7712" w:rsidRDefault="00E92495" w:rsidP="00E92495">
      <w:pPr>
        <w:spacing w:line="240" w:lineRule="auto"/>
      </w:pPr>
    </w:p>
    <w:p w14:paraId="0A8CFAF6" w14:textId="77777777" w:rsidR="00E92495" w:rsidRDefault="00E92495" w:rsidP="00E92495">
      <w:pPr>
        <w:spacing w:line="240" w:lineRule="auto"/>
        <w:rPr>
          <w:iCs/>
          <w:u w:val="single"/>
        </w:rPr>
      </w:pPr>
      <w:r>
        <w:rPr>
          <w:iCs/>
          <w:u w:val="single"/>
        </w:rPr>
        <w:t>Prasata</w:t>
      </w:r>
      <w:r w:rsidRPr="00B41D57">
        <w:t>:</w:t>
      </w:r>
    </w:p>
    <w:p w14:paraId="5D8461B8" w14:textId="77777777" w:rsidR="00E92495" w:rsidRPr="00E92495" w:rsidRDefault="00E92495" w:rsidP="00E92495">
      <w:pPr>
        <w:spacing w:line="240" w:lineRule="auto"/>
        <w:rPr>
          <w:i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92495" w14:paraId="60C14A82" w14:textId="77777777" w:rsidTr="0018098C">
        <w:tc>
          <w:tcPr>
            <w:tcW w:w="1957" w:type="pct"/>
          </w:tcPr>
          <w:p w14:paraId="3AA5AC15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00C76C1D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7D8B36C6" w14:textId="2CF3460C" w:rsidR="00E92495" w:rsidRPr="00B41D57" w:rsidRDefault="00FB43B6" w:rsidP="0018098C">
            <w:pPr>
              <w:spacing w:before="60" w:after="60"/>
              <w:rPr>
                <w:iCs/>
                <w:szCs w:val="22"/>
              </w:rPr>
            </w:pPr>
            <w:r w:rsidRPr="00E92495">
              <w:rPr>
                <w:iCs/>
                <w:szCs w:val="22"/>
              </w:rPr>
              <w:t>E</w:t>
            </w:r>
            <w:r w:rsidR="00E92495" w:rsidRPr="00E92495">
              <w:rPr>
                <w:iCs/>
                <w:szCs w:val="22"/>
              </w:rPr>
              <w:t>rytém</w:t>
            </w:r>
            <w:r>
              <w:rPr>
                <w:iCs/>
                <w:szCs w:val="22"/>
              </w:rPr>
              <w:t xml:space="preserve">, </w:t>
            </w:r>
            <w:r w:rsidRPr="00FB43B6">
              <w:rPr>
                <w:iCs/>
                <w:szCs w:val="22"/>
              </w:rPr>
              <w:t>kožní edém</w:t>
            </w:r>
          </w:p>
        </w:tc>
      </w:tr>
      <w:tr w:rsidR="00E92495" w14:paraId="0541F688" w14:textId="77777777" w:rsidTr="0018098C">
        <w:tc>
          <w:tcPr>
            <w:tcW w:w="1957" w:type="pct"/>
          </w:tcPr>
          <w:p w14:paraId="725436EA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23CB991C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4BD8270" w14:textId="5A3172B8" w:rsidR="00E92495" w:rsidRPr="00B41D57" w:rsidRDefault="00BA386E" w:rsidP="0018098C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Úhyn</w:t>
            </w:r>
          </w:p>
        </w:tc>
      </w:tr>
      <w:tr w:rsidR="00E92495" w14:paraId="7475B898" w14:textId="77777777" w:rsidTr="0018098C">
        <w:tc>
          <w:tcPr>
            <w:tcW w:w="1957" w:type="pct"/>
          </w:tcPr>
          <w:p w14:paraId="4E9B6BD7" w14:textId="360ADA35" w:rsidR="00E92495" w:rsidRPr="00B41D57" w:rsidRDefault="003A11FD" w:rsidP="0018098C">
            <w:r>
              <w:t>Neznámá četnost</w:t>
            </w:r>
            <w:r w:rsidR="00E92495" w:rsidRPr="00E92495">
              <w:t xml:space="preserve"> (z dostupných údajů nelze určit)</w:t>
            </w:r>
            <w:r w:rsidR="00685BE8">
              <w:t>:</w:t>
            </w:r>
          </w:p>
        </w:tc>
        <w:tc>
          <w:tcPr>
            <w:tcW w:w="3043" w:type="pct"/>
          </w:tcPr>
          <w:p w14:paraId="3B84E5EE" w14:textId="5961E32B" w:rsidR="00E92495" w:rsidRPr="00B41D57" w:rsidRDefault="00243C2B" w:rsidP="0018098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E92495" w:rsidRPr="00E92495">
              <w:rPr>
                <w:iCs/>
                <w:szCs w:val="22"/>
              </w:rPr>
              <w:t>pati</w:t>
            </w:r>
            <w:r w:rsidR="00FB43B6">
              <w:rPr>
                <w:iCs/>
                <w:szCs w:val="22"/>
              </w:rPr>
              <w:t>e</w:t>
            </w:r>
          </w:p>
        </w:tc>
      </w:tr>
    </w:tbl>
    <w:p w14:paraId="633796F4" w14:textId="77777777" w:rsidR="00E92495" w:rsidRDefault="00E92495" w:rsidP="00E92495">
      <w:pPr>
        <w:tabs>
          <w:tab w:val="clear" w:pos="567"/>
        </w:tabs>
        <w:spacing w:line="240" w:lineRule="auto"/>
        <w:rPr>
          <w:szCs w:val="22"/>
        </w:rPr>
      </w:pPr>
    </w:p>
    <w:p w14:paraId="66A6F2AB" w14:textId="1B54C024" w:rsidR="00E92495" w:rsidRPr="00DB7712" w:rsidRDefault="00E92495" w:rsidP="00E92495">
      <w:pPr>
        <w:keepNext/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Kur domácí</w:t>
      </w:r>
      <w:r>
        <w:rPr>
          <w:iCs/>
          <w:u w:val="single"/>
        </w:rPr>
        <w:t xml:space="preserve"> a </w:t>
      </w:r>
      <w:r w:rsidR="002D10F3">
        <w:rPr>
          <w:iCs/>
          <w:u w:val="single"/>
        </w:rPr>
        <w:t>k</w:t>
      </w:r>
      <w:r w:rsidRPr="00DB7712">
        <w:rPr>
          <w:iCs/>
          <w:u w:val="single"/>
        </w:rPr>
        <w:t>růty</w:t>
      </w:r>
      <w:r w:rsidRPr="00E92495">
        <w:rPr>
          <w:iCs/>
        </w:rPr>
        <w:t>:</w:t>
      </w:r>
    </w:p>
    <w:p w14:paraId="79316ABD" w14:textId="7FC5819E" w:rsidR="00FB43B6" w:rsidRDefault="002D10F3" w:rsidP="00E9249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 známy.</w:t>
      </w:r>
    </w:p>
    <w:p w14:paraId="2D890E27" w14:textId="77777777" w:rsidR="00E92495" w:rsidRPr="00B41D57" w:rsidRDefault="00E92495" w:rsidP="00E92495">
      <w:pPr>
        <w:tabs>
          <w:tab w:val="clear" w:pos="567"/>
        </w:tabs>
        <w:spacing w:line="240" w:lineRule="auto"/>
        <w:rPr>
          <w:szCs w:val="22"/>
        </w:rPr>
      </w:pPr>
    </w:p>
    <w:p w14:paraId="7DF0C169" w14:textId="7D49F2FE" w:rsidR="00E92495" w:rsidRDefault="00E92495" w:rsidP="008829C3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r w:rsidR="00FB43B6" w:rsidRPr="00FB43B6">
        <w:t>P</w:t>
      </w:r>
      <w:r w:rsidR="002D10F3">
        <w:t>odrobné</w:t>
      </w:r>
      <w:r w:rsidR="00FB43B6" w:rsidRPr="00FB43B6">
        <w:t xml:space="preserve"> kontaktní údaje naleznete v příbalové informaci.</w:t>
      </w:r>
    </w:p>
    <w:bookmarkEnd w:id="1"/>
    <w:p w14:paraId="10E71327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0E71328" w14:textId="77777777" w:rsidR="00C114FF" w:rsidRPr="00B41D57" w:rsidRDefault="00273FA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0E713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2C" w14:textId="748254F3" w:rsidR="00C114FF" w:rsidRPr="00B41D57" w:rsidRDefault="00273FA6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E30781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0E7132D" w14:textId="400FA459" w:rsidR="00092A37" w:rsidRDefault="00BE0A84" w:rsidP="00145C3F">
      <w:pPr>
        <w:tabs>
          <w:tab w:val="clear" w:pos="567"/>
        </w:tabs>
        <w:spacing w:line="240" w:lineRule="auto"/>
        <w:rPr>
          <w:bCs/>
        </w:rPr>
      </w:pPr>
      <w:r>
        <w:rPr>
          <w:bCs/>
        </w:rPr>
        <w:t>Lze použít u prasat během březosti a laktace.</w:t>
      </w:r>
    </w:p>
    <w:p w14:paraId="3320C4B2" w14:textId="0B26BCC1" w:rsidR="00BE0A84" w:rsidRDefault="00BE0A84" w:rsidP="00145C3F">
      <w:pPr>
        <w:tabs>
          <w:tab w:val="clear" w:pos="567"/>
        </w:tabs>
        <w:spacing w:line="240" w:lineRule="auto"/>
        <w:rPr>
          <w:bCs/>
        </w:rPr>
      </w:pPr>
    </w:p>
    <w:p w14:paraId="59C218A3" w14:textId="77777777" w:rsidR="00900103" w:rsidRPr="00DB7712" w:rsidRDefault="00900103" w:rsidP="00900103">
      <w:pPr>
        <w:spacing w:line="240" w:lineRule="auto"/>
        <w:rPr>
          <w:bCs/>
        </w:rPr>
      </w:pPr>
      <w:r w:rsidRPr="00900103">
        <w:rPr>
          <w:bCs/>
          <w:u w:val="single"/>
        </w:rPr>
        <w:t>Nosnice</w:t>
      </w:r>
      <w:r w:rsidRPr="00DB7712">
        <w:rPr>
          <w:bCs/>
        </w:rPr>
        <w:t>:</w:t>
      </w:r>
    </w:p>
    <w:p w14:paraId="0637FBB0" w14:textId="77777777" w:rsidR="00900103" w:rsidRPr="00DB7712" w:rsidRDefault="00900103" w:rsidP="00900103">
      <w:pPr>
        <w:spacing w:line="240" w:lineRule="auto"/>
        <w:rPr>
          <w:bCs/>
        </w:rPr>
      </w:pPr>
      <w:r w:rsidRPr="00DB7712">
        <w:rPr>
          <w:bCs/>
        </w:rPr>
        <w:t>Lze použít u nosnic a chovných slepic a krůt.</w:t>
      </w:r>
    </w:p>
    <w:p w14:paraId="2F012109" w14:textId="77777777" w:rsidR="00BE0A84" w:rsidRPr="00B41D57" w:rsidRDefault="00BE0A8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7133F" w14:textId="77777777" w:rsidR="00C114FF" w:rsidRPr="00B41D57" w:rsidRDefault="00273FA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0E7134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05FA7A" w14:textId="149C28AC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Ukázalo se,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interaguje s ionofory, jako jsou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a může </w:t>
      </w:r>
      <w:r>
        <w:rPr>
          <w:bCs/>
        </w:rPr>
        <w:t>vyvolat příznaky</w:t>
      </w:r>
      <w:r w:rsidRPr="00DB7712">
        <w:rPr>
          <w:bCs/>
        </w:rPr>
        <w:t xml:space="preserve"> neodlišitelné od toxikózy způsobené ionofory. Zvířata by neměla dostávat </w:t>
      </w:r>
      <w:bookmarkStart w:id="2" w:name="_Hlk136333024"/>
      <w:r w:rsidR="00FB43B6" w:rsidRPr="00FB43B6">
        <w:rPr>
          <w:bCs/>
          <w:iCs/>
        </w:rPr>
        <w:t>veterinární léčiv</w:t>
      </w:r>
      <w:r w:rsidR="00451C0C">
        <w:rPr>
          <w:bCs/>
          <w:iCs/>
        </w:rPr>
        <w:t>ý</w:t>
      </w:r>
      <w:r w:rsidR="00FB43B6" w:rsidRPr="00FB43B6">
        <w:rPr>
          <w:bCs/>
          <w:iCs/>
        </w:rPr>
        <w:t xml:space="preserve"> </w:t>
      </w:r>
      <w:bookmarkEnd w:id="2"/>
      <w:r w:rsidRPr="00DB7712">
        <w:rPr>
          <w:bCs/>
        </w:rPr>
        <w:t>příprav</w:t>
      </w:r>
      <w:r w:rsidR="00451C0C">
        <w:rPr>
          <w:bCs/>
        </w:rPr>
        <w:t>e</w:t>
      </w:r>
      <w:r w:rsidRPr="00DB7712">
        <w:rPr>
          <w:bCs/>
        </w:rPr>
        <w:t xml:space="preserve">k obsahující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</w:t>
      </w:r>
      <w:r>
        <w:rPr>
          <w:bCs/>
        </w:rPr>
        <w:t xml:space="preserve">během léčby nebo </w:t>
      </w:r>
      <w:r w:rsidRPr="00DB7712">
        <w:rPr>
          <w:bCs/>
        </w:rPr>
        <w:t xml:space="preserve">7 </w:t>
      </w:r>
      <w:r>
        <w:rPr>
          <w:bCs/>
        </w:rPr>
        <w:t>dnů</w:t>
      </w:r>
      <w:r w:rsidRPr="00DB7712">
        <w:rPr>
          <w:bCs/>
        </w:rPr>
        <w:t xml:space="preserve"> před a 7 </w:t>
      </w:r>
      <w:r>
        <w:rPr>
          <w:bCs/>
        </w:rPr>
        <w:t>dnů</w:t>
      </w:r>
      <w:r w:rsidRPr="00DB7712">
        <w:rPr>
          <w:bCs/>
        </w:rPr>
        <w:t xml:space="preserve"> po léčbě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 Může dojít k závažnému potlačení růstu, ataxii, paralýze nebo úhynu.</w:t>
      </w:r>
    </w:p>
    <w:p w14:paraId="6466E672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5AA3923B" w14:textId="45D11A16" w:rsidR="00080B03" w:rsidRPr="00603269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objeví </w:t>
      </w:r>
      <w:r>
        <w:rPr>
          <w:bCs/>
        </w:rPr>
        <w:t>příznaky</w:t>
      </w:r>
      <w:r w:rsidRPr="00DB7712">
        <w:rPr>
          <w:bCs/>
        </w:rPr>
        <w:t xml:space="preserve"> interakce, </w:t>
      </w:r>
      <w:r>
        <w:rPr>
          <w:bCs/>
        </w:rPr>
        <w:t>ukončete</w:t>
      </w:r>
      <w:r w:rsidRPr="00DB7712">
        <w:rPr>
          <w:bCs/>
        </w:rPr>
        <w:t xml:space="preserve"> ihned podávání</w:t>
      </w:r>
      <w:r>
        <w:rPr>
          <w:bCs/>
        </w:rPr>
        <w:t xml:space="preserve"> </w:t>
      </w:r>
      <w:r w:rsidRPr="00DB7712">
        <w:rPr>
          <w:bCs/>
        </w:rPr>
        <w:t xml:space="preserve">jak pitné vody </w:t>
      </w:r>
      <w:r>
        <w:rPr>
          <w:bCs/>
        </w:rPr>
        <w:t>s obsahem</w:t>
      </w:r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tiamulin</w:t>
      </w:r>
      <w:r>
        <w:rPr>
          <w:bCs/>
        </w:rPr>
        <w:t>u</w:t>
      </w:r>
      <w:proofErr w:type="spellEnd"/>
      <w:r w:rsidRPr="00DB7712">
        <w:rPr>
          <w:bCs/>
        </w:rPr>
        <w:t xml:space="preserve">, tak také podávání krmiva </w:t>
      </w:r>
      <w:r>
        <w:rPr>
          <w:bCs/>
        </w:rPr>
        <w:t>kontaminovaného</w:t>
      </w:r>
      <w:r w:rsidRPr="00DB7712">
        <w:rPr>
          <w:bCs/>
        </w:rPr>
        <w:t xml:space="preserve"> ionofory. Krmivo je zapotřebí odstranit a nahradit čerstvým krmivem, které neobsahuje </w:t>
      </w:r>
      <w:proofErr w:type="spellStart"/>
      <w:r w:rsidRPr="00DB7712">
        <w:rPr>
          <w:bCs/>
        </w:rPr>
        <w:t>antikokcidika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>.</w:t>
      </w:r>
    </w:p>
    <w:p w14:paraId="502DD413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092DB34C" w14:textId="488956B3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Ukazuje se, že souběžné použití </w:t>
      </w:r>
      <w:proofErr w:type="spellStart"/>
      <w:r w:rsidRPr="00DB7712">
        <w:rPr>
          <w:bCs/>
        </w:rPr>
        <w:t>tiamulinu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divalentních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inonoforových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antikokcidik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lasalocidu</w:t>
      </w:r>
      <w:proofErr w:type="spellEnd"/>
      <w:r w:rsidRPr="00DB7712">
        <w:rPr>
          <w:bCs/>
        </w:rPr>
        <w:t xml:space="preserve"> </w:t>
      </w:r>
      <w:r w:rsidR="001316F7" w:rsidRPr="00DB7712">
        <w:rPr>
          <w:bCs/>
        </w:rPr>
        <w:t>a</w:t>
      </w:r>
      <w:r w:rsidR="001316F7">
        <w:rPr>
          <w:bCs/>
        </w:rPr>
        <w:t> </w:t>
      </w:r>
      <w:proofErr w:type="spellStart"/>
      <w:r w:rsidRPr="00DB7712">
        <w:rPr>
          <w:bCs/>
        </w:rPr>
        <w:t>semduramicinu</w:t>
      </w:r>
      <w:proofErr w:type="spellEnd"/>
      <w:r w:rsidRPr="00DB7712">
        <w:rPr>
          <w:bCs/>
        </w:rPr>
        <w:t xml:space="preserve"> žádnou interakci nezpůsobuje, avšak souběžné použití </w:t>
      </w:r>
      <w:proofErr w:type="spellStart"/>
      <w:r w:rsidRPr="00DB7712">
        <w:rPr>
          <w:bCs/>
        </w:rPr>
        <w:t>maduramicinu</w:t>
      </w:r>
      <w:proofErr w:type="spellEnd"/>
      <w:r w:rsidRPr="00DB7712">
        <w:rPr>
          <w:bCs/>
        </w:rPr>
        <w:t xml:space="preserve"> může způsobit slabé až středně závažné potlačení růstu u kura domácího. Jedná se o přechodnou situaci a k zotavení obvykle dochází během 3-5 dn</w:t>
      </w:r>
      <w:r>
        <w:rPr>
          <w:bCs/>
        </w:rPr>
        <w:t>ů</w:t>
      </w:r>
      <w:r w:rsidRPr="00DB7712">
        <w:rPr>
          <w:bCs/>
        </w:rPr>
        <w:t xml:space="preserve"> po vysazení léčby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</w:t>
      </w:r>
    </w:p>
    <w:p w14:paraId="10E7134F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50" w14:textId="701993DC" w:rsidR="00C114FF" w:rsidRDefault="00273FA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04A6439" w14:textId="77777777" w:rsidR="00080B03" w:rsidRPr="00B41D57" w:rsidRDefault="00080B03" w:rsidP="00B13B6D">
      <w:pPr>
        <w:pStyle w:val="Style1"/>
      </w:pPr>
    </w:p>
    <w:p w14:paraId="4D736D94" w14:textId="56384047" w:rsidR="00451C0C" w:rsidRDefault="00451C0C" w:rsidP="00080B03">
      <w:pPr>
        <w:spacing w:line="240" w:lineRule="auto"/>
      </w:pPr>
      <w:r>
        <w:t>Podání v</w:t>
      </w:r>
      <w:r w:rsidR="00F56A38" w:rsidRPr="00F56A38">
        <w:t xml:space="preserve"> pitné vod</w:t>
      </w:r>
      <w:r>
        <w:t>ě</w:t>
      </w:r>
      <w:r w:rsidR="00F56A38" w:rsidRPr="00F56A38">
        <w:t>.</w:t>
      </w:r>
    </w:p>
    <w:p w14:paraId="56BCE40F" w14:textId="0CAA5899" w:rsidR="00D94AD4" w:rsidRDefault="00D94AD4" w:rsidP="00080B03">
      <w:pPr>
        <w:spacing w:line="240" w:lineRule="auto"/>
        <w:jc w:val="both"/>
      </w:pPr>
      <w:bookmarkStart w:id="3" w:name="_Hlk138410046"/>
      <w:r w:rsidRPr="00D94AD4">
        <w:t>Veterinární léčivý přípravek by se měl podávat pomocí vhodného a kalibrovaného zařízení.</w:t>
      </w:r>
      <w:bookmarkEnd w:id="3"/>
    </w:p>
    <w:p w14:paraId="29A00B57" w14:textId="77777777" w:rsidR="00D94AD4" w:rsidRPr="00F56A38" w:rsidRDefault="00D94AD4" w:rsidP="00F56A38">
      <w:pPr>
        <w:rPr>
          <w:szCs w:val="22"/>
        </w:rPr>
      </w:pPr>
    </w:p>
    <w:p w14:paraId="6C8957D1" w14:textId="455D9DCF" w:rsidR="00080B03" w:rsidRPr="00DB7712" w:rsidRDefault="00080B03" w:rsidP="00080B03">
      <w:pPr>
        <w:spacing w:line="240" w:lineRule="auto"/>
        <w:jc w:val="both"/>
        <w:rPr>
          <w:bCs/>
          <w:u w:val="single"/>
        </w:rPr>
      </w:pPr>
      <w:r w:rsidRPr="00DB7712">
        <w:rPr>
          <w:bCs/>
          <w:u w:val="single"/>
        </w:rPr>
        <w:t>Pokyn pro přípravu roztok</w:t>
      </w:r>
      <w:r>
        <w:rPr>
          <w:bCs/>
          <w:u w:val="single"/>
        </w:rPr>
        <w:t>ů</w:t>
      </w:r>
      <w:r w:rsidRPr="00DB7712">
        <w:rPr>
          <w:bCs/>
          <w:u w:val="single"/>
        </w:rPr>
        <w:t xml:space="preserve"> </w:t>
      </w:r>
      <w:r w:rsidR="00F56A38" w:rsidRPr="00F56A38">
        <w:rPr>
          <w:bCs/>
          <w:u w:val="single"/>
        </w:rPr>
        <w:t xml:space="preserve">veterinárního léčivého </w:t>
      </w:r>
      <w:r w:rsidRPr="00DB7712">
        <w:rPr>
          <w:bCs/>
          <w:u w:val="single"/>
        </w:rPr>
        <w:t>přípravku</w:t>
      </w:r>
      <w:r w:rsidRPr="00080B03">
        <w:rPr>
          <w:bCs/>
        </w:rPr>
        <w:t>:</w:t>
      </w:r>
    </w:p>
    <w:p w14:paraId="6BFAE7CE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>Při medikaci velkých objemů vody připravte nejprve koncentrovaný roztok a pak jej nařeďte na požadovanou finální koncentraci.</w:t>
      </w:r>
    </w:p>
    <w:p w14:paraId="139BC5D8" w14:textId="6389E4B0" w:rsidR="00080B03" w:rsidRPr="00603269" w:rsidRDefault="00F56A38" w:rsidP="00080B03">
      <w:pPr>
        <w:spacing w:line="240" w:lineRule="auto"/>
        <w:jc w:val="both"/>
        <w:rPr>
          <w:bCs/>
          <w:iCs/>
        </w:rPr>
      </w:pPr>
      <w:r w:rsidRPr="000C0B80">
        <w:rPr>
          <w:bCs/>
        </w:rPr>
        <w:t>Veterinární léčiv</w:t>
      </w:r>
      <w:r w:rsidR="00524B12" w:rsidRPr="000C0B80">
        <w:rPr>
          <w:bCs/>
        </w:rPr>
        <w:t>ý</w:t>
      </w:r>
      <w:r w:rsidRPr="000C0B80">
        <w:rPr>
          <w:bCs/>
        </w:rPr>
        <w:t xml:space="preserve"> </w:t>
      </w:r>
      <w:r>
        <w:rPr>
          <w:bCs/>
          <w:iCs/>
        </w:rPr>
        <w:t>p</w:t>
      </w:r>
      <w:r w:rsidR="00080B03" w:rsidRPr="00DB7712">
        <w:rPr>
          <w:bCs/>
          <w:iCs/>
        </w:rPr>
        <w:t>řípravek je rozpustný a stabilní od nízké koncentrace až po maximální koncentraci přípravku 500 ml/l (ředění 1:</w:t>
      </w:r>
      <w:r>
        <w:rPr>
          <w:bCs/>
          <w:iCs/>
        </w:rPr>
        <w:t>2</w:t>
      </w:r>
      <w:r w:rsidR="00080B03" w:rsidRPr="00DB7712">
        <w:rPr>
          <w:bCs/>
          <w:iCs/>
        </w:rPr>
        <w:t>) ve vodě o teplotě nejméně 4°C.</w:t>
      </w:r>
    </w:p>
    <w:p w14:paraId="5A01BA9F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0F6146B9" w14:textId="3C17157F" w:rsidR="00080B03" w:rsidRPr="007A29E0" w:rsidRDefault="00080B03" w:rsidP="00080B03">
      <w:pPr>
        <w:spacing w:line="240" w:lineRule="auto"/>
        <w:jc w:val="both"/>
        <w:rPr>
          <w:bCs/>
        </w:rPr>
      </w:pPr>
      <w:r>
        <w:rPr>
          <w:bCs/>
        </w:rPr>
        <w:t>R</w:t>
      </w:r>
      <w:r w:rsidRPr="007A29E0">
        <w:rPr>
          <w:bCs/>
        </w:rPr>
        <w:t xml:space="preserve">oztoky pitné vody </w:t>
      </w:r>
      <w:r>
        <w:rPr>
          <w:bCs/>
        </w:rPr>
        <w:t xml:space="preserve">s obsahem </w:t>
      </w:r>
      <w:proofErr w:type="spellStart"/>
      <w:r w:rsidRPr="007A29E0">
        <w:rPr>
          <w:bCs/>
        </w:rPr>
        <w:t>tiamulin</w:t>
      </w:r>
      <w:r>
        <w:rPr>
          <w:bCs/>
        </w:rPr>
        <w:t>u</w:t>
      </w:r>
      <w:proofErr w:type="spellEnd"/>
      <w:r>
        <w:rPr>
          <w:bCs/>
        </w:rPr>
        <w:t xml:space="preserve"> je nutné připravit každý den č</w:t>
      </w:r>
      <w:r w:rsidRPr="007A29E0">
        <w:rPr>
          <w:bCs/>
        </w:rPr>
        <w:t>erstvé</w:t>
      </w:r>
      <w:r>
        <w:rPr>
          <w:bCs/>
        </w:rPr>
        <w:t>. Veškerou</w:t>
      </w:r>
      <w:r w:rsidRPr="007A29E0">
        <w:rPr>
          <w:bCs/>
        </w:rPr>
        <w:t xml:space="preserve"> pitnou vodu </w:t>
      </w:r>
      <w:r w:rsidR="001316F7">
        <w:rPr>
          <w:bCs/>
        </w:rPr>
        <w:t>s </w:t>
      </w:r>
      <w:r w:rsidRPr="007A29E0">
        <w:rPr>
          <w:bCs/>
        </w:rPr>
        <w:t>obsah</w:t>
      </w:r>
      <w:r>
        <w:rPr>
          <w:bCs/>
        </w:rPr>
        <w:t>em</w:t>
      </w:r>
      <w:r w:rsidRPr="007A29E0">
        <w:rPr>
          <w:bCs/>
        </w:rPr>
        <w:t xml:space="preserve"> lé</w:t>
      </w:r>
      <w:r>
        <w:rPr>
          <w:bCs/>
        </w:rPr>
        <w:t>čiva</w:t>
      </w:r>
      <w:r w:rsidRPr="007A29E0">
        <w:rPr>
          <w:bCs/>
        </w:rPr>
        <w:t>, která zbyla z předchozího dne, je zapotřebí zlikvidovat.</w:t>
      </w:r>
    </w:p>
    <w:p w14:paraId="21E2DC55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3AFA9371" w14:textId="11E7E3DD" w:rsidR="00936132" w:rsidRPr="00936132" w:rsidRDefault="00936132" w:rsidP="00936132">
      <w:pPr>
        <w:spacing w:line="240" w:lineRule="auto"/>
        <w:jc w:val="both"/>
        <w:rPr>
          <w:bCs/>
        </w:rPr>
      </w:pPr>
      <w:r w:rsidRPr="00B41D57">
        <w:t>Pro zajištění správného dávkování je třeba co nejpřesněji stanovit živou hmotnost</w:t>
      </w:r>
      <w:r>
        <w:t xml:space="preserve">, </w:t>
      </w:r>
      <w:r w:rsidRPr="00DB7712">
        <w:rPr>
          <w:bCs/>
        </w:rPr>
        <w:t xml:space="preserve">aby se zabránilo </w:t>
      </w:r>
      <w:proofErr w:type="spellStart"/>
      <w:r w:rsidRPr="00DB7712">
        <w:rPr>
          <w:bCs/>
        </w:rPr>
        <w:t>poddávkování</w:t>
      </w:r>
      <w:proofErr w:type="spellEnd"/>
      <w:r w:rsidRPr="00B41D57">
        <w:t>.</w:t>
      </w:r>
      <w:r>
        <w:rPr>
          <w:szCs w:val="22"/>
        </w:rPr>
        <w:t xml:space="preserve"> </w:t>
      </w:r>
      <w:r w:rsidRPr="00B41D57">
        <w:t xml:space="preserve">Příjem </w:t>
      </w:r>
      <w:proofErr w:type="spellStart"/>
      <w:r w:rsidRPr="00B41D57">
        <w:t>medikovaného</w:t>
      </w:r>
      <w:proofErr w:type="spellEnd"/>
      <w:r w:rsidRPr="00B41D57">
        <w:t xml:space="preserve"> vody závisí na klinickém stavu zvířat. Pro dosažení správného dávkování může být nutné odpovídajícím způsobem upravit koncentraci </w:t>
      </w:r>
      <w:proofErr w:type="spellStart"/>
      <w:r>
        <w:t>tiamulin</w:t>
      </w:r>
      <w:r w:rsidR="0073651A">
        <w:t>u</w:t>
      </w:r>
      <w:proofErr w:type="spellEnd"/>
      <w:r w:rsidRPr="00B41D57">
        <w:t>.</w:t>
      </w:r>
    </w:p>
    <w:p w14:paraId="76A342BA" w14:textId="77777777" w:rsidR="00936132" w:rsidRPr="00DB7712" w:rsidRDefault="00936132" w:rsidP="00080B03">
      <w:pPr>
        <w:spacing w:line="240" w:lineRule="auto"/>
        <w:jc w:val="both"/>
        <w:rPr>
          <w:bCs/>
        </w:rPr>
      </w:pPr>
    </w:p>
    <w:p w14:paraId="37B7C2D6" w14:textId="4FD411A9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lastRenderedPageBreak/>
        <w:t>Ujistěte se, že zvířata nemají v období podávání vody</w:t>
      </w:r>
      <w:r>
        <w:rPr>
          <w:bCs/>
        </w:rPr>
        <w:t xml:space="preserve"> s obsahem léčiva</w:t>
      </w:r>
      <w:r w:rsidRPr="007A29E0">
        <w:rPr>
          <w:bCs/>
        </w:rPr>
        <w:t xml:space="preserve"> přístup k vodě </w:t>
      </w:r>
      <w:r>
        <w:rPr>
          <w:bCs/>
        </w:rPr>
        <w:t>bez obsahu léčiva</w:t>
      </w:r>
      <w:r w:rsidRPr="007A29E0">
        <w:rPr>
          <w:bCs/>
        </w:rPr>
        <w:t xml:space="preserve">. </w:t>
      </w:r>
    </w:p>
    <w:p w14:paraId="4DEBCA63" w14:textId="64C8462B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 ukončení medikace je nutné </w:t>
      </w:r>
      <w:r w:rsidR="00176CDB">
        <w:rPr>
          <w:bCs/>
        </w:rPr>
        <w:t xml:space="preserve">důkladně </w:t>
      </w:r>
      <w:r w:rsidRPr="00DB7712">
        <w:rPr>
          <w:bCs/>
        </w:rPr>
        <w:t xml:space="preserve">vyčistit </w:t>
      </w:r>
      <w:r w:rsidR="00176CDB">
        <w:rPr>
          <w:bCs/>
        </w:rPr>
        <w:t>napájecí systém</w:t>
      </w:r>
      <w:r w:rsidRPr="00DB7712">
        <w:rPr>
          <w:bCs/>
        </w:rPr>
        <w:t xml:space="preserve">, aby se zabránilo příjmu </w:t>
      </w:r>
      <w:proofErr w:type="spellStart"/>
      <w:r w:rsidRPr="00DB7712">
        <w:rPr>
          <w:bCs/>
        </w:rPr>
        <w:t>subterapeutických</w:t>
      </w:r>
      <w:proofErr w:type="spellEnd"/>
      <w:r w:rsidRPr="00DB7712">
        <w:rPr>
          <w:bCs/>
        </w:rPr>
        <w:t xml:space="preserve"> množství léčivé látky.</w:t>
      </w:r>
    </w:p>
    <w:p w14:paraId="69C0055D" w14:textId="77777777" w:rsidR="00080B03" w:rsidRPr="00603269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Aby se zabránilo interakcím mezi ionofory a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, měli by veterinární lékař a chovatel zkontrolovat, zda etiketa krmiva neuvádí, že obsahuje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>.</w:t>
      </w:r>
    </w:p>
    <w:p w14:paraId="069AB2FB" w14:textId="77777777" w:rsidR="00080B03" w:rsidRPr="007F29AA" w:rsidRDefault="00080B03" w:rsidP="00080B03">
      <w:pPr>
        <w:spacing w:line="240" w:lineRule="auto"/>
        <w:rPr>
          <w:bCs/>
        </w:rPr>
      </w:pPr>
    </w:p>
    <w:p w14:paraId="77D0F3C3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kura domácího a krůt v zájmu zabránění interakcím mezi nekompatibilními ionofory </w:t>
      </w:r>
      <w:proofErr w:type="spellStart"/>
      <w:r w:rsidRPr="00DB7712">
        <w:rPr>
          <w:bCs/>
        </w:rPr>
        <w:t>monensinem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narasinem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salinomycinem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je nutné upozornit mí</w:t>
      </w:r>
      <w:r>
        <w:rPr>
          <w:bCs/>
        </w:rPr>
        <w:t>chá</w:t>
      </w:r>
      <w:r w:rsidRPr="00DB7712">
        <w:rPr>
          <w:bCs/>
        </w:rPr>
        <w:t xml:space="preserve">rnu dodávající krmivo pro </w:t>
      </w:r>
      <w:r>
        <w:rPr>
          <w:bCs/>
        </w:rPr>
        <w:t>drůbež</w:t>
      </w:r>
      <w:r w:rsidRPr="00DB7712">
        <w:rPr>
          <w:bCs/>
        </w:rPr>
        <w:t xml:space="preserve">, že bude použit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, a že tato </w:t>
      </w:r>
      <w:proofErr w:type="spellStart"/>
      <w:r w:rsidRPr="00DB7712">
        <w:rPr>
          <w:bCs/>
        </w:rPr>
        <w:t>antikokcidika</w:t>
      </w:r>
      <w:proofErr w:type="spellEnd"/>
      <w:r w:rsidRPr="00DB7712">
        <w:rPr>
          <w:bCs/>
        </w:rPr>
        <w:t xml:space="preserve"> nelze do krmiva přidávat nebo jimi krmivo kontaminovat.</w:t>
      </w:r>
    </w:p>
    <w:p w14:paraId="262482F7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61C112C6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>V případě, že existuje jakékoliv podezření na případnou kontaminaci krmiva, krmivo před použitím na přítomnost ionoforů otestujte.</w:t>
      </w:r>
    </w:p>
    <w:p w14:paraId="46FA15FD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032A5F82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objeví známky interakce, medikaci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okamžitě </w:t>
      </w:r>
      <w:r>
        <w:rPr>
          <w:bCs/>
        </w:rPr>
        <w:t>ukončete</w:t>
      </w:r>
      <w:r w:rsidRPr="00DB7712">
        <w:rPr>
          <w:bCs/>
        </w:rPr>
        <w:t xml:space="preserve"> a nahraďte ji čerstvou pitnou vodou. Co nejdříve odstraňte kontaminované krmivo a nahraďte jej krmivem neobsahujícím ionofory nekompatibilní s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</w:t>
      </w:r>
    </w:p>
    <w:p w14:paraId="0B9EB47A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3D239C13" w14:textId="681BF8CD" w:rsidR="00756B39" w:rsidRPr="00F56A38" w:rsidRDefault="00F56A38" w:rsidP="00F56A38">
      <w:pPr>
        <w:rPr>
          <w:szCs w:val="22"/>
        </w:rPr>
      </w:pPr>
      <w:r w:rsidRPr="00B41D57">
        <w:t>Na základě doporučené dávky a počtu a hmotnosti zvířat, která je třeba ošetřit, se přesná denní koncentrace veterinárního léčivého přípravku vypočítá podle následujícího vzorce:</w:t>
      </w:r>
    </w:p>
    <w:p w14:paraId="7C0ADD6E" w14:textId="47DDCEE7" w:rsidR="00080B03" w:rsidRDefault="00080B03" w:rsidP="00080B03">
      <w:pPr>
        <w:tabs>
          <w:tab w:val="clear" w:pos="567"/>
        </w:tabs>
        <w:spacing w:line="240" w:lineRule="auto"/>
        <w:rPr>
          <w:bCs/>
        </w:rPr>
      </w:pP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2723"/>
      </w:tblGrid>
      <w:tr w:rsidR="00080B03" w:rsidRPr="00603269" w14:paraId="21485B1D" w14:textId="77777777" w:rsidTr="000C0B80">
        <w:trPr>
          <w:jc w:val="center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92DE" w14:textId="284F042B" w:rsidR="00080B03" w:rsidRPr="00DB7712" w:rsidRDefault="00080B03" w:rsidP="000C0B80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>Dávka (</w:t>
            </w:r>
            <w:r w:rsidR="00756B39" w:rsidRPr="00DB7712">
              <w:rPr>
                <w:bCs/>
              </w:rPr>
              <w:t>m</w:t>
            </w:r>
            <w:r w:rsidR="00756B39">
              <w:rPr>
                <w:bCs/>
              </w:rPr>
              <w:t>l</w:t>
            </w:r>
            <w:r w:rsidR="00756B39" w:rsidRPr="00DB7712">
              <w:rPr>
                <w:bCs/>
              </w:rPr>
              <w:t xml:space="preserve"> </w:t>
            </w:r>
            <w:r w:rsidR="001A35F3" w:rsidRPr="001A35F3">
              <w:rPr>
                <w:bCs/>
              </w:rPr>
              <w:t>veterinární</w:t>
            </w:r>
            <w:r w:rsidR="00756B39">
              <w:rPr>
                <w:bCs/>
              </w:rPr>
              <w:t>ho</w:t>
            </w:r>
            <w:r w:rsidR="001A35F3" w:rsidRPr="001A35F3">
              <w:rPr>
                <w:bCs/>
              </w:rPr>
              <w:t xml:space="preserve"> léčiv</w:t>
            </w:r>
            <w:r w:rsidR="00756B39">
              <w:rPr>
                <w:bCs/>
              </w:rPr>
              <w:t>ého</w:t>
            </w:r>
            <w:r w:rsidR="001A35F3">
              <w:rPr>
                <w:bCs/>
              </w:rPr>
              <w:t xml:space="preserve"> </w:t>
            </w:r>
            <w:r w:rsidRPr="00DB7712">
              <w:rPr>
                <w:bCs/>
              </w:rPr>
              <w:t>přípravku na kg živé hmotnosti a den)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32C0" w14:textId="77777777" w:rsidR="00080B03" w:rsidRPr="00DB7712" w:rsidRDefault="00080B03" w:rsidP="000C0B80">
            <w:pPr>
              <w:spacing w:line="240" w:lineRule="auto"/>
              <w:jc w:val="center"/>
              <w:rPr>
                <w:bCs/>
              </w:rPr>
            </w:pPr>
          </w:p>
          <w:p w14:paraId="6686E35D" w14:textId="77777777" w:rsidR="00080B03" w:rsidRPr="00DB7712" w:rsidRDefault="00080B03" w:rsidP="000C0B80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4B1D" w14:textId="77777777" w:rsidR="00080B03" w:rsidRPr="00DB7712" w:rsidRDefault="00080B03" w:rsidP="000C0B80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 xml:space="preserve">Průměrná živá hmotnost (kg) </w:t>
            </w:r>
            <w:r>
              <w:rPr>
                <w:bCs/>
              </w:rPr>
              <w:t xml:space="preserve">léčených </w:t>
            </w:r>
            <w:r w:rsidRPr="00DB7712">
              <w:rPr>
                <w:bCs/>
              </w:rPr>
              <w:t>zvířat</w:t>
            </w:r>
          </w:p>
        </w:tc>
        <w:tc>
          <w:tcPr>
            <w:tcW w:w="2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79B1" w14:textId="77777777" w:rsidR="00080B03" w:rsidRPr="00DB7712" w:rsidRDefault="00080B03" w:rsidP="000C0B80">
            <w:pPr>
              <w:spacing w:line="240" w:lineRule="auto"/>
              <w:jc w:val="center"/>
              <w:rPr>
                <w:bCs/>
              </w:rPr>
            </w:pPr>
          </w:p>
          <w:p w14:paraId="3C945331" w14:textId="7A5FA5E8" w:rsidR="00080B03" w:rsidRPr="00603269" w:rsidRDefault="00080B03" w:rsidP="00111D6F">
            <w:pPr>
              <w:spacing w:line="240" w:lineRule="auto"/>
              <w:rPr>
                <w:bCs/>
              </w:rPr>
            </w:pPr>
            <w:r w:rsidRPr="00DB7712">
              <w:rPr>
                <w:bCs/>
              </w:rPr>
              <w:t xml:space="preserve">= _____ ml </w:t>
            </w:r>
            <w:r w:rsidR="001A35F3" w:rsidRPr="001A35F3">
              <w:rPr>
                <w:bCs/>
              </w:rPr>
              <w:t>veterinární</w:t>
            </w:r>
            <w:r w:rsidR="00007A4C">
              <w:rPr>
                <w:bCs/>
              </w:rPr>
              <w:t>ho</w:t>
            </w:r>
            <w:r w:rsidR="001A35F3" w:rsidRPr="001A35F3">
              <w:rPr>
                <w:bCs/>
              </w:rPr>
              <w:t xml:space="preserve"> léčiv</w:t>
            </w:r>
            <w:r w:rsidR="00007A4C">
              <w:rPr>
                <w:bCs/>
              </w:rPr>
              <w:t>ého</w:t>
            </w:r>
            <w:r w:rsidR="001A35F3">
              <w:rPr>
                <w:bCs/>
              </w:rPr>
              <w:t xml:space="preserve"> </w:t>
            </w:r>
            <w:r w:rsidRPr="00DB7712">
              <w:rPr>
                <w:bCs/>
              </w:rPr>
              <w:t>přípravku na litr pitné vody</w:t>
            </w:r>
          </w:p>
        </w:tc>
      </w:tr>
      <w:tr w:rsidR="00080B03" w:rsidRPr="00603269" w14:paraId="2DD96DA5" w14:textId="77777777" w:rsidTr="000C0B80">
        <w:trPr>
          <w:trHeight w:val="703"/>
          <w:jc w:val="center"/>
        </w:trPr>
        <w:tc>
          <w:tcPr>
            <w:tcW w:w="64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38FB" w14:textId="77777777" w:rsidR="00080B03" w:rsidRPr="00603269" w:rsidRDefault="00080B03" w:rsidP="000C0B8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Průměrná denní spotřeba vody (l) </w:t>
            </w:r>
            <w:r w:rsidRPr="000C0B80">
              <w:rPr>
                <w:bCs/>
                <w:i/>
              </w:rPr>
              <w:t>pro toto</w:t>
            </w:r>
            <w:r>
              <w:rPr>
                <w:bCs/>
              </w:rPr>
              <w:t xml:space="preserve"> a den</w:t>
            </w:r>
          </w:p>
        </w:tc>
        <w:tc>
          <w:tcPr>
            <w:tcW w:w="0" w:type="auto"/>
            <w:vMerge/>
            <w:vAlign w:val="center"/>
            <w:hideMark/>
          </w:tcPr>
          <w:p w14:paraId="6E82E007" w14:textId="77777777" w:rsidR="00080B03" w:rsidRPr="007F29AA" w:rsidRDefault="00080B03" w:rsidP="0018098C">
            <w:pPr>
              <w:spacing w:line="240" w:lineRule="auto"/>
              <w:rPr>
                <w:bCs/>
              </w:rPr>
            </w:pPr>
          </w:p>
        </w:tc>
      </w:tr>
    </w:tbl>
    <w:p w14:paraId="6A561CF9" w14:textId="77777777" w:rsidR="0057418E" w:rsidRDefault="0057418E" w:rsidP="00080B03">
      <w:pPr>
        <w:spacing w:line="240" w:lineRule="auto"/>
        <w:rPr>
          <w:iCs/>
          <w:u w:val="single"/>
        </w:rPr>
      </w:pPr>
      <w:bookmarkStart w:id="4" w:name="_Hlk129682182"/>
    </w:p>
    <w:p w14:paraId="1E71C242" w14:textId="7E8C0431" w:rsidR="00080B03" w:rsidRPr="007F29AA" w:rsidRDefault="00080B03" w:rsidP="00080B03">
      <w:pPr>
        <w:spacing w:line="240" w:lineRule="auto"/>
        <w:rPr>
          <w:iCs/>
          <w:u w:val="single"/>
        </w:rPr>
      </w:pPr>
      <w:r>
        <w:rPr>
          <w:iCs/>
          <w:u w:val="single"/>
        </w:rPr>
        <w:t>Prasata</w:t>
      </w:r>
      <w:r w:rsidRPr="00080B03">
        <w:rPr>
          <w:iCs/>
        </w:rPr>
        <w:t>:</w:t>
      </w:r>
      <w:bookmarkEnd w:id="4"/>
    </w:p>
    <w:p w14:paraId="0D36102F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i) Pro léčbu dyzentérie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Brachyspira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hyodysenteriae</w:t>
      </w:r>
      <w:proofErr w:type="spellEnd"/>
      <w:r w:rsidRPr="00DB7712">
        <w:rPr>
          <w:iCs/>
        </w:rPr>
        <w:t>.</w:t>
      </w:r>
    </w:p>
    <w:p w14:paraId="2A3C5887" w14:textId="645C511F" w:rsidR="00225628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0,07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 xml:space="preserve">kg živé hmotnosti podáváno denně v pitné vodě prasatům po 3 až 5 po sobě jdoucích dnů v závislosti na závažnosti infekce a/nebo </w:t>
      </w:r>
      <w:r>
        <w:rPr>
          <w:iCs/>
        </w:rPr>
        <w:t xml:space="preserve">době </w:t>
      </w:r>
      <w:r w:rsidRPr="00DB7712">
        <w:rPr>
          <w:iCs/>
        </w:rPr>
        <w:t>trvání onemocnění.</w:t>
      </w:r>
    </w:p>
    <w:p w14:paraId="7A73D714" w14:textId="77777777" w:rsidR="00E90A25" w:rsidRPr="00DB7712" w:rsidRDefault="00E90A25" w:rsidP="00080B03">
      <w:pPr>
        <w:spacing w:line="240" w:lineRule="auto"/>
        <w:jc w:val="both"/>
        <w:rPr>
          <w:iCs/>
        </w:rPr>
      </w:pPr>
    </w:p>
    <w:p w14:paraId="7068DF6B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ii</w:t>
      </w:r>
      <w:proofErr w:type="spellEnd"/>
      <w:r w:rsidRPr="00DB7712">
        <w:rPr>
          <w:iCs/>
        </w:rPr>
        <w:t xml:space="preserve">) Pro léčbu spirochetózy tlustého střeva prasat (kolitidy)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Brachyspira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pilosicoli</w:t>
      </w:r>
      <w:proofErr w:type="spellEnd"/>
      <w:r w:rsidRPr="00DB7712">
        <w:rPr>
          <w:iCs/>
        </w:rPr>
        <w:t>.</w:t>
      </w:r>
    </w:p>
    <w:p w14:paraId="024FED22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0,07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 xml:space="preserve">kg živé hmotnosti podáváno denně v pitné vodě prasatům po 3 až 5 po sobě jdoucích dnů v závislosti na závažnosti infekce a/nebo </w:t>
      </w:r>
      <w:r>
        <w:rPr>
          <w:iCs/>
        </w:rPr>
        <w:t xml:space="preserve">době </w:t>
      </w:r>
      <w:r w:rsidRPr="00DB7712">
        <w:rPr>
          <w:iCs/>
        </w:rPr>
        <w:t>trvání onemocnění.</w:t>
      </w:r>
    </w:p>
    <w:p w14:paraId="4F48DC23" w14:textId="77777777" w:rsidR="00080B03" w:rsidRPr="00DB7712" w:rsidRDefault="00080B03" w:rsidP="00080B03">
      <w:pPr>
        <w:spacing w:line="240" w:lineRule="auto"/>
        <w:jc w:val="both"/>
        <w:rPr>
          <w:iCs/>
        </w:rPr>
      </w:pPr>
    </w:p>
    <w:p w14:paraId="3931F9B1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iii</w:t>
      </w:r>
      <w:proofErr w:type="spellEnd"/>
      <w:r w:rsidRPr="00DB7712">
        <w:rPr>
          <w:iCs/>
        </w:rPr>
        <w:t xml:space="preserve">) Pro léčbu </w:t>
      </w:r>
      <w:proofErr w:type="spellStart"/>
      <w:r w:rsidRPr="00DB7712">
        <w:rPr>
          <w:iCs/>
        </w:rPr>
        <w:t>proliferativní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enteropatie</w:t>
      </w:r>
      <w:proofErr w:type="spellEnd"/>
      <w:r w:rsidRPr="00DB7712">
        <w:rPr>
          <w:iCs/>
        </w:rPr>
        <w:t xml:space="preserve"> u prasat (ileitidy)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Lawsonia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intracellularis</w:t>
      </w:r>
      <w:proofErr w:type="spellEnd"/>
      <w:r w:rsidRPr="00DB7712">
        <w:rPr>
          <w:iCs/>
        </w:rPr>
        <w:t>.</w:t>
      </w:r>
    </w:p>
    <w:p w14:paraId="4D44D703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0,07 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prasatům po 5 po sobě jdoucích dnů.</w:t>
      </w:r>
    </w:p>
    <w:p w14:paraId="64F97484" w14:textId="77777777" w:rsidR="00080B03" w:rsidRPr="00DB7712" w:rsidRDefault="00080B03" w:rsidP="00080B03">
      <w:pPr>
        <w:spacing w:line="240" w:lineRule="auto"/>
        <w:jc w:val="both"/>
        <w:rPr>
          <w:iCs/>
        </w:rPr>
      </w:pPr>
    </w:p>
    <w:p w14:paraId="50F7D168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iv</w:t>
      </w:r>
      <w:proofErr w:type="spellEnd"/>
      <w:r w:rsidRPr="00DB7712">
        <w:rPr>
          <w:iCs/>
        </w:rPr>
        <w:t xml:space="preserve">) Pro léčbu a </w:t>
      </w:r>
      <w:proofErr w:type="spellStart"/>
      <w:r w:rsidRPr="00DB7712">
        <w:rPr>
          <w:iCs/>
        </w:rPr>
        <w:t>metafylaxi</w:t>
      </w:r>
      <w:proofErr w:type="spellEnd"/>
      <w:r w:rsidRPr="00DB7712">
        <w:rPr>
          <w:iCs/>
        </w:rPr>
        <w:t xml:space="preserve"> enzootické pneumonie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hyopneumoniae</w:t>
      </w:r>
      <w:proofErr w:type="spellEnd"/>
      <w:r>
        <w:rPr>
          <w:i/>
          <w:iCs/>
        </w:rPr>
        <w:t>,</w:t>
      </w:r>
      <w:r w:rsidRPr="00DB7712">
        <w:rPr>
          <w:iCs/>
        </w:rPr>
        <w:t xml:space="preserve"> včetně infekcí komplikovaných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Pasteurella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multocida</w:t>
      </w:r>
      <w:proofErr w:type="spellEnd"/>
      <w:r w:rsidRPr="00DB7712">
        <w:rPr>
          <w:iCs/>
        </w:rPr>
        <w:t>, citlivý</w:t>
      </w:r>
      <w:r>
        <w:rPr>
          <w:iCs/>
        </w:rPr>
        <w:t>mi</w:t>
      </w:r>
      <w:r w:rsidRPr="00DB7712">
        <w:rPr>
          <w:iCs/>
        </w:rPr>
        <w:t xml:space="preserve"> </w:t>
      </w:r>
      <w:r>
        <w:rPr>
          <w:iCs/>
        </w:rPr>
        <w:t>k</w:t>
      </w:r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tiamulin</w:t>
      </w:r>
      <w:r>
        <w:rPr>
          <w:iCs/>
        </w:rPr>
        <w:t>u</w:t>
      </w:r>
      <w:proofErr w:type="spellEnd"/>
      <w:r w:rsidRPr="00DB7712">
        <w:rPr>
          <w:iCs/>
        </w:rPr>
        <w:t>.</w:t>
      </w:r>
    </w:p>
    <w:p w14:paraId="4E295A5F" w14:textId="77777777" w:rsidR="00080B03" w:rsidRPr="00603269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0,16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5 po sobě jdoucích dnů.</w:t>
      </w:r>
    </w:p>
    <w:p w14:paraId="237CD551" w14:textId="77777777" w:rsidR="00080B03" w:rsidRPr="007F29AA" w:rsidRDefault="00080B03" w:rsidP="00080B03">
      <w:pPr>
        <w:spacing w:line="240" w:lineRule="auto"/>
        <w:jc w:val="both"/>
        <w:rPr>
          <w:iCs/>
        </w:rPr>
      </w:pPr>
    </w:p>
    <w:p w14:paraId="07103FFF" w14:textId="7F0A5D56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v) Pro léčbu pleuropneumonie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Actinobacillus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pleuropneumoniae</w:t>
      </w:r>
      <w:proofErr w:type="spellEnd"/>
      <w:r w:rsidRPr="00DB7712">
        <w:rPr>
          <w:iCs/>
        </w:rPr>
        <w:t xml:space="preserve"> citliv</w:t>
      </w:r>
      <w:r>
        <w:rPr>
          <w:iCs/>
        </w:rPr>
        <w:t>ými</w:t>
      </w:r>
      <w:r w:rsidRPr="00DB7712">
        <w:rPr>
          <w:iCs/>
        </w:rPr>
        <w:t xml:space="preserve"> </w:t>
      </w:r>
      <w:r w:rsidR="001316F7">
        <w:rPr>
          <w:iCs/>
        </w:rPr>
        <w:t>k </w:t>
      </w:r>
      <w:proofErr w:type="spellStart"/>
      <w:r w:rsidRPr="00DB7712">
        <w:rPr>
          <w:iCs/>
        </w:rPr>
        <w:t>tiamulin</w:t>
      </w:r>
      <w:r>
        <w:rPr>
          <w:iCs/>
        </w:rPr>
        <w:t>u</w:t>
      </w:r>
      <w:proofErr w:type="spellEnd"/>
      <w:r w:rsidRPr="00DB7712">
        <w:rPr>
          <w:iCs/>
        </w:rPr>
        <w:t>.</w:t>
      </w:r>
    </w:p>
    <w:p w14:paraId="1573DCA0" w14:textId="59D9E779" w:rsidR="00080B03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0,16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5 po sobě jdoucích dnů.</w:t>
      </w:r>
    </w:p>
    <w:p w14:paraId="1791EBBE" w14:textId="540DA93F" w:rsidR="00080B03" w:rsidRDefault="00080B03" w:rsidP="00080B03">
      <w:pPr>
        <w:spacing w:line="240" w:lineRule="auto"/>
        <w:jc w:val="both"/>
        <w:rPr>
          <w:iCs/>
        </w:rPr>
      </w:pPr>
    </w:p>
    <w:p w14:paraId="2745559A" w14:textId="21940D20" w:rsidR="00080B03" w:rsidRPr="00DB7712" w:rsidRDefault="00080B03" w:rsidP="00080B03">
      <w:pPr>
        <w:spacing w:line="240" w:lineRule="auto"/>
        <w:rPr>
          <w:iCs/>
          <w:u w:val="single"/>
        </w:rPr>
      </w:pPr>
      <w:bookmarkStart w:id="5" w:name="_Hlk129682724"/>
      <w:r w:rsidRPr="00DB7712">
        <w:rPr>
          <w:iCs/>
          <w:u w:val="single"/>
        </w:rPr>
        <w:t>Kur domácí</w:t>
      </w:r>
      <w:r w:rsidRPr="00080B03">
        <w:rPr>
          <w:iCs/>
        </w:rPr>
        <w:t>:</w:t>
      </w:r>
      <w:bookmarkEnd w:id="5"/>
    </w:p>
    <w:p w14:paraId="29F1AFC4" w14:textId="1276B503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Pro léčbu a </w:t>
      </w:r>
      <w:proofErr w:type="spellStart"/>
      <w:r w:rsidRPr="00DB7712">
        <w:rPr>
          <w:iCs/>
        </w:rPr>
        <w:t>metafylaxi</w:t>
      </w:r>
      <w:proofErr w:type="spellEnd"/>
      <w:r w:rsidRPr="00DB7712">
        <w:rPr>
          <w:iCs/>
        </w:rPr>
        <w:t xml:space="preserve"> chronické respirační nemoc</w:t>
      </w:r>
      <w:r>
        <w:rPr>
          <w:iCs/>
        </w:rPr>
        <w:t>i</w:t>
      </w:r>
      <w:r w:rsidRPr="00DB7712">
        <w:rPr>
          <w:iCs/>
        </w:rPr>
        <w:t xml:space="preserve">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gallisepticum</w:t>
      </w:r>
      <w:proofErr w:type="spellEnd"/>
      <w:r w:rsidRPr="00DB7712">
        <w:rPr>
          <w:iCs/>
        </w:rPr>
        <w:t xml:space="preserve"> </w:t>
      </w:r>
      <w:r w:rsidR="001316F7" w:rsidRPr="00DB7712">
        <w:rPr>
          <w:iCs/>
        </w:rPr>
        <w:t>a</w:t>
      </w:r>
      <w:r w:rsidR="001316F7">
        <w:rPr>
          <w:iCs/>
        </w:rPr>
        <w:t> </w:t>
      </w:r>
      <w:proofErr w:type="spellStart"/>
      <w:r w:rsidRPr="00DB7712">
        <w:rPr>
          <w:iCs/>
        </w:rPr>
        <w:t>aerosakulitidy</w:t>
      </w:r>
      <w:proofErr w:type="spellEnd"/>
      <w:r w:rsidRPr="00DB7712">
        <w:rPr>
          <w:iCs/>
        </w:rPr>
        <w:t xml:space="preserve"> a infekční synovitidy </w:t>
      </w:r>
      <w:r>
        <w:rPr>
          <w:iCs/>
        </w:rPr>
        <w:t xml:space="preserve">vyvolané 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synoviae</w:t>
      </w:r>
      <w:proofErr w:type="spellEnd"/>
      <w:r w:rsidRPr="00DB7712">
        <w:rPr>
          <w:iCs/>
        </w:rPr>
        <w:t>.</w:t>
      </w:r>
    </w:p>
    <w:p w14:paraId="37F0BC3C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lastRenderedPageBreak/>
        <w:t xml:space="preserve">Dávka je 25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0,2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dobu 3 až 5 po sobě jdoucích dnů.</w:t>
      </w:r>
    </w:p>
    <w:p w14:paraId="29720EF5" w14:textId="77777777" w:rsidR="00080B03" w:rsidRPr="00DB7712" w:rsidRDefault="00080B03" w:rsidP="00080B03">
      <w:pPr>
        <w:spacing w:line="240" w:lineRule="auto"/>
        <w:rPr>
          <w:iCs/>
          <w:u w:val="single"/>
        </w:rPr>
      </w:pPr>
    </w:p>
    <w:p w14:paraId="0674B509" w14:textId="6A7B5CB6" w:rsidR="00080B03" w:rsidRPr="007F29AA" w:rsidRDefault="00080B03" w:rsidP="00225628">
      <w:pPr>
        <w:keepNext/>
        <w:spacing w:line="240" w:lineRule="auto"/>
        <w:rPr>
          <w:iCs/>
          <w:u w:val="single"/>
        </w:rPr>
      </w:pPr>
      <w:bookmarkStart w:id="6" w:name="_Hlk129682731"/>
      <w:r w:rsidRPr="00DB7712">
        <w:rPr>
          <w:iCs/>
          <w:u w:val="single"/>
        </w:rPr>
        <w:t>Krůty</w:t>
      </w:r>
      <w:r w:rsidRPr="00080B03">
        <w:rPr>
          <w:iCs/>
        </w:rPr>
        <w:t>:</w:t>
      </w:r>
      <w:bookmarkEnd w:id="6"/>
    </w:p>
    <w:p w14:paraId="4651CDD2" w14:textId="6F0AE757" w:rsidR="00080B03" w:rsidRPr="00603269" w:rsidRDefault="00080B03" w:rsidP="00080B03">
      <w:pPr>
        <w:spacing w:line="240" w:lineRule="auto"/>
        <w:jc w:val="both"/>
        <w:rPr>
          <w:iCs/>
        </w:rPr>
      </w:pPr>
      <w:r>
        <w:rPr>
          <w:iCs/>
        </w:rPr>
        <w:t xml:space="preserve">Pro léčbu a </w:t>
      </w:r>
      <w:proofErr w:type="spellStart"/>
      <w:r>
        <w:rPr>
          <w:iCs/>
        </w:rPr>
        <w:t>metafylaxi</w:t>
      </w:r>
      <w:proofErr w:type="spellEnd"/>
      <w:r>
        <w:rPr>
          <w:iCs/>
        </w:rPr>
        <w:t xml:space="preserve"> infekční sinusitidy a </w:t>
      </w:r>
      <w:proofErr w:type="spellStart"/>
      <w:r>
        <w:rPr>
          <w:iCs/>
        </w:rPr>
        <w:t>aerosakulitidy</w:t>
      </w:r>
      <w:proofErr w:type="spellEnd"/>
      <w:r>
        <w:rPr>
          <w:iCs/>
        </w:rPr>
        <w:t xml:space="preserve"> vyvolaných zárodky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gallisepticum</w:t>
      </w:r>
      <w:proofErr w:type="spellEnd"/>
      <w:r>
        <w:rPr>
          <w:iCs/>
        </w:rPr>
        <w:t xml:space="preserve">,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synoviae</w:t>
      </w:r>
      <w:proofErr w:type="spellEnd"/>
      <w:r>
        <w:rPr>
          <w:iCs/>
        </w:rPr>
        <w:t xml:space="preserve"> a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meleagridis</w:t>
      </w:r>
      <w:proofErr w:type="spellEnd"/>
      <w:r>
        <w:rPr>
          <w:iCs/>
        </w:rPr>
        <w:t>.</w:t>
      </w:r>
    </w:p>
    <w:p w14:paraId="2B22ABD5" w14:textId="4B51C9EE" w:rsidR="00080B03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40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0,32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dobu 3 až 5 po sobě jdoucích dnů.</w:t>
      </w:r>
    </w:p>
    <w:p w14:paraId="3807E896" w14:textId="77777777" w:rsidR="00080B03" w:rsidRPr="00B41D57" w:rsidRDefault="00080B03" w:rsidP="00080B03">
      <w:pPr>
        <w:tabs>
          <w:tab w:val="clear" w:pos="567"/>
        </w:tabs>
        <w:spacing w:line="240" w:lineRule="auto"/>
        <w:rPr>
          <w:szCs w:val="22"/>
        </w:rPr>
      </w:pPr>
    </w:p>
    <w:p w14:paraId="10E7135C" w14:textId="77777777" w:rsidR="00C114FF" w:rsidRPr="00B41D57" w:rsidRDefault="00273FA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0E7135D" w14:textId="0DECEF5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05D73C" w14:textId="1059D7BD" w:rsidR="009232A9" w:rsidRPr="00DB7712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Jednorázové perorální dávky 100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u prasat způsobily hyperpnoe a abdominální </w:t>
      </w:r>
      <w:proofErr w:type="spellStart"/>
      <w:r w:rsidRPr="00DB7712">
        <w:rPr>
          <w:bCs/>
        </w:rPr>
        <w:t>diskomfort</w:t>
      </w:r>
      <w:proofErr w:type="spellEnd"/>
      <w:r w:rsidRPr="00DB7712">
        <w:rPr>
          <w:bCs/>
        </w:rPr>
        <w:t xml:space="preserve">. Při dávce 150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nebyly zaznamenány žádné vlivy na CNS kromě útlumu. Při 55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podávaných po dobu 14 dnů se objevilo </w:t>
      </w:r>
      <w:r>
        <w:rPr>
          <w:bCs/>
        </w:rPr>
        <w:t>přechodné</w:t>
      </w:r>
      <w:r w:rsidRPr="00DB7712">
        <w:rPr>
          <w:bCs/>
        </w:rPr>
        <w:t xml:space="preserve"> slinění a</w:t>
      </w:r>
      <w:r w:rsidR="001316F7">
        <w:rPr>
          <w:bCs/>
        </w:rPr>
        <w:t> </w:t>
      </w:r>
      <w:r w:rsidRPr="00DB7712">
        <w:rPr>
          <w:bCs/>
        </w:rPr>
        <w:t xml:space="preserve">mírné podráždění žaludku. Předpokládá se,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má odpovídající terapeutický index u prasat a minimální letální dávka nebyla dosud stanovena.</w:t>
      </w:r>
    </w:p>
    <w:p w14:paraId="021EEA06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770497C2" w14:textId="61B62D1F" w:rsidR="009232A9" w:rsidRPr="00DB7712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jde o drůbež,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má poměrně vysoký terapeutický index </w:t>
      </w:r>
      <w:r w:rsidR="001316F7" w:rsidRPr="00DB7712">
        <w:rPr>
          <w:bCs/>
        </w:rPr>
        <w:t>a</w:t>
      </w:r>
      <w:r w:rsidR="001316F7">
        <w:rPr>
          <w:bCs/>
        </w:rPr>
        <w:t> </w:t>
      </w:r>
      <w:r w:rsidRPr="00DB7712">
        <w:rPr>
          <w:bCs/>
        </w:rPr>
        <w:t xml:space="preserve">pravděpodobnost předávkování se považuje za velice slabou, protože přívod vody a tím přívod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se snižuje, pokud jsou podávány abnormálně vysoké koncentrace. LD</w:t>
      </w:r>
      <w:r w:rsidRPr="000C0B80">
        <w:rPr>
          <w:bCs/>
          <w:vertAlign w:val="subscript"/>
        </w:rPr>
        <w:t>50</w:t>
      </w:r>
      <w:r w:rsidRPr="00DB7712">
        <w:rPr>
          <w:bCs/>
        </w:rPr>
        <w:t xml:space="preserve"> je 1090 mg/kg živé hmotnosti u kura domácího a 840 mg/kg živé hmotnosti u krůt.</w:t>
      </w:r>
    </w:p>
    <w:p w14:paraId="063ED46F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3368608B" w14:textId="77777777" w:rsidR="009232A9" w:rsidRPr="00DB7712" w:rsidRDefault="009232A9" w:rsidP="009232A9">
      <w:pPr>
        <w:spacing w:line="240" w:lineRule="auto"/>
        <w:jc w:val="both"/>
        <w:rPr>
          <w:bCs/>
        </w:rPr>
      </w:pPr>
      <w:bookmarkStart w:id="7" w:name="_Hlk136333860"/>
      <w:r w:rsidRPr="00DB7712">
        <w:rPr>
          <w:bCs/>
        </w:rPr>
        <w:t xml:space="preserve">Klinickými příznaky akutní toxicity u kura domácího jsou – vokalizace, klonické křeče a </w:t>
      </w:r>
      <w:r>
        <w:rPr>
          <w:bCs/>
        </w:rPr>
        <w:t>laterální</w:t>
      </w:r>
      <w:r w:rsidRPr="00DB7712">
        <w:rPr>
          <w:bCs/>
        </w:rPr>
        <w:t xml:space="preserve"> polo</w:t>
      </w:r>
      <w:r>
        <w:rPr>
          <w:bCs/>
        </w:rPr>
        <w:t>ha</w:t>
      </w:r>
      <w:r w:rsidRPr="00DB7712">
        <w:rPr>
          <w:bCs/>
        </w:rPr>
        <w:t xml:space="preserve">, u krůt – klonické křeče, </w:t>
      </w:r>
      <w:r>
        <w:rPr>
          <w:bCs/>
        </w:rPr>
        <w:t xml:space="preserve">laterální nebo dorzální </w:t>
      </w:r>
      <w:r w:rsidRPr="00DB7712">
        <w:rPr>
          <w:bCs/>
        </w:rPr>
        <w:t>poloha, slinění a ptóza.</w:t>
      </w:r>
    </w:p>
    <w:bookmarkEnd w:id="7"/>
    <w:p w14:paraId="464C9381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55A60949" w14:textId="63D585E1" w:rsidR="009232A9" w:rsidRPr="009232A9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známky intoxikace objeví, neprodleně odstraňte vodu </w:t>
      </w:r>
      <w:r>
        <w:rPr>
          <w:bCs/>
        </w:rPr>
        <w:t xml:space="preserve">s obsahem léčiva </w:t>
      </w:r>
      <w:r w:rsidRPr="00DB7712">
        <w:rPr>
          <w:bCs/>
        </w:rPr>
        <w:t>a nahraďte ji vodou čerstvou.</w:t>
      </w:r>
    </w:p>
    <w:p w14:paraId="05D40D10" w14:textId="77777777" w:rsidR="009232A9" w:rsidRPr="00B41D57" w:rsidRDefault="009232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5E" w14:textId="77777777" w:rsidR="009A6509" w:rsidRPr="00B41D57" w:rsidRDefault="00273FA6" w:rsidP="008829C3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0E7135F" w14:textId="77777777" w:rsidR="009A6509" w:rsidRPr="00B41D57" w:rsidRDefault="009A6509" w:rsidP="008829C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3548F2" w14:textId="77777777" w:rsidR="009232A9" w:rsidRPr="00B41D57" w:rsidRDefault="009232A9" w:rsidP="008829C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0DB4">
        <w:t>Neuplatňuje se.</w:t>
      </w:r>
    </w:p>
    <w:p w14:paraId="10E71369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0E7136A" w14:textId="77777777" w:rsidR="00C114FF" w:rsidRPr="00B41D57" w:rsidRDefault="00273FA6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10E7136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BABEF6" w14:textId="5A93CC4A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Prasata</w:t>
      </w:r>
      <w:r w:rsidRPr="009232A9">
        <w:rPr>
          <w:iCs/>
        </w:rPr>
        <w:t>:</w:t>
      </w:r>
    </w:p>
    <w:p w14:paraId="713CB509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Maso: 2 dny (8,8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(ekvivalentní 0,07 ml roztoku) na kg živé hmotnosti</w:t>
      </w:r>
    </w:p>
    <w:p w14:paraId="40FA1A06" w14:textId="24EDF8B2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Maso: 4 dny (20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(ekvivalentní 0,16 ml roztoku) na kg živé hmotnosti</w:t>
      </w:r>
    </w:p>
    <w:p w14:paraId="55C5267B" w14:textId="77777777" w:rsidR="009232A9" w:rsidRPr="00DB7712" w:rsidRDefault="009232A9" w:rsidP="009232A9">
      <w:pPr>
        <w:spacing w:line="240" w:lineRule="auto"/>
        <w:rPr>
          <w:iCs/>
        </w:rPr>
      </w:pPr>
    </w:p>
    <w:p w14:paraId="07620F69" w14:textId="610D8EEA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Kur domácí</w:t>
      </w:r>
      <w:r w:rsidRPr="009232A9">
        <w:rPr>
          <w:iCs/>
        </w:rPr>
        <w:t>:</w:t>
      </w:r>
    </w:p>
    <w:p w14:paraId="57F5D0A3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>Maso: 2 dny</w:t>
      </w:r>
    </w:p>
    <w:p w14:paraId="0C51DE7A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Vejce: </w:t>
      </w:r>
      <w:r>
        <w:rPr>
          <w:iCs/>
        </w:rPr>
        <w:t>Bez ochranných lhůt.</w:t>
      </w:r>
    </w:p>
    <w:p w14:paraId="3BD098F5" w14:textId="77777777" w:rsidR="009232A9" w:rsidRPr="00DB7712" w:rsidRDefault="009232A9" w:rsidP="009232A9">
      <w:pPr>
        <w:spacing w:line="240" w:lineRule="auto"/>
        <w:rPr>
          <w:iCs/>
        </w:rPr>
      </w:pPr>
    </w:p>
    <w:p w14:paraId="4C88B00B" w14:textId="3356FEE1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Krůty</w:t>
      </w:r>
      <w:r w:rsidRPr="009232A9">
        <w:rPr>
          <w:iCs/>
        </w:rPr>
        <w:t>:</w:t>
      </w:r>
    </w:p>
    <w:p w14:paraId="32D662F3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>Maso: 6 dnů</w:t>
      </w:r>
    </w:p>
    <w:p w14:paraId="10E71377" w14:textId="4E39A0CD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DAB9CF" w14:textId="77777777" w:rsidR="00B6626F" w:rsidRPr="00B41D57" w:rsidRDefault="00B6626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78" w14:textId="0C2A59BB" w:rsidR="00C114FF" w:rsidRPr="00B41D57" w:rsidRDefault="00273FA6" w:rsidP="008829C3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10E71379" w14:textId="77777777" w:rsidR="00C114FF" w:rsidRPr="00B41D57" w:rsidRDefault="00C114FF" w:rsidP="008829C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D41B549" w14:textId="3C022770" w:rsidR="00DA3BAA" w:rsidRPr="009232A9" w:rsidRDefault="00273FA6" w:rsidP="00B13B6D">
      <w:pPr>
        <w:pStyle w:val="Style1"/>
        <w:rPr>
          <w:b w:val="0"/>
          <w:bCs/>
          <w:szCs w:val="20"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9232A9">
        <w:t xml:space="preserve"> </w:t>
      </w:r>
      <w:r w:rsidR="009232A9" w:rsidRPr="009232A9">
        <w:rPr>
          <w:bCs/>
        </w:rPr>
        <w:t>QJ01XQ01</w:t>
      </w:r>
    </w:p>
    <w:p w14:paraId="561BCD1E" w14:textId="77777777" w:rsidR="009232A9" w:rsidRPr="009232A9" w:rsidRDefault="009232A9" w:rsidP="009232A9">
      <w:pPr>
        <w:spacing w:line="240" w:lineRule="auto"/>
      </w:pPr>
    </w:p>
    <w:p w14:paraId="10E7137D" w14:textId="09C5C318" w:rsidR="00C114FF" w:rsidRPr="00B41D57" w:rsidRDefault="00273FA6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0E7137E" w14:textId="5517AA4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1539F" w14:textId="4801D92D" w:rsidR="00A6364A" w:rsidRPr="00603269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je bakteriostatické </w:t>
      </w:r>
      <w:proofErr w:type="spellStart"/>
      <w:r>
        <w:rPr>
          <w:bCs/>
        </w:rPr>
        <w:t>semisyntetické</w:t>
      </w:r>
      <w:proofErr w:type="spellEnd"/>
      <w:r>
        <w:rPr>
          <w:bCs/>
        </w:rPr>
        <w:t xml:space="preserve"> antibiotikum náležející do antibiotické skupiny </w:t>
      </w:r>
      <w:proofErr w:type="spellStart"/>
      <w:r>
        <w:rPr>
          <w:bCs/>
        </w:rPr>
        <w:t>pleuromutilinů</w:t>
      </w:r>
      <w:proofErr w:type="spellEnd"/>
      <w:r>
        <w:rPr>
          <w:bCs/>
        </w:rPr>
        <w:t xml:space="preserve">, působí na ribozomální úrovni a </w:t>
      </w:r>
      <w:r w:rsidR="00DA3BAA">
        <w:rPr>
          <w:bCs/>
        </w:rPr>
        <w:t>inhibuje</w:t>
      </w:r>
      <w:r>
        <w:rPr>
          <w:bCs/>
        </w:rPr>
        <w:t xml:space="preserve"> syntéz</w:t>
      </w:r>
      <w:r w:rsidR="00DA3BAA">
        <w:rPr>
          <w:bCs/>
        </w:rPr>
        <w:t>u</w:t>
      </w:r>
      <w:r>
        <w:rPr>
          <w:bCs/>
        </w:rPr>
        <w:t xml:space="preserve"> bakteriálního proteinu.</w:t>
      </w:r>
    </w:p>
    <w:p w14:paraId="6AF1D9D8" w14:textId="77777777" w:rsidR="00A6364A" w:rsidRPr="007F29AA" w:rsidRDefault="00A6364A" w:rsidP="00A6364A">
      <w:pPr>
        <w:spacing w:line="240" w:lineRule="auto"/>
        <w:jc w:val="both"/>
        <w:rPr>
          <w:bCs/>
        </w:rPr>
      </w:pPr>
    </w:p>
    <w:p w14:paraId="5B3F2090" w14:textId="77777777" w:rsidR="00A6364A" w:rsidRPr="00603269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prokázal vysokou úroveň aktivity </w:t>
      </w:r>
      <w:r>
        <w:rPr>
          <w:bCs/>
          <w:i/>
          <w:iCs/>
        </w:rPr>
        <w:t xml:space="preserve">in vitro </w:t>
      </w:r>
      <w:r>
        <w:rPr>
          <w:bCs/>
        </w:rPr>
        <w:t xml:space="preserve">proti </w:t>
      </w:r>
      <w:proofErr w:type="spellStart"/>
      <w:r>
        <w:rPr>
          <w:bCs/>
        </w:rPr>
        <w:t>porcinním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aviárním</w:t>
      </w:r>
      <w:proofErr w:type="spellEnd"/>
      <w:r>
        <w:rPr>
          <w:bCs/>
        </w:rPr>
        <w:t xml:space="preserve"> druhům </w:t>
      </w:r>
      <w:proofErr w:type="spellStart"/>
      <w:r>
        <w:rPr>
          <w:bCs/>
          <w:i/>
          <w:iCs/>
        </w:rPr>
        <w:t>Mycoplasma</w:t>
      </w:r>
      <w:proofErr w:type="spellEnd"/>
      <w:r>
        <w:rPr>
          <w:bCs/>
          <w:i/>
          <w:iCs/>
        </w:rPr>
        <w:t xml:space="preserve"> </w:t>
      </w:r>
      <w:proofErr w:type="spellStart"/>
      <w:r w:rsidRPr="005557A9">
        <w:rPr>
          <w:bCs/>
          <w:iCs/>
        </w:rPr>
        <w:t>spp</w:t>
      </w:r>
      <w:proofErr w:type="spellEnd"/>
      <w:r w:rsidRPr="005557A9">
        <w:rPr>
          <w:bCs/>
          <w:iCs/>
        </w:rPr>
        <w:t>.</w:t>
      </w:r>
      <w:r>
        <w:rPr>
          <w:bCs/>
        </w:rPr>
        <w:t>, stejně jako proti gramnegativním anaerobním bakteriím (</w:t>
      </w:r>
      <w:proofErr w:type="spellStart"/>
      <w:r>
        <w:rPr>
          <w:bCs/>
          <w:i/>
          <w:iCs/>
        </w:rPr>
        <w:t>Brachyspira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hyodysenteriae</w:t>
      </w:r>
      <w:proofErr w:type="spellEnd"/>
      <w:r>
        <w:rPr>
          <w:bCs/>
        </w:rPr>
        <w:t xml:space="preserve">, </w:t>
      </w:r>
      <w:proofErr w:type="spellStart"/>
      <w:r>
        <w:rPr>
          <w:bCs/>
          <w:i/>
          <w:iCs/>
        </w:rPr>
        <w:t>Brachyspira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pilosicoli</w:t>
      </w:r>
      <w:proofErr w:type="spellEnd"/>
      <w:r>
        <w:rPr>
          <w:bCs/>
          <w:i/>
          <w:iCs/>
        </w:rPr>
        <w:t xml:space="preserve">), </w:t>
      </w:r>
      <w:r>
        <w:rPr>
          <w:bCs/>
        </w:rPr>
        <w:t xml:space="preserve">a </w:t>
      </w:r>
      <w:proofErr w:type="spellStart"/>
      <w:r>
        <w:rPr>
          <w:bCs/>
        </w:rPr>
        <w:t>grampozitivním</w:t>
      </w:r>
      <w:proofErr w:type="spellEnd"/>
      <w:r>
        <w:rPr>
          <w:bCs/>
        </w:rPr>
        <w:t xml:space="preserve"> aerobním bakteriím (</w:t>
      </w:r>
      <w:proofErr w:type="spellStart"/>
      <w:r>
        <w:rPr>
          <w:bCs/>
          <w:i/>
          <w:iCs/>
        </w:rPr>
        <w:t>Actinobacillus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pleuropneumoniae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a </w:t>
      </w:r>
      <w:proofErr w:type="spellStart"/>
      <w:r>
        <w:rPr>
          <w:bCs/>
          <w:i/>
          <w:iCs/>
        </w:rPr>
        <w:t>Pasteurella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multocida</w:t>
      </w:r>
      <w:proofErr w:type="spellEnd"/>
      <w:r>
        <w:rPr>
          <w:bCs/>
        </w:rPr>
        <w:t>).</w:t>
      </w:r>
    </w:p>
    <w:p w14:paraId="1FD12023" w14:textId="77777777" w:rsidR="00A6364A" w:rsidRPr="007F29AA" w:rsidRDefault="00A6364A" w:rsidP="00A6364A">
      <w:pPr>
        <w:spacing w:line="240" w:lineRule="auto"/>
        <w:rPr>
          <w:bCs/>
        </w:rPr>
      </w:pPr>
    </w:p>
    <w:p w14:paraId="34CAA0CD" w14:textId="77777777" w:rsidR="00A6364A" w:rsidRPr="00DB7712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Bylo prokázáno,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působí na úrovni ribozomu a primární vazebné místo je na</w:t>
      </w:r>
      <w:r>
        <w:rPr>
          <w:bCs/>
        </w:rPr>
        <w:t xml:space="preserve"> </w:t>
      </w:r>
      <w:r w:rsidRPr="00DB7712">
        <w:rPr>
          <w:bCs/>
        </w:rPr>
        <w:t xml:space="preserve">podjednotce </w:t>
      </w:r>
      <w:proofErr w:type="gramStart"/>
      <w:r w:rsidRPr="00DB7712">
        <w:rPr>
          <w:bCs/>
        </w:rPr>
        <w:t>50S</w:t>
      </w:r>
      <w:proofErr w:type="gramEnd"/>
      <w:r w:rsidRPr="00DB7712">
        <w:rPr>
          <w:bCs/>
        </w:rPr>
        <w:t xml:space="preserve">. Zdá se, že potlačuje </w:t>
      </w:r>
      <w:r>
        <w:rPr>
          <w:bCs/>
        </w:rPr>
        <w:t>syntézu</w:t>
      </w:r>
      <w:r w:rsidRPr="00DB7712">
        <w:rPr>
          <w:bCs/>
        </w:rPr>
        <w:t xml:space="preserve"> bílkovin tím, že produkuje biochemicky neaktivní iniciační komplexy, které zabraňují prodlužování polypeptidového řetězce.</w:t>
      </w:r>
    </w:p>
    <w:p w14:paraId="5C87BA41" w14:textId="77777777" w:rsidR="00A6364A" w:rsidRPr="00DB7712" w:rsidRDefault="00A6364A" w:rsidP="00A6364A">
      <w:pPr>
        <w:spacing w:line="240" w:lineRule="auto"/>
        <w:jc w:val="both"/>
        <w:rPr>
          <w:bCs/>
        </w:rPr>
      </w:pPr>
    </w:p>
    <w:p w14:paraId="5E012B06" w14:textId="259B74EC" w:rsidR="00A6364A" w:rsidRPr="00603269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Baktericidních koncentrací lze dosáhnout, ale mění se podle </w:t>
      </w:r>
      <w:r>
        <w:rPr>
          <w:bCs/>
        </w:rPr>
        <w:t xml:space="preserve">druhu </w:t>
      </w:r>
      <w:r w:rsidRPr="00DB7712">
        <w:rPr>
          <w:bCs/>
        </w:rPr>
        <w:t xml:space="preserve">baktérie. </w:t>
      </w:r>
      <w:r>
        <w:rPr>
          <w:bCs/>
        </w:rPr>
        <w:t>P</w:t>
      </w:r>
      <w:r w:rsidRPr="00DB7712">
        <w:rPr>
          <w:bCs/>
        </w:rPr>
        <w:t xml:space="preserve">ro </w:t>
      </w:r>
      <w:proofErr w:type="spellStart"/>
      <w:r w:rsidRPr="00DB7712">
        <w:rPr>
          <w:bCs/>
          <w:i/>
          <w:iCs/>
        </w:rPr>
        <w:t>Brachyspira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hyodysenteriae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a </w:t>
      </w:r>
      <w:proofErr w:type="spellStart"/>
      <w:r w:rsidRPr="00DB7712">
        <w:rPr>
          <w:bCs/>
          <w:i/>
          <w:iCs/>
        </w:rPr>
        <w:t>Actinobacillus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pleuropneumoniae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>m</w:t>
      </w:r>
      <w:r w:rsidRPr="00DB7712">
        <w:rPr>
          <w:bCs/>
        </w:rPr>
        <w:t xml:space="preserve">ůže stačit jen dvojnásobek MIC, ale pro </w:t>
      </w:r>
      <w:proofErr w:type="spellStart"/>
      <w:r w:rsidRPr="00DB7712">
        <w:rPr>
          <w:bCs/>
          <w:i/>
          <w:iCs/>
        </w:rPr>
        <w:t>Staphylococcus</w:t>
      </w:r>
      <w:proofErr w:type="spellEnd"/>
      <w:r w:rsidRPr="00DB7712">
        <w:rPr>
          <w:bCs/>
          <w:i/>
          <w:iCs/>
        </w:rPr>
        <w:t xml:space="preserve"> aureus</w:t>
      </w:r>
      <w:r w:rsidRPr="00DB7712">
        <w:rPr>
          <w:bCs/>
        </w:rPr>
        <w:t xml:space="preserve"> až 50–100násobek bakteriostatické úrovně. Distribuce MIC pro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proti </w:t>
      </w:r>
      <w:proofErr w:type="spellStart"/>
      <w:r w:rsidRPr="00DB7712">
        <w:rPr>
          <w:bCs/>
          <w:i/>
          <w:iCs/>
        </w:rPr>
        <w:t>Brachyspira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hyodysenteriae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je bimodální, což naznačuje sníženou citlivost některých kmenů na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. </w:t>
      </w:r>
      <w:r w:rsidR="0011688A">
        <w:rPr>
          <w:bCs/>
        </w:rPr>
        <w:t>Kvůli</w:t>
      </w:r>
      <w:r w:rsidR="0011688A" w:rsidRPr="00DB7712">
        <w:rPr>
          <w:bCs/>
        </w:rPr>
        <w:t xml:space="preserve"> </w:t>
      </w:r>
      <w:r w:rsidRPr="00DB7712">
        <w:rPr>
          <w:bCs/>
        </w:rPr>
        <w:t xml:space="preserve">technickým omezením se citlivost </w:t>
      </w:r>
      <w:proofErr w:type="spellStart"/>
      <w:r w:rsidRPr="00DB7712">
        <w:rPr>
          <w:bCs/>
          <w:i/>
          <w:iCs/>
        </w:rPr>
        <w:t>Lawsonia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intracellularis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testuje </w:t>
      </w:r>
      <w:r w:rsidRPr="00DB7712">
        <w:rPr>
          <w:bCs/>
          <w:i/>
          <w:iCs/>
        </w:rPr>
        <w:t>in vitro</w:t>
      </w:r>
      <w:r w:rsidRPr="00DB7712">
        <w:rPr>
          <w:bCs/>
        </w:rPr>
        <w:t xml:space="preserve"> obtížně.</w:t>
      </w:r>
    </w:p>
    <w:p w14:paraId="6DDC7618" w14:textId="77777777" w:rsidR="00A6364A" w:rsidRPr="00DB7712" w:rsidRDefault="00A6364A" w:rsidP="00A6364A">
      <w:pPr>
        <w:spacing w:line="240" w:lineRule="auto"/>
        <w:jc w:val="both"/>
        <w:rPr>
          <w:bCs/>
        </w:rPr>
      </w:pPr>
    </w:p>
    <w:p w14:paraId="3DAB6CA8" w14:textId="57E13DFA" w:rsidR="00A6364A" w:rsidRPr="00603269" w:rsidRDefault="00A6364A" w:rsidP="00A6364A">
      <w:pPr>
        <w:spacing w:line="240" w:lineRule="auto"/>
        <w:jc w:val="both"/>
        <w:rPr>
          <w:bCs/>
        </w:rPr>
      </w:pPr>
      <w:r>
        <w:rPr>
          <w:bCs/>
        </w:rPr>
        <w:t xml:space="preserve">Rezistence vychází z chromozomálních mutací v genech 23 </w:t>
      </w:r>
      <w:proofErr w:type="spellStart"/>
      <w:r>
        <w:rPr>
          <w:bCs/>
        </w:rPr>
        <w:t>rRNA</w:t>
      </w:r>
      <w:proofErr w:type="spellEnd"/>
      <w:r>
        <w:rPr>
          <w:bCs/>
        </w:rPr>
        <w:t xml:space="preserve"> a </w:t>
      </w:r>
      <w:proofErr w:type="spellStart"/>
      <w:r>
        <w:rPr>
          <w:bCs/>
          <w:i/>
          <w:iCs/>
        </w:rPr>
        <w:t>rplC</w:t>
      </w:r>
      <w:proofErr w:type="spellEnd"/>
      <w:r>
        <w:rPr>
          <w:bCs/>
        </w:rPr>
        <w:t xml:space="preserve">. Tyto chromozomální mutace nastávají relativně pomalu, stupňovitě a nepřenáší se horizontálně. Geny rezistence lze navíc lokalizovat na </w:t>
      </w:r>
      <w:proofErr w:type="spellStart"/>
      <w:r>
        <w:rPr>
          <w:bCs/>
        </w:rPr>
        <w:t>plazmidech</w:t>
      </w:r>
      <w:proofErr w:type="spellEnd"/>
      <w:r>
        <w:rPr>
          <w:bCs/>
        </w:rPr>
        <w:t xml:space="preserve"> nebo na </w:t>
      </w:r>
      <w:proofErr w:type="spellStart"/>
      <w:r>
        <w:rPr>
          <w:bCs/>
        </w:rPr>
        <w:t>transposonech</w:t>
      </w:r>
      <w:proofErr w:type="spellEnd"/>
      <w:r>
        <w:rPr>
          <w:bCs/>
        </w:rPr>
        <w:t xml:space="preserve">, jako jsou geny </w:t>
      </w:r>
      <w:proofErr w:type="spellStart"/>
      <w:proofErr w:type="gramStart"/>
      <w:r>
        <w:rPr>
          <w:bCs/>
          <w:i/>
          <w:iCs/>
        </w:rPr>
        <w:t>vga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 a</w:t>
      </w:r>
      <w:proofErr w:type="gramEnd"/>
      <w:r>
        <w:rPr>
          <w:bCs/>
        </w:rPr>
        <w:t xml:space="preserve"> gen </w:t>
      </w:r>
      <w:proofErr w:type="spellStart"/>
      <w:r>
        <w:rPr>
          <w:bCs/>
          <w:i/>
          <w:iCs/>
        </w:rPr>
        <w:t>cfr</w:t>
      </w:r>
      <w:proofErr w:type="spellEnd"/>
      <w:r>
        <w:rPr>
          <w:bCs/>
        </w:rPr>
        <w:t>. Tento typ rezistence je přenositelný mezi bakteriemi a druhy bakterií. Mechanismus rezistence se mění podle druhů bakterií.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bCs/>
        </w:rPr>
        <w:t xml:space="preserve">Mutace v genu L3 ribozomálního proteinu a genu </w:t>
      </w:r>
      <w:proofErr w:type="gramStart"/>
      <w:r>
        <w:rPr>
          <w:bCs/>
        </w:rPr>
        <w:t>23S</w:t>
      </w:r>
      <w:proofErr w:type="gramEnd"/>
      <w:r>
        <w:rPr>
          <w:bCs/>
        </w:rPr>
        <w:t xml:space="preserve"> ribozomální RNA ovlivňující centrum </w:t>
      </w:r>
      <w:proofErr w:type="spellStart"/>
      <w:r>
        <w:rPr>
          <w:bCs/>
        </w:rPr>
        <w:t>peptidyltransferázy</w:t>
      </w:r>
      <w:proofErr w:type="spellEnd"/>
      <w:r>
        <w:rPr>
          <w:bCs/>
        </w:rPr>
        <w:t xml:space="preserve"> jsou spojeny se sníženou citlivostí na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u </w:t>
      </w:r>
      <w:proofErr w:type="spellStart"/>
      <w:r w:rsidRPr="005557A9">
        <w:rPr>
          <w:bCs/>
          <w:i/>
        </w:rPr>
        <w:t>Brachyspira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spp</w:t>
      </w:r>
      <w:proofErr w:type="spellEnd"/>
      <w:r>
        <w:rPr>
          <w:bCs/>
        </w:rPr>
        <w:t xml:space="preserve">. Mutace v genu </w:t>
      </w:r>
      <w:proofErr w:type="gramStart"/>
      <w:r>
        <w:rPr>
          <w:bCs/>
        </w:rPr>
        <w:t>23S</w:t>
      </w:r>
      <w:proofErr w:type="gramEnd"/>
      <w:r>
        <w:rPr>
          <w:bCs/>
        </w:rPr>
        <w:t xml:space="preserve"> ribozomální RNA jsou spojeny s rezistencí k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 u </w:t>
      </w:r>
      <w:proofErr w:type="spellStart"/>
      <w:r w:rsidRPr="005557A9">
        <w:rPr>
          <w:bCs/>
          <w:i/>
        </w:rPr>
        <w:t>Mycoplasma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spp</w:t>
      </w:r>
      <w:proofErr w:type="spellEnd"/>
      <w:r>
        <w:rPr>
          <w:bCs/>
        </w:rPr>
        <w:t>.</w:t>
      </w:r>
    </w:p>
    <w:p w14:paraId="07ED4237" w14:textId="77777777" w:rsidR="00A6364A" w:rsidRPr="00B41D57" w:rsidRDefault="00A6364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7F" w14:textId="4168977B" w:rsidR="00C114FF" w:rsidRPr="00B41D57" w:rsidRDefault="00273FA6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0E71380" w14:textId="24E9D4F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A5F0BD" w14:textId="2F069FC3" w:rsidR="00A6364A" w:rsidRPr="00603269" w:rsidRDefault="00A6364A" w:rsidP="00A6364A">
      <w:pPr>
        <w:spacing w:line="240" w:lineRule="auto"/>
        <w:rPr>
          <w:bCs/>
          <w:u w:val="single"/>
        </w:rPr>
      </w:pPr>
      <w:r>
        <w:rPr>
          <w:bCs/>
          <w:u w:val="single"/>
        </w:rPr>
        <w:t>Prasata</w:t>
      </w:r>
      <w:r w:rsidRPr="00A6364A">
        <w:rPr>
          <w:bCs/>
        </w:rPr>
        <w:t>:</w:t>
      </w:r>
    </w:p>
    <w:p w14:paraId="141161E6" w14:textId="644059BC" w:rsidR="00A6364A" w:rsidRPr="00DB7712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se u prasete po perorálním podání dobře vstřebává (více než 90</w:t>
      </w:r>
      <w:r w:rsidR="0063077A">
        <w:rPr>
          <w:bCs/>
        </w:rPr>
        <w:t xml:space="preserve"> </w:t>
      </w:r>
      <w:r>
        <w:rPr>
          <w:bCs/>
        </w:rPr>
        <w:t xml:space="preserve">%) a je široce distribuován po celém těle. Po jednorázové perorální dávce 10 mg a 25 mg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/kg živé hmotnosti byla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1,03 µg/ml a 1,82 µg/ml, stanovena mikrobiologicky a </w:t>
      </w:r>
      <w:proofErr w:type="spellStart"/>
      <w:r>
        <w:rPr>
          <w:bCs/>
        </w:rPr>
        <w:t>Tmax</w:t>
      </w:r>
      <w:proofErr w:type="spellEnd"/>
      <w:r>
        <w:rPr>
          <w:bCs/>
        </w:rPr>
        <w:t xml:space="preserve"> byl 2 hodiny v obou případech. Bylo prokázáno, že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se koncentruje v plicích, </w:t>
      </w:r>
      <w:proofErr w:type="spellStart"/>
      <w:r>
        <w:rPr>
          <w:bCs/>
        </w:rPr>
        <w:t>polymorfonukleárních</w:t>
      </w:r>
      <w:proofErr w:type="spellEnd"/>
      <w:r>
        <w:rPr>
          <w:bCs/>
        </w:rPr>
        <w:t xml:space="preserve"> leukocytech a také v játrech, kde se metabolizuje a vylučuje (70–85 %) ve žluči, zbytek se vylučuje ledvinami (15–30 %). Vazba na plazmatické proteiny je přibližně 30</w:t>
      </w:r>
      <w:r w:rsidR="0063077A">
        <w:rPr>
          <w:bCs/>
        </w:rPr>
        <w:t xml:space="preserve"> </w:t>
      </w:r>
      <w:r>
        <w:rPr>
          <w:bCs/>
        </w:rPr>
        <w:t xml:space="preserve">%.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, který nebyl absorbován ani metabolizován, prochází gastrointestinálním traktem do tlustého střeva. Koncentrace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 v obsahu tlustého střeva byly </w:t>
      </w:r>
      <w:r w:rsidRPr="00DB7712">
        <w:rPr>
          <w:bCs/>
        </w:rPr>
        <w:t xml:space="preserve">odhadnuty na 3,41 µg/ml po podání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v dávce 8,8 mg/kg živé hmotnosti.</w:t>
      </w:r>
    </w:p>
    <w:p w14:paraId="79E562DB" w14:textId="77777777" w:rsidR="00A6364A" w:rsidRPr="00DB7712" w:rsidRDefault="00A6364A" w:rsidP="00A6364A">
      <w:pPr>
        <w:spacing w:line="240" w:lineRule="auto"/>
        <w:rPr>
          <w:bCs/>
          <w:u w:val="single"/>
        </w:rPr>
      </w:pPr>
    </w:p>
    <w:p w14:paraId="700E7580" w14:textId="0FE0FC19" w:rsidR="00A6364A" w:rsidRPr="00DB7712" w:rsidRDefault="00A6364A" w:rsidP="00A6364A">
      <w:pPr>
        <w:spacing w:line="240" w:lineRule="auto"/>
        <w:rPr>
          <w:bCs/>
          <w:u w:val="single"/>
        </w:rPr>
      </w:pPr>
      <w:r w:rsidRPr="00DB7712">
        <w:rPr>
          <w:bCs/>
          <w:u w:val="single"/>
        </w:rPr>
        <w:t>Kur domácí</w:t>
      </w:r>
      <w:r w:rsidRPr="00A6364A">
        <w:rPr>
          <w:bCs/>
        </w:rPr>
        <w:t>:</w:t>
      </w:r>
    </w:p>
    <w:p w14:paraId="75BE98C5" w14:textId="601D53F9" w:rsidR="00A6364A" w:rsidRPr="00603269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 kura se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dobře absorbuje (70–95 %) po perorálním podání a dosahuje </w:t>
      </w:r>
      <w:r>
        <w:rPr>
          <w:bCs/>
        </w:rPr>
        <w:t>maximálních</w:t>
      </w:r>
      <w:r w:rsidRPr="00DB7712">
        <w:rPr>
          <w:bCs/>
        </w:rPr>
        <w:t xml:space="preserve"> koncentrací po 2–4 hodinách (</w:t>
      </w:r>
      <w:proofErr w:type="spellStart"/>
      <w:r w:rsidRPr="00DB7712">
        <w:rPr>
          <w:bCs/>
        </w:rPr>
        <w:t>Tmax</w:t>
      </w:r>
      <w:proofErr w:type="spellEnd"/>
      <w:r w:rsidRPr="00DB7712">
        <w:rPr>
          <w:bCs/>
        </w:rPr>
        <w:t xml:space="preserve"> 2,85 hodiny). Po jednorázové dávce 50 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/ kg živé hmotnosti byla </w:t>
      </w:r>
      <w:proofErr w:type="spellStart"/>
      <w:r w:rsidRPr="00DB7712">
        <w:rPr>
          <w:bCs/>
        </w:rPr>
        <w:t>Cmax</w:t>
      </w:r>
      <w:proofErr w:type="spellEnd"/>
      <w:r w:rsidRPr="00DB7712">
        <w:rPr>
          <w:bCs/>
        </w:rPr>
        <w:t xml:space="preserve"> 4,02 µg/ml v séru stanovena mikrobiologicky a po dávce 25 mg/kg byla 1,86 µg/ml. </w:t>
      </w:r>
      <w:r>
        <w:rPr>
          <w:bCs/>
        </w:rPr>
        <w:t>K</w:t>
      </w:r>
      <w:r w:rsidRPr="00DB7712">
        <w:rPr>
          <w:bCs/>
        </w:rPr>
        <w:t xml:space="preserve">oncentrace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250 </w:t>
      </w:r>
      <w:proofErr w:type="spellStart"/>
      <w:r w:rsidRPr="00DB7712">
        <w:rPr>
          <w:bCs/>
        </w:rPr>
        <w:t>ppm</w:t>
      </w:r>
      <w:proofErr w:type="spellEnd"/>
      <w:r w:rsidRPr="00DB7712">
        <w:rPr>
          <w:bCs/>
        </w:rPr>
        <w:t xml:space="preserve"> (0,025 %) </w:t>
      </w:r>
      <w:r>
        <w:rPr>
          <w:bCs/>
        </w:rPr>
        <w:t xml:space="preserve">v pitné vodě </w:t>
      </w:r>
      <w:r w:rsidRPr="00DB7712">
        <w:rPr>
          <w:bCs/>
        </w:rPr>
        <w:t xml:space="preserve">zajistila </w:t>
      </w:r>
      <w:r>
        <w:rPr>
          <w:bCs/>
        </w:rPr>
        <w:t>konstantní</w:t>
      </w:r>
      <w:r w:rsidRPr="00DB7712">
        <w:rPr>
          <w:bCs/>
        </w:rPr>
        <w:t xml:space="preserve"> sérovou hladinu po 48 hodin období medikace 0,78 µg/ml (v rozsahu </w:t>
      </w:r>
      <w:r w:rsidR="00D61BBF">
        <w:rPr>
          <w:bCs/>
        </w:rPr>
        <w:t>0</w:t>
      </w:r>
      <w:r w:rsidRPr="00DB7712">
        <w:rPr>
          <w:bCs/>
        </w:rPr>
        <w:t>,4</w:t>
      </w:r>
      <w:r w:rsidR="00D61BBF">
        <w:rPr>
          <w:bCs/>
        </w:rPr>
        <w:t>5</w:t>
      </w:r>
      <w:r w:rsidRPr="00DB7712">
        <w:rPr>
          <w:bCs/>
        </w:rPr>
        <w:t>–</w:t>
      </w:r>
      <w:r w:rsidR="00D61BBF">
        <w:rPr>
          <w:bCs/>
        </w:rPr>
        <w:t>1</w:t>
      </w:r>
      <w:r w:rsidRPr="00DB7712">
        <w:rPr>
          <w:bCs/>
        </w:rPr>
        <w:t xml:space="preserve">,4 µg/ml) a při 125 </w:t>
      </w:r>
      <w:proofErr w:type="spellStart"/>
      <w:r w:rsidRPr="00DB7712">
        <w:rPr>
          <w:bCs/>
        </w:rPr>
        <w:t>ppm</w:t>
      </w:r>
      <w:proofErr w:type="spellEnd"/>
      <w:r w:rsidRPr="00DB7712">
        <w:rPr>
          <w:bCs/>
        </w:rPr>
        <w:t xml:space="preserve"> (0,0125 %) 0,38 µg/ml (v rozsahu 0,</w:t>
      </w:r>
      <w:r w:rsidR="00D61BBF">
        <w:rPr>
          <w:bCs/>
        </w:rPr>
        <w:t>2</w:t>
      </w:r>
      <w:r w:rsidRPr="00DB7712">
        <w:rPr>
          <w:bCs/>
        </w:rPr>
        <w:t>– 0,</w:t>
      </w:r>
      <w:r w:rsidR="00D61BBF">
        <w:rPr>
          <w:bCs/>
        </w:rPr>
        <w:t>65</w:t>
      </w:r>
      <w:r w:rsidRPr="00DB7712">
        <w:rPr>
          <w:bCs/>
        </w:rPr>
        <w:t xml:space="preserve"> µg/ml) u osmitýdenních kuřat. </w:t>
      </w:r>
      <w:r>
        <w:rPr>
          <w:bCs/>
        </w:rPr>
        <w:t>Va</w:t>
      </w:r>
      <w:r w:rsidRPr="00DB7712">
        <w:rPr>
          <w:bCs/>
        </w:rPr>
        <w:t>z</w:t>
      </w:r>
      <w:r>
        <w:rPr>
          <w:bCs/>
        </w:rPr>
        <w:t>ba na plazmatické</w:t>
      </w:r>
      <w:r w:rsidRPr="00DB7712">
        <w:rPr>
          <w:bCs/>
        </w:rPr>
        <w:t xml:space="preserve"> protein</w:t>
      </w:r>
      <w:r>
        <w:rPr>
          <w:bCs/>
        </w:rPr>
        <w:t>y</w:t>
      </w:r>
      <w:r w:rsidRPr="00DB7712">
        <w:rPr>
          <w:bCs/>
        </w:rPr>
        <w:t xml:space="preserve"> je přibližně 45</w:t>
      </w:r>
      <w:r w:rsidR="00583EFB">
        <w:rPr>
          <w:bCs/>
        </w:rPr>
        <w:t xml:space="preserve"> </w:t>
      </w:r>
      <w:r w:rsidRPr="00DB7712">
        <w:rPr>
          <w:bCs/>
        </w:rPr>
        <w:t xml:space="preserve">%. </w:t>
      </w:r>
      <w:r>
        <w:rPr>
          <w:bCs/>
        </w:rPr>
        <w:t xml:space="preserve">V organismu </w:t>
      </w:r>
      <w:r w:rsidRPr="00DB7712">
        <w:rPr>
          <w:bCs/>
        </w:rPr>
        <w:t xml:space="preserve">se </w:t>
      </w:r>
      <w:r>
        <w:rPr>
          <w:bCs/>
        </w:rPr>
        <w:t xml:space="preserve">distribuuje </w:t>
      </w:r>
      <w:r w:rsidRPr="00DB7712">
        <w:rPr>
          <w:bCs/>
        </w:rPr>
        <w:t>v široké míře a prokázalo se, že se koncentruje v játrech a ledvinách (místa vylučování) a v plicích (30násobek hladiny v séru). Vylučování probíhá hlavně žlučí (55–65 %) a ledvinami (15–30 %), hlavně v podobě mikrobiologicky inaktivních metabolitů, a je dosti rychlé, 99 % dávky se vyloučí během 48 hodin.</w:t>
      </w:r>
    </w:p>
    <w:p w14:paraId="2BF7C5B6" w14:textId="77777777" w:rsidR="00A6364A" w:rsidRPr="007F29AA" w:rsidRDefault="00A6364A" w:rsidP="00A6364A">
      <w:pPr>
        <w:spacing w:line="240" w:lineRule="auto"/>
        <w:rPr>
          <w:bCs/>
          <w:u w:val="single"/>
        </w:rPr>
      </w:pPr>
    </w:p>
    <w:p w14:paraId="5B68B29A" w14:textId="592B2814" w:rsidR="00A6364A" w:rsidRPr="00603269" w:rsidRDefault="00A6364A" w:rsidP="00D021E9">
      <w:pPr>
        <w:spacing w:line="240" w:lineRule="auto"/>
        <w:jc w:val="both"/>
        <w:rPr>
          <w:bCs/>
          <w:u w:val="single"/>
        </w:rPr>
      </w:pPr>
      <w:r>
        <w:rPr>
          <w:bCs/>
          <w:u w:val="single"/>
        </w:rPr>
        <w:t>Krůty</w:t>
      </w:r>
      <w:r w:rsidRPr="00A6364A">
        <w:rPr>
          <w:bCs/>
        </w:rPr>
        <w:t>:</w:t>
      </w:r>
    </w:p>
    <w:p w14:paraId="399B2846" w14:textId="5BCF313C" w:rsidR="00A6364A" w:rsidRDefault="00A6364A" w:rsidP="00D021E9">
      <w:pPr>
        <w:tabs>
          <w:tab w:val="clear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U krůt jsou sérové hladiny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nižší po jednorázové dávce 50 mg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na kg živé hmotnosti a hodnot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je 3,02 µg/ml v séru, po podání dávky 25 mg/kg je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1,46 µg/ml. Těchto hodnot je dosaženo přibližně za 2–4 hodiny po podání. U chovných krůt po podání 0,025 %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byla průměrná hladina v séru 0,36 µg/ml (rozsah 0,22–0,5 µg/ml). Vazba na plazmatické proteiny je přibližně 50</w:t>
      </w:r>
      <w:r w:rsidR="000F729A">
        <w:rPr>
          <w:bCs/>
        </w:rPr>
        <w:t xml:space="preserve"> </w:t>
      </w:r>
      <w:r>
        <w:rPr>
          <w:bCs/>
        </w:rPr>
        <w:t>%.</w:t>
      </w:r>
    </w:p>
    <w:p w14:paraId="76E65B43" w14:textId="77777777" w:rsidR="00A6364A" w:rsidRPr="00B41D57" w:rsidRDefault="00A6364A" w:rsidP="00A6364A">
      <w:pPr>
        <w:tabs>
          <w:tab w:val="clear" w:pos="567"/>
        </w:tabs>
        <w:spacing w:line="240" w:lineRule="auto"/>
        <w:rPr>
          <w:szCs w:val="22"/>
        </w:rPr>
      </w:pPr>
    </w:p>
    <w:p w14:paraId="10E71381" w14:textId="7C333BBD" w:rsidR="00C114FF" w:rsidRDefault="00273FA6" w:rsidP="001316F7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lastRenderedPageBreak/>
        <w:t>Environmentální vlastnosti</w:t>
      </w:r>
    </w:p>
    <w:p w14:paraId="04A38A66" w14:textId="77777777" w:rsidR="001316F7" w:rsidRDefault="001316F7" w:rsidP="008829C3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6AFAAB35" w14:textId="77777777" w:rsidR="00A6364A" w:rsidRPr="00603269" w:rsidRDefault="00A6364A" w:rsidP="00A6364A">
      <w:pPr>
        <w:spacing w:line="240" w:lineRule="auto"/>
      </w:pPr>
      <w:proofErr w:type="spellStart"/>
      <w:r w:rsidRPr="00DB7712">
        <w:t>Tiamulin</w:t>
      </w:r>
      <w:proofErr w:type="spellEnd"/>
      <w:r w:rsidRPr="00DB7712">
        <w:t xml:space="preserve"> je velmi perzistentní</w:t>
      </w:r>
      <w:r w:rsidRPr="006F076F">
        <w:t xml:space="preserve"> </w:t>
      </w:r>
      <w:r w:rsidRPr="00DB7712">
        <w:t>v půdách.</w:t>
      </w:r>
    </w:p>
    <w:p w14:paraId="10E71383" w14:textId="1101270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1EA76" w14:textId="77777777" w:rsidR="001316F7" w:rsidRPr="00B41D57" w:rsidRDefault="00131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84" w14:textId="77777777" w:rsidR="00C114FF" w:rsidRPr="00B41D57" w:rsidRDefault="00273FA6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10E7138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86" w14:textId="77777777" w:rsidR="00C114FF" w:rsidRPr="00B41D57" w:rsidRDefault="00273FA6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0E7138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71389" w14:textId="551757DC" w:rsidR="00C114FF" w:rsidRPr="00B41D57" w:rsidRDefault="00273FA6" w:rsidP="008829C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10E7138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8E" w14:textId="77777777" w:rsidR="00C114FF" w:rsidRPr="00B41D57" w:rsidRDefault="00273FA6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E7138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D218B10" w14:textId="77777777" w:rsidR="00A6364A" w:rsidRPr="00603269" w:rsidRDefault="00A6364A" w:rsidP="00A6364A">
      <w:pPr>
        <w:spacing w:line="240" w:lineRule="auto"/>
      </w:pPr>
      <w:r>
        <w:t>Doba použitelnosti veterinárního léčivého přípravku v neporušeném obalu: 2 roky.</w:t>
      </w:r>
    </w:p>
    <w:p w14:paraId="680B1972" w14:textId="33987782" w:rsidR="00A6364A" w:rsidRDefault="00A6364A" w:rsidP="00A6364A">
      <w:pPr>
        <w:spacing w:line="240" w:lineRule="auto"/>
      </w:pPr>
      <w:r>
        <w:t>Doba použitelnosti po prvním otevření vnitřního obalu: 3 měsíce.</w:t>
      </w:r>
    </w:p>
    <w:p w14:paraId="7B2D7B75" w14:textId="55AA0C0B" w:rsidR="00A6364A" w:rsidRPr="00603269" w:rsidRDefault="00A6364A" w:rsidP="00A6364A">
      <w:pPr>
        <w:spacing w:line="240" w:lineRule="auto"/>
      </w:pPr>
      <w:r w:rsidRPr="00DB7712">
        <w:t xml:space="preserve">Doba použitelnosti po </w:t>
      </w:r>
      <w:r>
        <w:t>rozpuštění</w:t>
      </w:r>
      <w:r w:rsidRPr="00DB7712">
        <w:t xml:space="preserve"> nebo rekonstituci podle </w:t>
      </w:r>
      <w:r>
        <w:t>návodu</w:t>
      </w:r>
      <w:r w:rsidRPr="00DB7712">
        <w:t>: 24 hodin.</w:t>
      </w:r>
    </w:p>
    <w:p w14:paraId="10E713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97" w14:textId="77777777" w:rsidR="00C114FF" w:rsidRPr="00B41D57" w:rsidRDefault="00273FA6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71BB64E" w14:textId="77777777" w:rsidR="00E53301" w:rsidRDefault="00E53301" w:rsidP="00A9226B">
      <w:pPr>
        <w:tabs>
          <w:tab w:val="clear" w:pos="567"/>
        </w:tabs>
        <w:spacing w:line="240" w:lineRule="auto"/>
      </w:pPr>
    </w:p>
    <w:p w14:paraId="10E713AA" w14:textId="71A43CEF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10E713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B4" w14:textId="77777777" w:rsidR="00C114FF" w:rsidRPr="00B41D57" w:rsidRDefault="00273FA6" w:rsidP="00D021E9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10E713B5" w14:textId="77777777" w:rsidR="00C114FF" w:rsidRPr="00B41D57" w:rsidRDefault="00C114FF" w:rsidP="00D021E9">
      <w:pPr>
        <w:pStyle w:val="Style1"/>
        <w:jc w:val="both"/>
      </w:pPr>
    </w:p>
    <w:p w14:paraId="2143819D" w14:textId="5487C0F6" w:rsidR="00E53301" w:rsidRPr="00603269" w:rsidRDefault="00E53301" w:rsidP="00D021E9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1l</w:t>
      </w:r>
      <w:proofErr w:type="gramEnd"/>
      <w:r>
        <w:rPr>
          <w:bCs/>
        </w:rPr>
        <w:t xml:space="preserve"> lahev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s průhlednou stupnicí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. </w:t>
      </w:r>
    </w:p>
    <w:p w14:paraId="35D02E37" w14:textId="77028E95" w:rsidR="00E53301" w:rsidRDefault="00E53301" w:rsidP="00D021E9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5l</w:t>
      </w:r>
      <w:proofErr w:type="gramEnd"/>
      <w:r>
        <w:rPr>
          <w:bCs/>
        </w:rPr>
        <w:t xml:space="preserve"> nádoba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. </w:t>
      </w:r>
    </w:p>
    <w:p w14:paraId="0D0CB69E" w14:textId="53486A21" w:rsidR="00151B2A" w:rsidRDefault="00151B2A" w:rsidP="00D021E9">
      <w:pPr>
        <w:spacing w:line="240" w:lineRule="auto"/>
        <w:jc w:val="both"/>
        <w:rPr>
          <w:bCs/>
        </w:rPr>
      </w:pPr>
    </w:p>
    <w:p w14:paraId="1C1C54CC" w14:textId="1284DC10" w:rsidR="00151B2A" w:rsidRPr="00151B2A" w:rsidRDefault="00151B2A" w:rsidP="00D021E9">
      <w:pPr>
        <w:spacing w:line="240" w:lineRule="auto"/>
        <w:jc w:val="both"/>
      </w:pPr>
      <w:r>
        <w:t>Na trhu nemusí být všechny velikosti balení.</w:t>
      </w:r>
    </w:p>
    <w:p w14:paraId="10E713B7" w14:textId="77777777" w:rsidR="00C114FF" w:rsidRPr="00B41D57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B8" w14:textId="0ADA7667" w:rsidR="00C114FF" w:rsidRDefault="00273FA6" w:rsidP="00D021E9">
      <w:pPr>
        <w:pStyle w:val="Style1"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10E713B9" w14:textId="77777777" w:rsidR="00C114FF" w:rsidRPr="00B41D57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531959" w14:textId="31014307" w:rsidR="00151B2A" w:rsidRPr="00B41D57" w:rsidRDefault="00151B2A" w:rsidP="00D021E9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0E713BB" w14:textId="77777777" w:rsidR="00C114FF" w:rsidRPr="00B41D57" w:rsidRDefault="00C114FF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949988" w14:textId="77777777" w:rsidR="00151B2A" w:rsidRPr="00B41D57" w:rsidRDefault="00151B2A" w:rsidP="00D021E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4AEFA99" w14:textId="09D47B53" w:rsidR="006457FE" w:rsidRDefault="006457FE" w:rsidP="00936132">
      <w:pPr>
        <w:pStyle w:val="Style1"/>
        <w:ind w:left="0" w:firstLine="0"/>
      </w:pPr>
    </w:p>
    <w:p w14:paraId="378BC42B" w14:textId="77777777" w:rsidR="001316F7" w:rsidRDefault="001316F7" w:rsidP="00936132">
      <w:pPr>
        <w:pStyle w:val="Style1"/>
        <w:ind w:left="0" w:firstLine="0"/>
      </w:pPr>
    </w:p>
    <w:p w14:paraId="10E713C3" w14:textId="4A6E4DE4" w:rsidR="00C114FF" w:rsidRPr="00B41D57" w:rsidRDefault="00273FA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0E713C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985CA3" w14:textId="618D6F21" w:rsidR="009121D4" w:rsidRPr="00447DEB" w:rsidRDefault="009121D4" w:rsidP="009121D4">
      <w:pPr>
        <w:spacing w:line="240" w:lineRule="auto"/>
      </w:pPr>
      <w:proofErr w:type="spellStart"/>
      <w:r w:rsidRPr="00447DEB">
        <w:t>Dechra</w:t>
      </w:r>
      <w:proofErr w:type="spellEnd"/>
      <w:r w:rsidRPr="00447DEB">
        <w:t xml:space="preserve"> </w:t>
      </w:r>
      <w:r w:rsidRPr="00CD39C1">
        <w:rPr>
          <w:rFonts w:eastAsia="Calibri"/>
        </w:rPr>
        <w:t>Regulatory BV</w:t>
      </w:r>
    </w:p>
    <w:p w14:paraId="5526F563" w14:textId="77777777" w:rsidR="001316F7" w:rsidRPr="00447DEB" w:rsidRDefault="001316F7" w:rsidP="009121D4">
      <w:pPr>
        <w:spacing w:line="240" w:lineRule="auto"/>
        <w:rPr>
          <w:rFonts w:eastAsia="Calibri"/>
        </w:rPr>
      </w:pPr>
    </w:p>
    <w:p w14:paraId="10E713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8" w14:textId="77777777" w:rsidR="00C114FF" w:rsidRPr="00B41D57" w:rsidRDefault="00273FA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0E713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BA4B28" w14:textId="77777777" w:rsidR="009121D4" w:rsidRPr="00CD39C1" w:rsidRDefault="009121D4" w:rsidP="009121D4">
      <w:pPr>
        <w:spacing w:line="240" w:lineRule="auto"/>
      </w:pPr>
      <w:r w:rsidRPr="00CD39C1">
        <w:t>96/052/</w:t>
      </w:r>
      <w:proofErr w:type="gramStart"/>
      <w:r w:rsidRPr="00CD39C1">
        <w:t>18-C</w:t>
      </w:r>
      <w:proofErr w:type="gramEnd"/>
    </w:p>
    <w:p w14:paraId="10E713CA" w14:textId="52A0A99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97ACEC" w14:textId="77777777" w:rsidR="001316F7" w:rsidRPr="00B41D57" w:rsidRDefault="00131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B" w14:textId="77777777" w:rsidR="00C114FF" w:rsidRPr="00B41D57" w:rsidRDefault="00273FA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0E713C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E" w14:textId="1BBD448C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936132">
        <w:t xml:space="preserve"> 13/09/2018.</w:t>
      </w:r>
    </w:p>
    <w:p w14:paraId="10E713D0" w14:textId="6DD1BF1C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9D8C3C" w14:textId="77777777" w:rsidR="001316F7" w:rsidRPr="00B41D57" w:rsidRDefault="001316F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D1" w14:textId="77777777" w:rsidR="00C114FF" w:rsidRPr="00B41D57" w:rsidRDefault="00273FA6" w:rsidP="008829C3">
      <w:pPr>
        <w:pStyle w:val="Style1"/>
        <w:keepNext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10E713D2" w14:textId="77777777" w:rsidR="00C114FF" w:rsidRPr="00B41D57" w:rsidRDefault="00C114FF" w:rsidP="008829C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E713D4" w14:textId="3BFD5D05" w:rsidR="00423968" w:rsidRPr="00B41D57" w:rsidRDefault="000C0B80" w:rsidP="00423968">
      <w:pPr>
        <w:tabs>
          <w:tab w:val="clear" w:pos="567"/>
        </w:tabs>
        <w:spacing w:line="240" w:lineRule="auto"/>
      </w:pPr>
      <w:r>
        <w:t>Srpen</w:t>
      </w:r>
      <w:bookmarkStart w:id="8" w:name="_GoBack"/>
      <w:bookmarkEnd w:id="8"/>
      <w:r w:rsidR="005D131B" w:rsidRPr="000C0B80">
        <w:t xml:space="preserve"> 2023</w:t>
      </w:r>
    </w:p>
    <w:p w14:paraId="51F74EAF" w14:textId="77777777" w:rsidR="001316F7" w:rsidRPr="00B41D57" w:rsidRDefault="001316F7" w:rsidP="00423968">
      <w:pPr>
        <w:tabs>
          <w:tab w:val="clear" w:pos="567"/>
        </w:tabs>
        <w:spacing w:line="240" w:lineRule="auto"/>
      </w:pPr>
    </w:p>
    <w:p w14:paraId="10E713D6" w14:textId="104665A9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DF" w14:textId="77777777" w:rsidR="00C114FF" w:rsidRPr="00B41D57" w:rsidRDefault="00273FA6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0E713E0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A85EC3" w14:textId="77777777" w:rsidR="00137C31" w:rsidRPr="00B41D57" w:rsidRDefault="00137C31" w:rsidP="00137C31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948462B" w14:textId="77777777" w:rsidR="00137C31" w:rsidRPr="00B41D57" w:rsidRDefault="00137C31" w:rsidP="00137C31">
      <w:pPr>
        <w:ind w:right="-318"/>
        <w:rPr>
          <w:szCs w:val="22"/>
        </w:rPr>
      </w:pPr>
    </w:p>
    <w:p w14:paraId="34B8A59B" w14:textId="77777777" w:rsidR="00137C31" w:rsidRPr="00B41D57" w:rsidRDefault="00137C31" w:rsidP="000C0B80">
      <w:pPr>
        <w:ind w:right="-1"/>
        <w:jc w:val="both"/>
        <w:rPr>
          <w:szCs w:val="22"/>
        </w:rPr>
      </w:pPr>
      <w:bookmarkStart w:id="9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9"/>
    <w:p w14:paraId="2DC931FB" w14:textId="77777777" w:rsidR="006B7870" w:rsidRDefault="006B7870" w:rsidP="000C0B80">
      <w:pPr>
        <w:tabs>
          <w:tab w:val="clear" w:pos="567"/>
        </w:tabs>
        <w:spacing w:line="240" w:lineRule="auto"/>
        <w:ind w:right="-1"/>
        <w:jc w:val="both"/>
      </w:pPr>
    </w:p>
    <w:p w14:paraId="6F075A9E" w14:textId="77777777" w:rsidR="0002018E" w:rsidRDefault="006B7870" w:rsidP="000C0B80">
      <w:pPr>
        <w:tabs>
          <w:tab w:val="clear" w:pos="567"/>
        </w:tabs>
        <w:spacing w:line="240" w:lineRule="auto"/>
        <w:ind w:right="-1"/>
        <w:jc w:val="both"/>
      </w:pPr>
      <w:r w:rsidRPr="006B7870">
        <w:t>Podrobné informace o tomto veterinárním léčivém přípravku naleznete také v národní databázi (</w:t>
      </w:r>
      <w:hyperlink r:id="rId9" w:history="1">
        <w:r w:rsidRPr="003F75D4">
          <w:rPr>
            <w:rStyle w:val="Hypertextovodkaz"/>
          </w:rPr>
          <w:t>https://www.uskvbl.cz</w:t>
        </w:r>
      </w:hyperlink>
      <w:r w:rsidRPr="006B7870">
        <w:t>).</w:t>
      </w:r>
    </w:p>
    <w:p w14:paraId="1FAC44AB" w14:textId="77777777" w:rsidR="0002018E" w:rsidRDefault="0002018E" w:rsidP="00137C31">
      <w:pPr>
        <w:tabs>
          <w:tab w:val="clear" w:pos="567"/>
        </w:tabs>
        <w:spacing w:line="240" w:lineRule="auto"/>
      </w:pPr>
    </w:p>
    <w:p w14:paraId="10E7169C" w14:textId="77777777" w:rsidR="005F346D" w:rsidRPr="00B41D57" w:rsidRDefault="005F346D" w:rsidP="008829C3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DE52D" w14:textId="77777777" w:rsidR="0001425C" w:rsidRDefault="0001425C">
      <w:pPr>
        <w:spacing w:line="240" w:lineRule="auto"/>
      </w:pPr>
      <w:r>
        <w:separator/>
      </w:r>
    </w:p>
  </w:endnote>
  <w:endnote w:type="continuationSeparator" w:id="0">
    <w:p w14:paraId="0FD6FAAA" w14:textId="77777777" w:rsidR="0001425C" w:rsidRDefault="00014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1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C6AF" w14:textId="77777777" w:rsidR="0001425C" w:rsidRDefault="0001425C">
      <w:pPr>
        <w:spacing w:line="240" w:lineRule="auto"/>
      </w:pPr>
      <w:r>
        <w:separator/>
      </w:r>
    </w:p>
  </w:footnote>
  <w:footnote w:type="continuationSeparator" w:id="0">
    <w:p w14:paraId="3BFBD704" w14:textId="77777777" w:rsidR="0001425C" w:rsidRDefault="000142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8106" w14:textId="548C2B76" w:rsidR="00040214" w:rsidRDefault="00040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3719EE"/>
    <w:multiLevelType w:val="hybridMultilevel"/>
    <w:tmpl w:val="F21808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A4C"/>
    <w:rsid w:val="0001425C"/>
    <w:rsid w:val="0002018E"/>
    <w:rsid w:val="00021B82"/>
    <w:rsid w:val="00024777"/>
    <w:rsid w:val="00024E21"/>
    <w:rsid w:val="00027100"/>
    <w:rsid w:val="000349AA"/>
    <w:rsid w:val="00036C50"/>
    <w:rsid w:val="00040214"/>
    <w:rsid w:val="00052D2B"/>
    <w:rsid w:val="00054F55"/>
    <w:rsid w:val="00056EE7"/>
    <w:rsid w:val="00062945"/>
    <w:rsid w:val="00063946"/>
    <w:rsid w:val="00073D5F"/>
    <w:rsid w:val="00080453"/>
    <w:rsid w:val="00080B0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0B80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29A"/>
    <w:rsid w:val="000F796B"/>
    <w:rsid w:val="0010031E"/>
    <w:rsid w:val="001012EB"/>
    <w:rsid w:val="001078D1"/>
    <w:rsid w:val="0011077A"/>
    <w:rsid w:val="00111185"/>
    <w:rsid w:val="00111D6F"/>
    <w:rsid w:val="00115782"/>
    <w:rsid w:val="00115BD5"/>
    <w:rsid w:val="00116067"/>
    <w:rsid w:val="0011688A"/>
    <w:rsid w:val="00117D61"/>
    <w:rsid w:val="001214EE"/>
    <w:rsid w:val="00124F36"/>
    <w:rsid w:val="00125666"/>
    <w:rsid w:val="001259E3"/>
    <w:rsid w:val="00125C80"/>
    <w:rsid w:val="001316F7"/>
    <w:rsid w:val="00136DCF"/>
    <w:rsid w:val="0013799F"/>
    <w:rsid w:val="00137C31"/>
    <w:rsid w:val="00140DF6"/>
    <w:rsid w:val="00145C3F"/>
    <w:rsid w:val="00145D34"/>
    <w:rsid w:val="00146284"/>
    <w:rsid w:val="0014690F"/>
    <w:rsid w:val="0015098E"/>
    <w:rsid w:val="00151B2A"/>
    <w:rsid w:val="00153B3A"/>
    <w:rsid w:val="00164543"/>
    <w:rsid w:val="00164C48"/>
    <w:rsid w:val="001674D3"/>
    <w:rsid w:val="00174721"/>
    <w:rsid w:val="00175264"/>
    <w:rsid w:val="00176CDB"/>
    <w:rsid w:val="001776E5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5F3"/>
    <w:rsid w:val="001A621E"/>
    <w:rsid w:val="001B1C77"/>
    <w:rsid w:val="001B26EB"/>
    <w:rsid w:val="001B6087"/>
    <w:rsid w:val="001B6F4A"/>
    <w:rsid w:val="001B7B38"/>
    <w:rsid w:val="001C5288"/>
    <w:rsid w:val="001C5B03"/>
    <w:rsid w:val="001C7503"/>
    <w:rsid w:val="001D1E4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628"/>
    <w:rsid w:val="00226630"/>
    <w:rsid w:val="00231777"/>
    <w:rsid w:val="0023676E"/>
    <w:rsid w:val="002414B6"/>
    <w:rsid w:val="002422EB"/>
    <w:rsid w:val="00242397"/>
    <w:rsid w:val="002433D2"/>
    <w:rsid w:val="00243C2B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ED4"/>
    <w:rsid w:val="0027270B"/>
    <w:rsid w:val="00272754"/>
    <w:rsid w:val="00272B36"/>
    <w:rsid w:val="00273FA6"/>
    <w:rsid w:val="00274D17"/>
    <w:rsid w:val="00280F4E"/>
    <w:rsid w:val="00282E7B"/>
    <w:rsid w:val="002838C8"/>
    <w:rsid w:val="00290805"/>
    <w:rsid w:val="00290C2A"/>
    <w:rsid w:val="002931DD"/>
    <w:rsid w:val="00293733"/>
    <w:rsid w:val="00295140"/>
    <w:rsid w:val="002A0E7C"/>
    <w:rsid w:val="002A0EED"/>
    <w:rsid w:val="002A21ED"/>
    <w:rsid w:val="002A3F88"/>
    <w:rsid w:val="002A710D"/>
    <w:rsid w:val="002B0F11"/>
    <w:rsid w:val="002B2E17"/>
    <w:rsid w:val="002B5452"/>
    <w:rsid w:val="002B6560"/>
    <w:rsid w:val="002B6599"/>
    <w:rsid w:val="002C1F27"/>
    <w:rsid w:val="002C55FF"/>
    <w:rsid w:val="002C592B"/>
    <w:rsid w:val="002D10F3"/>
    <w:rsid w:val="002D1AC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1CE5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1FD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A87"/>
    <w:rsid w:val="003D184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3337"/>
    <w:rsid w:val="00446960"/>
    <w:rsid w:val="00446F37"/>
    <w:rsid w:val="004518A6"/>
    <w:rsid w:val="00451C0C"/>
    <w:rsid w:val="00453E1D"/>
    <w:rsid w:val="00454589"/>
    <w:rsid w:val="00456ED0"/>
    <w:rsid w:val="00457550"/>
    <w:rsid w:val="00457B74"/>
    <w:rsid w:val="00461B2A"/>
    <w:rsid w:val="004620A4"/>
    <w:rsid w:val="00470B71"/>
    <w:rsid w:val="00471B49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290"/>
    <w:rsid w:val="004E23A1"/>
    <w:rsid w:val="004E493C"/>
    <w:rsid w:val="004E623E"/>
    <w:rsid w:val="004E7092"/>
    <w:rsid w:val="004E7ECE"/>
    <w:rsid w:val="004F4DB1"/>
    <w:rsid w:val="004F50A6"/>
    <w:rsid w:val="004F6F64"/>
    <w:rsid w:val="005004EC"/>
    <w:rsid w:val="00506AAE"/>
    <w:rsid w:val="00517756"/>
    <w:rsid w:val="005202C6"/>
    <w:rsid w:val="00520FFC"/>
    <w:rsid w:val="00523C53"/>
    <w:rsid w:val="00524B12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EE7"/>
    <w:rsid w:val="0057418E"/>
    <w:rsid w:val="0057436C"/>
    <w:rsid w:val="00575DE3"/>
    <w:rsid w:val="00580B08"/>
    <w:rsid w:val="00582578"/>
    <w:rsid w:val="00583EFB"/>
    <w:rsid w:val="0058621D"/>
    <w:rsid w:val="00586904"/>
    <w:rsid w:val="005944B0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7F93"/>
    <w:rsid w:val="005D131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077A"/>
    <w:rsid w:val="006326D8"/>
    <w:rsid w:val="0063377D"/>
    <w:rsid w:val="006344BE"/>
    <w:rsid w:val="00634A66"/>
    <w:rsid w:val="00640336"/>
    <w:rsid w:val="00640FC9"/>
    <w:rsid w:val="006414D3"/>
    <w:rsid w:val="006432F2"/>
    <w:rsid w:val="006457FE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5BE8"/>
    <w:rsid w:val="00690463"/>
    <w:rsid w:val="00693DE5"/>
    <w:rsid w:val="00694D6D"/>
    <w:rsid w:val="006A0D03"/>
    <w:rsid w:val="006A41E9"/>
    <w:rsid w:val="006A7D9B"/>
    <w:rsid w:val="006B12CB"/>
    <w:rsid w:val="006B2030"/>
    <w:rsid w:val="006B5916"/>
    <w:rsid w:val="006B7870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F31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762"/>
    <w:rsid w:val="0073651A"/>
    <w:rsid w:val="00736B1E"/>
    <w:rsid w:val="007439DB"/>
    <w:rsid w:val="007464DA"/>
    <w:rsid w:val="007568D8"/>
    <w:rsid w:val="00756B39"/>
    <w:rsid w:val="007600CF"/>
    <w:rsid w:val="007616B4"/>
    <w:rsid w:val="00765316"/>
    <w:rsid w:val="007708C8"/>
    <w:rsid w:val="00774DC7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036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379C"/>
    <w:rsid w:val="008145D9"/>
    <w:rsid w:val="00814AF1"/>
    <w:rsid w:val="0081517F"/>
    <w:rsid w:val="00815370"/>
    <w:rsid w:val="00820E3E"/>
    <w:rsid w:val="008210C6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182"/>
    <w:rsid w:val="00857675"/>
    <w:rsid w:val="00861F86"/>
    <w:rsid w:val="00867C0D"/>
    <w:rsid w:val="00872C48"/>
    <w:rsid w:val="00874D4A"/>
    <w:rsid w:val="00875EC3"/>
    <w:rsid w:val="008763E7"/>
    <w:rsid w:val="008808C5"/>
    <w:rsid w:val="00880A26"/>
    <w:rsid w:val="00881A7C"/>
    <w:rsid w:val="008829C3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174"/>
    <w:rsid w:val="008F450A"/>
    <w:rsid w:val="008F4DEF"/>
    <w:rsid w:val="008F6AC7"/>
    <w:rsid w:val="00900103"/>
    <w:rsid w:val="00903D0D"/>
    <w:rsid w:val="00903DB4"/>
    <w:rsid w:val="009048E1"/>
    <w:rsid w:val="0090598C"/>
    <w:rsid w:val="00905CAB"/>
    <w:rsid w:val="009071BB"/>
    <w:rsid w:val="009121D4"/>
    <w:rsid w:val="00913885"/>
    <w:rsid w:val="00915ABF"/>
    <w:rsid w:val="00921CAD"/>
    <w:rsid w:val="009232A9"/>
    <w:rsid w:val="00926684"/>
    <w:rsid w:val="009311ED"/>
    <w:rsid w:val="00931D41"/>
    <w:rsid w:val="00933D18"/>
    <w:rsid w:val="00936132"/>
    <w:rsid w:val="00942221"/>
    <w:rsid w:val="0095019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AA2"/>
    <w:rsid w:val="009844F7"/>
    <w:rsid w:val="009938F7"/>
    <w:rsid w:val="00994065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C63"/>
    <w:rsid w:val="009C6BFB"/>
    <w:rsid w:val="009D0C05"/>
    <w:rsid w:val="009D6B8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3F"/>
    <w:rsid w:val="00A26F44"/>
    <w:rsid w:val="00A33434"/>
    <w:rsid w:val="00A34FAB"/>
    <w:rsid w:val="00A42711"/>
    <w:rsid w:val="00A42C43"/>
    <w:rsid w:val="00A4313D"/>
    <w:rsid w:val="00A50120"/>
    <w:rsid w:val="00A54155"/>
    <w:rsid w:val="00A60351"/>
    <w:rsid w:val="00A61C6D"/>
    <w:rsid w:val="00A63015"/>
    <w:rsid w:val="00A6364A"/>
    <w:rsid w:val="00A6387B"/>
    <w:rsid w:val="00A6482F"/>
    <w:rsid w:val="00A66254"/>
    <w:rsid w:val="00A678B4"/>
    <w:rsid w:val="00A704A3"/>
    <w:rsid w:val="00A75E23"/>
    <w:rsid w:val="00A81194"/>
    <w:rsid w:val="00A82AA0"/>
    <w:rsid w:val="00A82F8A"/>
    <w:rsid w:val="00A84622"/>
    <w:rsid w:val="00A84BF0"/>
    <w:rsid w:val="00A86248"/>
    <w:rsid w:val="00A9226B"/>
    <w:rsid w:val="00A9575C"/>
    <w:rsid w:val="00A95B56"/>
    <w:rsid w:val="00A95E81"/>
    <w:rsid w:val="00A969AF"/>
    <w:rsid w:val="00AA2509"/>
    <w:rsid w:val="00AB1A2E"/>
    <w:rsid w:val="00AB328A"/>
    <w:rsid w:val="00AB4918"/>
    <w:rsid w:val="00AB4BC8"/>
    <w:rsid w:val="00AB6BA7"/>
    <w:rsid w:val="00AB7BE8"/>
    <w:rsid w:val="00AB7D91"/>
    <w:rsid w:val="00AD0710"/>
    <w:rsid w:val="00AD4DB9"/>
    <w:rsid w:val="00AD63C0"/>
    <w:rsid w:val="00AE35B2"/>
    <w:rsid w:val="00AE6AA0"/>
    <w:rsid w:val="00AF406C"/>
    <w:rsid w:val="00AF45ED"/>
    <w:rsid w:val="00AF7B4F"/>
    <w:rsid w:val="00B00AA1"/>
    <w:rsid w:val="00B00CA4"/>
    <w:rsid w:val="00B02195"/>
    <w:rsid w:val="00B075D6"/>
    <w:rsid w:val="00B113B9"/>
    <w:rsid w:val="00B119A2"/>
    <w:rsid w:val="00B13B6D"/>
    <w:rsid w:val="00B177F2"/>
    <w:rsid w:val="00B201F1"/>
    <w:rsid w:val="00B2136B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26F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ED2"/>
    <w:rsid w:val="00BA386E"/>
    <w:rsid w:val="00BA5C89"/>
    <w:rsid w:val="00BB04EB"/>
    <w:rsid w:val="00BB2539"/>
    <w:rsid w:val="00BB26BC"/>
    <w:rsid w:val="00BB4CE2"/>
    <w:rsid w:val="00BB5EF0"/>
    <w:rsid w:val="00BB6724"/>
    <w:rsid w:val="00BC0EFB"/>
    <w:rsid w:val="00BC2E39"/>
    <w:rsid w:val="00BC47E7"/>
    <w:rsid w:val="00BD2364"/>
    <w:rsid w:val="00BD28E3"/>
    <w:rsid w:val="00BD72E1"/>
    <w:rsid w:val="00BE0A84"/>
    <w:rsid w:val="00BE117E"/>
    <w:rsid w:val="00BE3261"/>
    <w:rsid w:val="00BF00EF"/>
    <w:rsid w:val="00BF58FC"/>
    <w:rsid w:val="00C01F77"/>
    <w:rsid w:val="00C01FFC"/>
    <w:rsid w:val="00C04D83"/>
    <w:rsid w:val="00C05321"/>
    <w:rsid w:val="00C06AE4"/>
    <w:rsid w:val="00C114FF"/>
    <w:rsid w:val="00C11D49"/>
    <w:rsid w:val="00C12F42"/>
    <w:rsid w:val="00C16297"/>
    <w:rsid w:val="00C171A1"/>
    <w:rsid w:val="00C171A4"/>
    <w:rsid w:val="00C17A2C"/>
    <w:rsid w:val="00C17F12"/>
    <w:rsid w:val="00C20734"/>
    <w:rsid w:val="00C21C1A"/>
    <w:rsid w:val="00C237E9"/>
    <w:rsid w:val="00C32989"/>
    <w:rsid w:val="00C32BD1"/>
    <w:rsid w:val="00C341E6"/>
    <w:rsid w:val="00C34260"/>
    <w:rsid w:val="00C34343"/>
    <w:rsid w:val="00C36883"/>
    <w:rsid w:val="00C40928"/>
    <w:rsid w:val="00C40CFF"/>
    <w:rsid w:val="00C42697"/>
    <w:rsid w:val="00C43F01"/>
    <w:rsid w:val="00C47552"/>
    <w:rsid w:val="00C528D1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C5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466"/>
    <w:rsid w:val="00C8535F"/>
    <w:rsid w:val="00C90EDA"/>
    <w:rsid w:val="00C959E7"/>
    <w:rsid w:val="00CA28D8"/>
    <w:rsid w:val="00CC1E65"/>
    <w:rsid w:val="00CC567A"/>
    <w:rsid w:val="00CD39C1"/>
    <w:rsid w:val="00CD4059"/>
    <w:rsid w:val="00CD4E5A"/>
    <w:rsid w:val="00CD6AFD"/>
    <w:rsid w:val="00CE03CE"/>
    <w:rsid w:val="00CE0F5D"/>
    <w:rsid w:val="00CE1A6A"/>
    <w:rsid w:val="00CF069C"/>
    <w:rsid w:val="00CF0B6F"/>
    <w:rsid w:val="00CF0DFF"/>
    <w:rsid w:val="00D021E9"/>
    <w:rsid w:val="00D028A9"/>
    <w:rsid w:val="00D0359D"/>
    <w:rsid w:val="00D040B0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8AD"/>
    <w:rsid w:val="00D46DF2"/>
    <w:rsid w:val="00D47674"/>
    <w:rsid w:val="00D50DB4"/>
    <w:rsid w:val="00D5338C"/>
    <w:rsid w:val="00D606B2"/>
    <w:rsid w:val="00D61BBF"/>
    <w:rsid w:val="00D625A7"/>
    <w:rsid w:val="00D6273F"/>
    <w:rsid w:val="00D63575"/>
    <w:rsid w:val="00D64074"/>
    <w:rsid w:val="00D65777"/>
    <w:rsid w:val="00D728A0"/>
    <w:rsid w:val="00D74018"/>
    <w:rsid w:val="00D752A9"/>
    <w:rsid w:val="00D83661"/>
    <w:rsid w:val="00D9216A"/>
    <w:rsid w:val="00D94AD4"/>
    <w:rsid w:val="00D95BBB"/>
    <w:rsid w:val="00D97E7D"/>
    <w:rsid w:val="00DA2A06"/>
    <w:rsid w:val="00DA3BAA"/>
    <w:rsid w:val="00DA53D0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0ED"/>
    <w:rsid w:val="00DF77CF"/>
    <w:rsid w:val="00E0068C"/>
    <w:rsid w:val="00E0218D"/>
    <w:rsid w:val="00E026E8"/>
    <w:rsid w:val="00E060F7"/>
    <w:rsid w:val="00E124D3"/>
    <w:rsid w:val="00E1267F"/>
    <w:rsid w:val="00E14C47"/>
    <w:rsid w:val="00E1686C"/>
    <w:rsid w:val="00E22698"/>
    <w:rsid w:val="00E25B7C"/>
    <w:rsid w:val="00E3076B"/>
    <w:rsid w:val="00E30781"/>
    <w:rsid w:val="00E33224"/>
    <w:rsid w:val="00E3725B"/>
    <w:rsid w:val="00E434D1"/>
    <w:rsid w:val="00E533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6D"/>
    <w:rsid w:val="00E82496"/>
    <w:rsid w:val="00E834CD"/>
    <w:rsid w:val="00E846DC"/>
    <w:rsid w:val="00E84E9D"/>
    <w:rsid w:val="00E86CEE"/>
    <w:rsid w:val="00E90A25"/>
    <w:rsid w:val="00E92495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2707D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6A3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4FC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3B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250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12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6B7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7B57-09A5-47CD-B90D-57E8B3A7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2793</Words>
  <Characters>16482</Characters>
  <Application>Microsoft Office Word</Application>
  <DocSecurity>0</DocSecurity>
  <Lines>137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45</cp:revision>
  <cp:lastPrinted>2023-08-04T11:20:00Z</cp:lastPrinted>
  <dcterms:created xsi:type="dcterms:W3CDTF">2023-06-06T12:31:00Z</dcterms:created>
  <dcterms:modified xsi:type="dcterms:W3CDTF">2023-08-04T11:20:00Z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