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0A6B2C">
      <w:pPr>
        <w:ind w:right="113"/>
        <w:jc w:val="center"/>
      </w:pPr>
      <w:r w:rsidRPr="00F30D3F">
        <w:rPr>
          <w:b/>
        </w:rPr>
        <w:t>B. PŘÍBALOVÁ INFORMACE</w:t>
      </w:r>
    </w:p>
    <w:p w:rsidR="00554D84" w:rsidRPr="00F30D3F" w:rsidRDefault="00554D84" w:rsidP="000A6B2C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</w:t>
      </w:r>
      <w:r w:rsidR="00CF421C" w:rsidRPr="00F30D3F">
        <w:rPr>
          <w:b/>
        </w:rPr>
        <w:t>:</w:t>
      </w:r>
    </w:p>
    <w:p w:rsidR="00A263F9" w:rsidRDefault="00A263F9" w:rsidP="00A263F9">
      <w:pPr>
        <w:rPr>
          <w:szCs w:val="22"/>
        </w:rPr>
      </w:pPr>
      <w:proofErr w:type="spellStart"/>
      <w:r>
        <w:t>Gabbrovet</w:t>
      </w:r>
      <w:proofErr w:type="spellEnd"/>
      <w:r>
        <w:t xml:space="preserve"> 140 mg/ml roztok </w:t>
      </w:r>
      <w:r>
        <w:rPr>
          <w:szCs w:val="22"/>
        </w:rPr>
        <w:t xml:space="preserve">pro podání v pitné vodě, mléce nebo mléčné náhražce pro neruminující </w:t>
      </w:r>
    </w:p>
    <w:p w:rsidR="00554D84" w:rsidRPr="005E376A" w:rsidRDefault="00A263F9" w:rsidP="00A263F9">
      <w:pPr>
        <w:ind w:left="0" w:firstLine="0"/>
        <w:jc w:val="center"/>
        <w:rPr>
          <w:b/>
        </w:rPr>
      </w:pPr>
      <w:r>
        <w:rPr>
          <w:szCs w:val="22"/>
        </w:rPr>
        <w:t>skot a prasata</w:t>
      </w:r>
    </w:p>
    <w:p w:rsidR="00554D84" w:rsidRPr="00F30D3F" w:rsidRDefault="00554D84" w:rsidP="000A6B2C"/>
    <w:p w:rsidR="00554D84" w:rsidRPr="00F30D3F" w:rsidRDefault="00554D84" w:rsidP="005E376A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:rsidR="00554D84" w:rsidRPr="00F467E9" w:rsidRDefault="00554D84" w:rsidP="005E376A"/>
    <w:p w:rsidR="00A30150" w:rsidRPr="00F30D3F" w:rsidRDefault="00A30150" w:rsidP="00A30150">
      <w:pPr>
        <w:rPr>
          <w:iCs/>
        </w:rPr>
      </w:pPr>
      <w:r w:rsidRPr="00F30D3F">
        <w:rPr>
          <w:iCs/>
          <w:u w:val="single"/>
        </w:rPr>
        <w:t>Držitel rozhodnutí o registraci</w:t>
      </w:r>
      <w:r>
        <w:rPr>
          <w:iCs/>
          <w:u w:val="single"/>
        </w:rPr>
        <w:t>:</w:t>
      </w:r>
    </w:p>
    <w:p w:rsidR="00A30150" w:rsidRDefault="00A30150" w:rsidP="00A30150">
      <w:pPr>
        <w:ind w:left="0" w:firstLine="0"/>
        <w:rPr>
          <w:lang w:val="en-GB"/>
        </w:rPr>
      </w:pPr>
      <w:proofErr w:type="spellStart"/>
      <w:r w:rsidRPr="00F03B6B">
        <w:t>Ceva</w:t>
      </w:r>
      <w:proofErr w:type="spellEnd"/>
      <w:r w:rsidRPr="00F03B6B">
        <w:t xml:space="preserve"> </w:t>
      </w:r>
      <w:proofErr w:type="spellStart"/>
      <w:r w:rsidRPr="00F03B6B">
        <w:t>Santé</w:t>
      </w:r>
      <w:proofErr w:type="spellEnd"/>
      <w:r w:rsidRPr="00F03B6B">
        <w:t xml:space="preserve"> Animale</w:t>
      </w:r>
      <w:r>
        <w:t xml:space="preserve">, </w:t>
      </w:r>
      <w:r w:rsidRPr="00F03B6B">
        <w:t xml:space="preserve">10 </w:t>
      </w:r>
      <w:proofErr w:type="spellStart"/>
      <w:r w:rsidRPr="00F03B6B">
        <w:t>av</w:t>
      </w:r>
      <w:proofErr w:type="spellEnd"/>
      <w:r w:rsidRPr="00F03B6B">
        <w:t xml:space="preserve">. de La </w:t>
      </w:r>
      <w:proofErr w:type="spellStart"/>
      <w:r w:rsidRPr="00F03B6B">
        <w:t>Ballastière</w:t>
      </w:r>
      <w:proofErr w:type="spellEnd"/>
      <w:r>
        <w:t xml:space="preserve">, </w:t>
      </w:r>
      <w:r w:rsidRPr="00F03B6B">
        <w:rPr>
          <w:lang w:val="en-GB"/>
        </w:rPr>
        <w:t xml:space="preserve">33500 </w:t>
      </w:r>
      <w:proofErr w:type="spellStart"/>
      <w:r w:rsidRPr="00F03B6B">
        <w:rPr>
          <w:lang w:val="en-GB"/>
        </w:rPr>
        <w:t>Libourne</w:t>
      </w:r>
      <w:proofErr w:type="spellEnd"/>
      <w:r>
        <w:rPr>
          <w:lang w:val="en-GB"/>
        </w:rPr>
        <w:t xml:space="preserve">, </w:t>
      </w:r>
      <w:r w:rsidRPr="00F03B6B">
        <w:rPr>
          <w:lang w:val="en-GB"/>
        </w:rPr>
        <w:t>Franc</w:t>
      </w:r>
      <w:r>
        <w:rPr>
          <w:lang w:val="en-GB"/>
        </w:rPr>
        <w:t>i</w:t>
      </w:r>
      <w:r w:rsidRPr="00F03B6B">
        <w:rPr>
          <w:lang w:val="en-GB"/>
        </w:rPr>
        <w:t>e</w:t>
      </w:r>
    </w:p>
    <w:p w:rsidR="00A30150" w:rsidRDefault="00A30150" w:rsidP="00A30150">
      <w:pPr>
        <w:rPr>
          <w:bCs/>
          <w:u w:val="single"/>
        </w:rPr>
      </w:pPr>
    </w:p>
    <w:p w:rsidR="00A30150" w:rsidRPr="00F30D3F" w:rsidRDefault="00A30150" w:rsidP="00A30150">
      <w:pPr>
        <w:rPr>
          <w:bCs/>
          <w:u w:val="single"/>
        </w:rPr>
      </w:pPr>
      <w:r w:rsidRPr="00F30D3F">
        <w:rPr>
          <w:bCs/>
          <w:u w:val="single"/>
        </w:rPr>
        <w:t>Výrobce odpovědný za uvolnění šarže</w:t>
      </w:r>
      <w:r>
        <w:t>:</w:t>
      </w:r>
    </w:p>
    <w:p w:rsidR="00554D84" w:rsidRPr="00F30D3F" w:rsidRDefault="00A30150" w:rsidP="00A30150">
      <w:pPr>
        <w:rPr>
          <w:bCs/>
          <w:u w:val="single"/>
        </w:rPr>
      </w:pPr>
      <w:r w:rsidRPr="00205502">
        <w:rPr>
          <w:szCs w:val="22"/>
          <w:lang w:val="fr-FR"/>
        </w:rPr>
        <w:t xml:space="preserve">Ceva Santé Animale, </w:t>
      </w:r>
      <w:r w:rsidRPr="00205502">
        <w:rPr>
          <w:bCs/>
          <w:szCs w:val="22"/>
          <w:lang w:val="fr-FR"/>
        </w:rPr>
        <w:t>Z.I. Très le Bois, 22600 Loudéac</w:t>
      </w:r>
      <w:r>
        <w:rPr>
          <w:lang w:val="fr-FR"/>
        </w:rPr>
        <w:t>, Francie</w:t>
      </w:r>
    </w:p>
    <w:p w:rsidR="00554D84" w:rsidRPr="00F30D3F" w:rsidRDefault="00554D84" w:rsidP="00D629B6"/>
    <w:p w:rsidR="00554D84" w:rsidRPr="00F30D3F" w:rsidRDefault="00554D84" w:rsidP="006B7975"/>
    <w:p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:rsidR="00554D84" w:rsidRPr="00F30D3F" w:rsidRDefault="00554D84" w:rsidP="006B7975">
      <w:pPr>
        <w:ind w:left="0" w:firstLine="0"/>
      </w:pPr>
    </w:p>
    <w:p w:rsidR="00A30150" w:rsidRDefault="00A30150" w:rsidP="006B7975">
      <w:pPr>
        <w:rPr>
          <w:szCs w:val="22"/>
        </w:rPr>
      </w:pPr>
      <w:proofErr w:type="spellStart"/>
      <w:r>
        <w:t>Gabbrovet</w:t>
      </w:r>
      <w:proofErr w:type="spellEnd"/>
      <w:r>
        <w:t xml:space="preserve"> 140 mg/ml roztok </w:t>
      </w:r>
      <w:r>
        <w:rPr>
          <w:szCs w:val="22"/>
        </w:rPr>
        <w:t xml:space="preserve">pro podání v pitné vodě, mléce nebo mléčné náhražce pro neruminující </w:t>
      </w:r>
    </w:p>
    <w:p w:rsidR="00554D84" w:rsidRPr="00F30D3F" w:rsidRDefault="00A30150" w:rsidP="006B7975">
      <w:pPr>
        <w:rPr>
          <w:b/>
        </w:rPr>
      </w:pPr>
      <w:r>
        <w:rPr>
          <w:szCs w:val="22"/>
        </w:rPr>
        <w:t>skot a prasata</w:t>
      </w:r>
    </w:p>
    <w:p w:rsidR="00554D84" w:rsidRDefault="00A30150" w:rsidP="006B7975">
      <w:pPr>
        <w:rPr>
          <w:iCs/>
        </w:rPr>
      </w:pPr>
      <w:proofErr w:type="spellStart"/>
      <w:r>
        <w:rPr>
          <w:iCs/>
        </w:rPr>
        <w:t>Paromomycinum</w:t>
      </w:r>
      <w:proofErr w:type="spellEnd"/>
      <w:r>
        <w:rPr>
          <w:iCs/>
        </w:rPr>
        <w:t xml:space="preserve"> (</w:t>
      </w:r>
      <w:r w:rsidR="00A263F9">
        <w:rPr>
          <w:iCs/>
        </w:rPr>
        <w:t xml:space="preserve">jako </w:t>
      </w:r>
      <w:proofErr w:type="spellStart"/>
      <w:r>
        <w:rPr>
          <w:iCs/>
        </w:rPr>
        <w:t>sulfas</w:t>
      </w:r>
      <w:proofErr w:type="spellEnd"/>
      <w:r>
        <w:rPr>
          <w:iCs/>
        </w:rPr>
        <w:t>)</w:t>
      </w:r>
    </w:p>
    <w:p w:rsidR="00A30150" w:rsidRPr="00F467E9" w:rsidRDefault="00A30150" w:rsidP="006B7975"/>
    <w:p w:rsidR="00554D84" w:rsidRPr="00F467E9" w:rsidRDefault="00554D84" w:rsidP="006B7975"/>
    <w:p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:rsidR="00554D84" w:rsidRPr="00F467E9" w:rsidRDefault="00554D84" w:rsidP="006B7975"/>
    <w:p w:rsidR="00A30150" w:rsidRPr="00F30D3F" w:rsidRDefault="00A263F9" w:rsidP="00A30150">
      <w:r>
        <w:t xml:space="preserve">1 </w:t>
      </w:r>
      <w:r w:rsidR="00A30150">
        <w:t>ml obsahuje:</w:t>
      </w:r>
    </w:p>
    <w:p w:rsidR="00A263F9" w:rsidRDefault="00A263F9" w:rsidP="00A263F9">
      <w:r w:rsidRPr="00E53C37">
        <w:rPr>
          <w:u w:val="single"/>
        </w:rPr>
        <w:t>Léčivá látka:</w:t>
      </w:r>
      <w:r>
        <w:rPr>
          <w:u w:val="single"/>
        </w:rPr>
        <w:t xml:space="preserve"> </w:t>
      </w:r>
      <w:r>
        <w:t xml:space="preserve">140 mg </w:t>
      </w:r>
      <w:proofErr w:type="spellStart"/>
      <w:r>
        <w:rPr>
          <w:iCs/>
        </w:rPr>
        <w:t>paromomycinum</w:t>
      </w:r>
      <w:proofErr w:type="spellEnd"/>
      <w:r>
        <w:rPr>
          <w:iCs/>
        </w:rPr>
        <w:t xml:space="preserve"> (jako </w:t>
      </w:r>
      <w:proofErr w:type="spellStart"/>
      <w:r>
        <w:rPr>
          <w:iCs/>
        </w:rPr>
        <w:t>sulfas</w:t>
      </w:r>
      <w:proofErr w:type="spellEnd"/>
      <w:r>
        <w:rPr>
          <w:iCs/>
        </w:rPr>
        <w:t>), což odpovídá</w:t>
      </w:r>
      <w:r>
        <w:t xml:space="preserve"> 140 000 IU </w:t>
      </w:r>
      <w:proofErr w:type="spellStart"/>
      <w:r>
        <w:t>paromomycinum</w:t>
      </w:r>
      <w:proofErr w:type="spellEnd"/>
      <w:r>
        <w:t xml:space="preserve">, </w:t>
      </w:r>
    </w:p>
    <w:p w:rsidR="00A263F9" w:rsidRDefault="00A263F9" w:rsidP="00A263F9">
      <w:pPr>
        <w:ind w:left="0" w:firstLine="0"/>
      </w:pPr>
      <w:r>
        <w:t xml:space="preserve">což přibližně odpovídá 200 mg </w:t>
      </w:r>
      <w:proofErr w:type="spellStart"/>
      <w:r>
        <w:t>paromomycinum</w:t>
      </w:r>
      <w:proofErr w:type="spellEnd"/>
      <w:r>
        <w:t xml:space="preserve"> </w:t>
      </w:r>
      <w:proofErr w:type="spellStart"/>
      <w:r>
        <w:t>sulfas</w:t>
      </w:r>
      <w:proofErr w:type="spellEnd"/>
      <w:r>
        <w:t>.</w:t>
      </w:r>
    </w:p>
    <w:p w:rsidR="00A263F9" w:rsidRDefault="00A263F9" w:rsidP="00A30150">
      <w:r w:rsidRPr="00E53C37">
        <w:rPr>
          <w:u w:val="single"/>
        </w:rPr>
        <w:t xml:space="preserve">Pomocné látky: </w:t>
      </w:r>
      <w:r w:rsidRPr="00E53C37">
        <w:t>7,5 mg</w:t>
      </w:r>
      <w:r w:rsidRPr="00DA7387">
        <w:t xml:space="preserve"> </w:t>
      </w:r>
      <w:r>
        <w:t xml:space="preserve">benzyl alkohol (E1519) a 3,0 mg </w:t>
      </w:r>
      <w:proofErr w:type="spellStart"/>
      <w:r>
        <w:t>disiřičitan</w:t>
      </w:r>
      <w:proofErr w:type="spellEnd"/>
      <w:r w:rsidRPr="00904A19">
        <w:t xml:space="preserve"> sodný</w:t>
      </w:r>
      <w:r>
        <w:t xml:space="preserve"> (E223).</w:t>
      </w:r>
    </w:p>
    <w:p w:rsidR="00554D84" w:rsidRDefault="00A263F9" w:rsidP="00A30150">
      <w:r w:rsidRPr="00E32EAF">
        <w:t>Světle žlutý až žlutý roztok.</w:t>
      </w:r>
    </w:p>
    <w:p w:rsidR="00A30150" w:rsidRDefault="00A30150" w:rsidP="00A30150"/>
    <w:p w:rsidR="00A30150" w:rsidRPr="00F30D3F" w:rsidRDefault="00A30150" w:rsidP="00A30150"/>
    <w:p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:rsidR="00554D84" w:rsidRPr="00F467E9" w:rsidRDefault="00554D84" w:rsidP="006B7975"/>
    <w:p w:rsidR="00554D84" w:rsidRDefault="00A30150" w:rsidP="00AE51AE">
      <w:pPr>
        <w:rPr>
          <w:szCs w:val="22"/>
        </w:rPr>
      </w:pPr>
      <w:r>
        <w:rPr>
          <w:szCs w:val="22"/>
        </w:rPr>
        <w:t xml:space="preserve">Léčba infekcí gastrointestinálního traktu </w:t>
      </w:r>
      <w:r w:rsidR="00AE51AE">
        <w:rPr>
          <w:szCs w:val="22"/>
        </w:rPr>
        <w:t xml:space="preserve">vyvolaných </w:t>
      </w:r>
      <w:proofErr w:type="spellStart"/>
      <w:r>
        <w:rPr>
          <w:i/>
          <w:szCs w:val="22"/>
        </w:rPr>
        <w:t>Escherichia</w:t>
      </w:r>
      <w:proofErr w:type="spellEnd"/>
      <w:r>
        <w:rPr>
          <w:i/>
          <w:szCs w:val="22"/>
        </w:rPr>
        <w:t xml:space="preserve"> coli</w:t>
      </w:r>
      <w:r w:rsidR="00AE51AE">
        <w:rPr>
          <w:i/>
          <w:szCs w:val="22"/>
        </w:rPr>
        <w:t xml:space="preserve"> </w:t>
      </w:r>
      <w:r>
        <w:rPr>
          <w:szCs w:val="22"/>
        </w:rPr>
        <w:t xml:space="preserve">citlivými na </w:t>
      </w:r>
      <w:proofErr w:type="spellStart"/>
      <w:r>
        <w:rPr>
          <w:szCs w:val="22"/>
        </w:rPr>
        <w:t>paromomycin</w:t>
      </w:r>
      <w:proofErr w:type="spellEnd"/>
      <w:r>
        <w:rPr>
          <w:szCs w:val="22"/>
        </w:rPr>
        <w:t>.</w:t>
      </w:r>
    </w:p>
    <w:p w:rsidR="00A30150" w:rsidRDefault="00A30150" w:rsidP="00A30150">
      <w:pPr>
        <w:rPr>
          <w:szCs w:val="22"/>
        </w:rPr>
      </w:pPr>
    </w:p>
    <w:p w:rsidR="00A30150" w:rsidRPr="00F467E9" w:rsidRDefault="00A30150" w:rsidP="00A30150"/>
    <w:p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:rsidR="00554D84" w:rsidRPr="00F30D3F" w:rsidRDefault="00554D84" w:rsidP="006B7975"/>
    <w:p w:rsidR="00AA2C7F" w:rsidRDefault="00AA2C7F" w:rsidP="00AA2C7F">
      <w:pPr>
        <w:tabs>
          <w:tab w:val="left" w:pos="540"/>
        </w:tabs>
        <w:spacing w:line="260" w:lineRule="atLeast"/>
        <w:ind w:left="0" w:firstLine="0"/>
      </w:pPr>
      <w:r>
        <w:rPr>
          <w:kern w:val="14"/>
          <w:szCs w:val="22"/>
          <w:lang w:eastAsia="nl-NL"/>
        </w:rPr>
        <w:t>Nepoužívat u zvířat se známou přecitlivělostí na paromomycin, jiné aminoglykosidy nebo na některou z pomocných látek.</w:t>
      </w:r>
    </w:p>
    <w:p w:rsidR="00AA2C7F" w:rsidRDefault="00AA2C7F" w:rsidP="00AA2C7F">
      <w:pPr>
        <w:tabs>
          <w:tab w:val="left" w:pos="355"/>
        </w:tabs>
      </w:pPr>
      <w:r>
        <w:t>Nepoužívat v případech zhoršené funkce ledvin nebo jater.</w:t>
      </w:r>
    </w:p>
    <w:p w:rsidR="00AA2C7F" w:rsidRDefault="00AA2C7F" w:rsidP="00AA2C7F">
      <w:pPr>
        <w:tabs>
          <w:tab w:val="left" w:pos="355"/>
        </w:tabs>
      </w:pPr>
      <w:r>
        <w:t>Nepoužívat u zvířat s rozvinutou funkcí předžaludku.</w:t>
      </w:r>
    </w:p>
    <w:p w:rsidR="00A30150" w:rsidRPr="00F30D3F" w:rsidRDefault="00AA2C7F" w:rsidP="00AE51AE">
      <w:r>
        <w:rPr>
          <w:szCs w:val="22"/>
        </w:rPr>
        <w:t>Nepoužív</w:t>
      </w:r>
      <w:r w:rsidR="00AE51AE">
        <w:rPr>
          <w:szCs w:val="22"/>
        </w:rPr>
        <w:t>at</w:t>
      </w:r>
      <w:r>
        <w:rPr>
          <w:szCs w:val="22"/>
        </w:rPr>
        <w:t xml:space="preserve"> u krůt vzhledem k riziku selekce rezistence na </w:t>
      </w:r>
      <w:proofErr w:type="spellStart"/>
      <w:r>
        <w:rPr>
          <w:szCs w:val="22"/>
        </w:rPr>
        <w:t>antimikrobika</w:t>
      </w:r>
      <w:proofErr w:type="spellEnd"/>
      <w:r>
        <w:rPr>
          <w:szCs w:val="22"/>
        </w:rPr>
        <w:t xml:space="preserve"> u střevních bakterií</w:t>
      </w:r>
      <w:r w:rsidR="00A30150">
        <w:t>.</w:t>
      </w:r>
    </w:p>
    <w:p w:rsidR="00554D84" w:rsidRDefault="00554D84" w:rsidP="006B7975"/>
    <w:p w:rsidR="00A30150" w:rsidRPr="00F30D3F" w:rsidRDefault="00A30150" w:rsidP="006B7975"/>
    <w:p w:rsidR="00554D84" w:rsidRPr="00F30D3F" w:rsidRDefault="00554D84" w:rsidP="006B7975"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:rsidR="00554D84" w:rsidRPr="00F30D3F" w:rsidRDefault="00554D84" w:rsidP="006B7975"/>
    <w:p w:rsidR="00A30150" w:rsidRPr="00F30D3F" w:rsidRDefault="00A30150" w:rsidP="00A30150">
      <w:pPr>
        <w:rPr>
          <w:b/>
        </w:rPr>
      </w:pPr>
      <w:r>
        <w:rPr>
          <w:szCs w:val="22"/>
        </w:rPr>
        <w:t>Ve vzácných případech byla pozorována řídká stolice.</w:t>
      </w:r>
    </w:p>
    <w:p w:rsidR="00A30150" w:rsidRPr="00F30D3F" w:rsidRDefault="00A30150" w:rsidP="00A30150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:rsidR="00A30150" w:rsidRPr="00F30D3F" w:rsidRDefault="00A30150" w:rsidP="00A30150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</w:t>
      </w:r>
      <w:r w:rsidR="00674165">
        <w:rPr>
          <w:szCs w:val="22"/>
        </w:rPr>
        <w:t xml:space="preserve"> </w:t>
      </w:r>
      <w:r w:rsidRPr="00F30D3F">
        <w:rPr>
          <w:szCs w:val="22"/>
        </w:rPr>
        <w:t xml:space="preserve">(nky) se </w:t>
      </w:r>
      <w:proofErr w:type="gramStart"/>
      <w:r w:rsidRPr="00F30D3F">
        <w:rPr>
          <w:szCs w:val="22"/>
        </w:rPr>
        <w:t>projevil(y) u více</w:t>
      </w:r>
      <w:proofErr w:type="gramEnd"/>
      <w:r w:rsidRPr="00F30D3F">
        <w:rPr>
          <w:szCs w:val="22"/>
        </w:rPr>
        <w:t xml:space="preserve"> než 1 z 10 ošetřených zvířat)</w:t>
      </w:r>
    </w:p>
    <w:p w:rsidR="00A30150" w:rsidRPr="00F30D3F" w:rsidRDefault="00A30150" w:rsidP="00A30150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:rsidR="00A30150" w:rsidRPr="00F30D3F" w:rsidRDefault="00A30150" w:rsidP="00A30150">
      <w:pPr>
        <w:rPr>
          <w:szCs w:val="22"/>
        </w:rPr>
      </w:pPr>
      <w:r w:rsidRPr="00F30D3F">
        <w:rPr>
          <w:szCs w:val="22"/>
        </w:rPr>
        <w:t>- neobvyklé (u více než 1, ale méně než 10 z</w:t>
      </w:r>
      <w:r w:rsidR="00AE51AE">
        <w:rPr>
          <w:szCs w:val="22"/>
        </w:rPr>
        <w:t> </w:t>
      </w:r>
      <w:r w:rsidRPr="00F30D3F">
        <w:rPr>
          <w:szCs w:val="22"/>
        </w:rPr>
        <w:t>1</w:t>
      </w:r>
      <w:r w:rsidR="00AE51AE">
        <w:rPr>
          <w:szCs w:val="22"/>
        </w:rPr>
        <w:t xml:space="preserve"> </w:t>
      </w:r>
      <w:r w:rsidRPr="00F30D3F">
        <w:rPr>
          <w:szCs w:val="22"/>
        </w:rPr>
        <w:t>000 ošetřených zvířat)</w:t>
      </w:r>
    </w:p>
    <w:p w:rsidR="00A30150" w:rsidRPr="00F30D3F" w:rsidRDefault="00A30150" w:rsidP="00A30150">
      <w:pPr>
        <w:rPr>
          <w:szCs w:val="22"/>
        </w:rPr>
      </w:pPr>
      <w:r w:rsidRPr="00F30D3F">
        <w:rPr>
          <w:szCs w:val="22"/>
        </w:rPr>
        <w:t>- vzácné (u více než 1, ale méně než 10 z</w:t>
      </w:r>
      <w:r w:rsidR="00AE51AE">
        <w:rPr>
          <w:szCs w:val="22"/>
        </w:rPr>
        <w:t> </w:t>
      </w:r>
      <w:r w:rsidRPr="00F30D3F">
        <w:rPr>
          <w:szCs w:val="22"/>
        </w:rPr>
        <w:t>10</w:t>
      </w:r>
      <w:r w:rsidR="00AE51AE">
        <w:rPr>
          <w:szCs w:val="22"/>
        </w:rPr>
        <w:t xml:space="preserve"> </w:t>
      </w:r>
      <w:r w:rsidRPr="00F30D3F">
        <w:rPr>
          <w:szCs w:val="22"/>
        </w:rPr>
        <w:t>000 ošetřených zvířat)</w:t>
      </w:r>
    </w:p>
    <w:p w:rsidR="00A30150" w:rsidRDefault="00A30150" w:rsidP="00A30150">
      <w:pPr>
        <w:rPr>
          <w:szCs w:val="22"/>
        </w:rPr>
      </w:pPr>
      <w:r w:rsidRPr="00F30D3F">
        <w:rPr>
          <w:szCs w:val="22"/>
        </w:rPr>
        <w:t>- velmi vzácné (u méně než 1 z</w:t>
      </w:r>
      <w:r w:rsidR="00AE51AE">
        <w:rPr>
          <w:szCs w:val="22"/>
        </w:rPr>
        <w:t> </w:t>
      </w:r>
      <w:r w:rsidRPr="00F30D3F">
        <w:rPr>
          <w:szCs w:val="22"/>
        </w:rPr>
        <w:t>10</w:t>
      </w:r>
      <w:r w:rsidR="00AE51AE">
        <w:rPr>
          <w:szCs w:val="22"/>
        </w:rPr>
        <w:t xml:space="preserve"> </w:t>
      </w:r>
      <w:r w:rsidRPr="00F30D3F">
        <w:rPr>
          <w:szCs w:val="22"/>
        </w:rPr>
        <w:t>000 ošetřených zvířat, včetně ojedinělých hlášení</w:t>
      </w:r>
      <w:r>
        <w:rPr>
          <w:szCs w:val="22"/>
        </w:rPr>
        <w:t>).</w:t>
      </w:r>
    </w:p>
    <w:p w:rsidR="00AA2C7F" w:rsidRPr="00F30D3F" w:rsidRDefault="00AA2C7F" w:rsidP="00A30150">
      <w:pPr>
        <w:rPr>
          <w:szCs w:val="22"/>
        </w:rPr>
      </w:pPr>
    </w:p>
    <w:p w:rsidR="00742EB3" w:rsidRPr="00F30D3F" w:rsidRDefault="00A30150" w:rsidP="00A30150">
      <w:pPr>
        <w:rPr>
          <w:szCs w:val="22"/>
        </w:rPr>
      </w:pPr>
      <w:proofErr w:type="spellStart"/>
      <w:r>
        <w:rPr>
          <w:szCs w:val="22"/>
        </w:rPr>
        <w:t>Aminoglykosidová</w:t>
      </w:r>
      <w:proofErr w:type="spellEnd"/>
      <w:r>
        <w:rPr>
          <w:szCs w:val="22"/>
        </w:rPr>
        <w:t xml:space="preserve"> antibiotika, jako je </w:t>
      </w:r>
      <w:proofErr w:type="spellStart"/>
      <w:r>
        <w:rPr>
          <w:szCs w:val="22"/>
        </w:rPr>
        <w:t>paromomycin</w:t>
      </w:r>
      <w:proofErr w:type="spellEnd"/>
      <w:r>
        <w:rPr>
          <w:szCs w:val="22"/>
        </w:rPr>
        <w:t xml:space="preserve">, mohou způsobit </w:t>
      </w:r>
      <w:proofErr w:type="spellStart"/>
      <w:r>
        <w:rPr>
          <w:szCs w:val="22"/>
        </w:rPr>
        <w:t>ototoxicitu</w:t>
      </w:r>
      <w:proofErr w:type="spellEnd"/>
      <w:r>
        <w:rPr>
          <w:szCs w:val="22"/>
        </w:rPr>
        <w:t xml:space="preserve"> a</w:t>
      </w:r>
      <w:r w:rsidR="00AE51AE">
        <w:rPr>
          <w:szCs w:val="22"/>
        </w:rPr>
        <w:t xml:space="preserve"> </w:t>
      </w:r>
      <w:proofErr w:type="spellStart"/>
      <w:r>
        <w:rPr>
          <w:szCs w:val="22"/>
        </w:rPr>
        <w:t>nefrotoxicitu</w:t>
      </w:r>
      <w:proofErr w:type="spellEnd"/>
      <w:r>
        <w:rPr>
          <w:szCs w:val="22"/>
        </w:rPr>
        <w:t>.</w:t>
      </w:r>
    </w:p>
    <w:p w:rsidR="00742EB3" w:rsidRPr="00F30D3F" w:rsidRDefault="00742EB3" w:rsidP="006B7975"/>
    <w:p w:rsidR="00554D84" w:rsidRPr="00F30D3F" w:rsidRDefault="00554D84" w:rsidP="006B7975">
      <w:pPr>
        <w:ind w:left="0" w:firstLine="0"/>
      </w:pPr>
      <w:r w:rsidRPr="00F30D3F">
        <w:lastRenderedPageBreak/>
        <w:t xml:space="preserve">Jestliže zaznamenáte </w:t>
      </w:r>
      <w:r w:rsidR="00DE44F8" w:rsidRPr="00F30D3F">
        <w:t xml:space="preserve">kterýkoliv z </w:t>
      </w:r>
      <w:r w:rsidRPr="00F30D3F">
        <w:t>nežádoucí</w:t>
      </w:r>
      <w:r w:rsidR="00DE44F8" w:rsidRPr="00F30D3F">
        <w:t>ch</w:t>
      </w:r>
      <w:r w:rsidRPr="00F30D3F">
        <w:t xml:space="preserve"> </w:t>
      </w:r>
      <w:r w:rsidR="00DE44F8" w:rsidRPr="00F30D3F">
        <w:t>účinků a to i takové</w:t>
      </w:r>
      <w:r w:rsidRPr="00F30D3F">
        <w:t xml:space="preserve">, které nejsou uvedeny v této příbalové informaci, </w:t>
      </w:r>
      <w:r w:rsidR="0056452D">
        <w:t xml:space="preserve">nebo si myslíte, že léčivo nefunguje, </w:t>
      </w:r>
      <w:r w:rsidRPr="00F30D3F">
        <w:t>oznamte to</w:t>
      </w:r>
      <w:r w:rsidR="00DE44F8" w:rsidRPr="00F30D3F">
        <w:t>,</w:t>
      </w:r>
      <w:r w:rsidRPr="00F30D3F">
        <w:t xml:space="preserve"> prosím</w:t>
      </w:r>
      <w:r w:rsidR="00DE44F8" w:rsidRPr="00F30D3F">
        <w:t>,</w:t>
      </w:r>
      <w:r w:rsidRPr="00F30D3F">
        <w:t xml:space="preserve"> vašemu veterinárnímu lékaři.</w:t>
      </w:r>
    </w:p>
    <w:p w:rsidR="00554D84" w:rsidRPr="00F30D3F" w:rsidRDefault="00554D84" w:rsidP="006B7975"/>
    <w:p w:rsidR="00554D84" w:rsidRPr="00F30D3F" w:rsidRDefault="00BF52CC" w:rsidP="000A6B2C">
      <w:pPr>
        <w:ind w:left="0" w:firstLine="0"/>
        <w:rPr>
          <w:lang w:val="en-GB"/>
        </w:rPr>
      </w:pPr>
      <w:r w:rsidRPr="00F30D3F">
        <w:t>M</w:t>
      </w:r>
      <w:r w:rsidR="00DE44F8" w:rsidRPr="000A6B2C">
        <w:t>ůžete</w:t>
      </w:r>
      <w:r w:rsidRPr="00F30D3F">
        <w:t xml:space="preserve"> také</w:t>
      </w:r>
      <w:r w:rsidR="00DE44F8" w:rsidRPr="000A6B2C">
        <w:t xml:space="preserve"> hlásit prostřednictvím národního systému hlášení nežádoucích účinků {</w:t>
      </w:r>
      <w:r w:rsidR="00A30150">
        <w:t>www.</w:t>
      </w:r>
      <w:r w:rsidR="00AA2C7F">
        <w:t>uskvbl</w:t>
      </w:r>
      <w:r w:rsidR="00A30150">
        <w:t>.cz}.</w:t>
      </w:r>
    </w:p>
    <w:p w:rsidR="00DE44F8" w:rsidRPr="00F30D3F" w:rsidRDefault="00DE44F8" w:rsidP="000A6B2C"/>
    <w:p w:rsidR="00554D84" w:rsidRPr="00F30D3F" w:rsidRDefault="00554D84" w:rsidP="005E376A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:rsidR="00554D84" w:rsidRPr="00F30D3F" w:rsidRDefault="00554D84" w:rsidP="005E376A"/>
    <w:p w:rsidR="00554D84" w:rsidRDefault="00A30150" w:rsidP="006C4941">
      <w:r>
        <w:t>Skot (neruminující skot), prasata.</w:t>
      </w:r>
    </w:p>
    <w:p w:rsidR="00A30150" w:rsidRDefault="00A30150" w:rsidP="006C4941"/>
    <w:p w:rsidR="00A30150" w:rsidRPr="00F467E9" w:rsidRDefault="00A30150" w:rsidP="006C4941"/>
    <w:p w:rsidR="00554D84" w:rsidRPr="00F30D3F" w:rsidRDefault="00554D84" w:rsidP="00476943">
      <w:r w:rsidRPr="006B180F">
        <w:rPr>
          <w:b/>
        </w:rPr>
        <w:t>8.</w:t>
      </w:r>
      <w:r w:rsidRPr="006B180F">
        <w:rPr>
          <w:b/>
        </w:rPr>
        <w:tab/>
        <w:t xml:space="preserve">DÁVKOVÁNÍ PRO KAŽDÝ DRUH, </w:t>
      </w:r>
      <w:proofErr w:type="gramStart"/>
      <w:r w:rsidRPr="006B180F">
        <w:rPr>
          <w:b/>
        </w:rPr>
        <w:t>CESTA(Y) A ZPŮSOB</w:t>
      </w:r>
      <w:proofErr w:type="gramEnd"/>
      <w:r w:rsidRPr="006B180F">
        <w:rPr>
          <w:b/>
        </w:rPr>
        <w:t xml:space="preserve"> PODÁNÍ</w:t>
      </w:r>
    </w:p>
    <w:p w:rsidR="00742EB3" w:rsidRPr="00F30D3F" w:rsidRDefault="00742EB3" w:rsidP="001751C8"/>
    <w:p w:rsidR="00A30150" w:rsidRDefault="00A30150" w:rsidP="00A30150">
      <w:pPr>
        <w:rPr>
          <w:bCs/>
        </w:rPr>
      </w:pPr>
      <w:r>
        <w:rPr>
          <w:bCs/>
        </w:rPr>
        <w:t>Perorální podání.</w:t>
      </w:r>
    </w:p>
    <w:p w:rsidR="00A30150" w:rsidRDefault="00A30150" w:rsidP="00A30150">
      <w:pPr>
        <w:rPr>
          <w:bCs/>
        </w:rPr>
      </w:pPr>
      <w:r>
        <w:rPr>
          <w:bCs/>
        </w:rPr>
        <w:t>Délka trvání léčby: 3 - 5 dnů</w:t>
      </w:r>
    </w:p>
    <w:p w:rsidR="00A30150" w:rsidRDefault="00A30150" w:rsidP="00A30150">
      <w:pPr>
        <w:rPr>
          <w:bCs/>
        </w:rPr>
      </w:pPr>
    </w:p>
    <w:p w:rsidR="00AA2C7F" w:rsidRPr="00985DE7" w:rsidRDefault="00A30150" w:rsidP="00AA2C7F">
      <w:pPr>
        <w:rPr>
          <w:szCs w:val="22"/>
          <w:u w:val="single"/>
        </w:rPr>
      </w:pPr>
      <w:r w:rsidRPr="004B08E1">
        <w:rPr>
          <w:rFonts w:ascii="Times-Roman" w:hAnsi="Times-Roman" w:cs="Times-Roman"/>
          <w:szCs w:val="22"/>
          <w:lang w:eastAsia="sk-SK"/>
        </w:rPr>
        <w:t>-</w:t>
      </w:r>
      <w:r>
        <w:rPr>
          <w:rFonts w:ascii="Times-Roman" w:hAnsi="Times-Roman" w:cs="Times-Roman"/>
          <w:szCs w:val="22"/>
          <w:lang w:eastAsia="sk-SK"/>
        </w:rPr>
        <w:t xml:space="preserve"> </w:t>
      </w:r>
    </w:p>
    <w:p w:rsidR="00AE51AE" w:rsidRDefault="00AA2C7F" w:rsidP="00AE51AE">
      <w:pPr>
        <w:rPr>
          <w:szCs w:val="22"/>
          <w:u w:val="single"/>
        </w:rPr>
      </w:pPr>
      <w:r w:rsidRPr="00985DE7">
        <w:rPr>
          <w:szCs w:val="22"/>
          <w:u w:val="single"/>
        </w:rPr>
        <w:t>Neruminující skot</w:t>
      </w:r>
      <w:r w:rsidR="00AE51AE">
        <w:rPr>
          <w:szCs w:val="22"/>
          <w:u w:val="single"/>
        </w:rPr>
        <w:t>. Podání v mléce/ mléčné náhražce:</w:t>
      </w:r>
    </w:p>
    <w:p w:rsidR="00AA2C7F" w:rsidRDefault="00AA2C7F" w:rsidP="00674165">
      <w:pPr>
        <w:ind w:left="0" w:firstLine="0"/>
        <w:rPr>
          <w:rFonts w:ascii="TTE1B8EB00t00" w:hAnsi="TTE1B8EB00t00" w:cs="TTE1B8EB00t00"/>
          <w:szCs w:val="22"/>
          <w:lang w:eastAsia="sk-SK"/>
        </w:rPr>
      </w:pPr>
      <w:r>
        <w:rPr>
          <w:rFonts w:ascii="Times-Roman" w:hAnsi="Times-Roman" w:cs="Times-Roman"/>
          <w:szCs w:val="22"/>
          <w:lang w:eastAsia="sk-SK"/>
        </w:rPr>
        <w:t xml:space="preserve">1,25 – 2, 5 ml přípravku /10 kg živé hmotnosti/ den, to odpovídá 17500 – 35000 IU </w:t>
      </w:r>
      <w:proofErr w:type="spellStart"/>
      <w:r>
        <w:rPr>
          <w:rFonts w:ascii="Times-Roman" w:hAnsi="Times-Roman" w:cs="Times-Roman"/>
          <w:szCs w:val="22"/>
          <w:lang w:eastAsia="sk-SK"/>
        </w:rPr>
        <w:t>paromycinu</w:t>
      </w:r>
      <w:proofErr w:type="spellEnd"/>
      <w:r>
        <w:rPr>
          <w:rFonts w:ascii="Times-Roman" w:hAnsi="Times-Roman" w:cs="Times-Roman"/>
          <w:szCs w:val="22"/>
          <w:lang w:eastAsia="sk-SK"/>
        </w:rPr>
        <w:t xml:space="preserve"> na kg živé hmotnosti/den (tj. přibližně 25-50 mg paromomycin sulfátu na kg živé hmotnosti/de</w:t>
      </w:r>
      <w:r>
        <w:rPr>
          <w:rFonts w:ascii="TTE1B8EB00t00" w:hAnsi="TTE1B8EB00t00" w:cs="TTE1B8EB00t00"/>
          <w:szCs w:val="22"/>
          <w:lang w:eastAsia="sk-SK"/>
        </w:rPr>
        <w:t>n).</w:t>
      </w:r>
    </w:p>
    <w:p w:rsidR="00AE51AE" w:rsidRDefault="00AA2C7F" w:rsidP="00AA2C7F">
      <w:pPr>
        <w:rPr>
          <w:u w:val="single"/>
        </w:rPr>
      </w:pPr>
      <w:r>
        <w:rPr>
          <w:u w:val="single"/>
        </w:rPr>
        <w:t>Prasata</w:t>
      </w:r>
      <w:r w:rsidR="00AE51AE">
        <w:rPr>
          <w:u w:val="single"/>
        </w:rPr>
        <w:t>. Podání v pitné vodě:</w:t>
      </w:r>
    </w:p>
    <w:p w:rsidR="00AE51AE" w:rsidRDefault="00AA2C7F" w:rsidP="00AA2C7F">
      <w:pPr>
        <w:rPr>
          <w:rFonts w:ascii="Times-Roman" w:hAnsi="Times-Roman" w:cs="Times-Roman"/>
          <w:szCs w:val="22"/>
          <w:lang w:eastAsia="sk-SK"/>
        </w:rPr>
      </w:pPr>
      <w:r>
        <w:rPr>
          <w:rFonts w:ascii="Times-Roman" w:hAnsi="Times-Roman" w:cs="Times-Roman"/>
          <w:szCs w:val="22"/>
          <w:lang w:eastAsia="sk-SK"/>
        </w:rPr>
        <w:t xml:space="preserve">1,25 – 2 ml přípravku /10 kg živé hmotnosti/ den, to odpovídá 17500 – 28000 IU </w:t>
      </w:r>
      <w:proofErr w:type="spellStart"/>
      <w:r>
        <w:rPr>
          <w:rFonts w:ascii="Times-Roman" w:hAnsi="Times-Roman" w:cs="Times-Roman"/>
          <w:szCs w:val="22"/>
          <w:lang w:eastAsia="sk-SK"/>
        </w:rPr>
        <w:t>paromycinu</w:t>
      </w:r>
      <w:proofErr w:type="spellEnd"/>
      <w:r>
        <w:rPr>
          <w:rFonts w:ascii="Times-Roman" w:hAnsi="Times-Roman" w:cs="Times-Roman"/>
          <w:szCs w:val="22"/>
          <w:lang w:eastAsia="sk-SK"/>
        </w:rPr>
        <w:t xml:space="preserve"> na kg</w:t>
      </w:r>
    </w:p>
    <w:p w:rsidR="00AA2C7F" w:rsidRDefault="00AA2C7F" w:rsidP="00AA2C7F">
      <w:pPr>
        <w:rPr>
          <w:rFonts w:ascii="TTE1B8EB00t00" w:hAnsi="TTE1B8EB00t00" w:cs="TTE1B8EB00t00"/>
          <w:szCs w:val="22"/>
          <w:lang w:eastAsia="sk-SK"/>
        </w:rPr>
      </w:pPr>
      <w:r>
        <w:rPr>
          <w:rFonts w:ascii="Times-Roman" w:hAnsi="Times-Roman" w:cs="Times-Roman"/>
          <w:szCs w:val="22"/>
          <w:lang w:eastAsia="sk-SK"/>
        </w:rPr>
        <w:t>živé hmotnosti/den (tj. přibližně 25-40 mg paromomycin sulfátu na kg živé hmotnosti/de</w:t>
      </w:r>
      <w:r>
        <w:rPr>
          <w:rFonts w:ascii="TTE1B8EB00t00" w:hAnsi="TTE1B8EB00t00" w:cs="TTE1B8EB00t00"/>
          <w:szCs w:val="22"/>
          <w:lang w:eastAsia="sk-SK"/>
        </w:rPr>
        <w:t>n).</w:t>
      </w:r>
    </w:p>
    <w:p w:rsidR="00AA2C7F" w:rsidRDefault="00AA2C7F" w:rsidP="00AA2C7F">
      <w:pPr>
        <w:rPr>
          <w:rFonts w:ascii="TTE1B8EB00t00" w:hAnsi="TTE1B8EB00t00" w:cs="TTE1B8EB00t00"/>
          <w:szCs w:val="22"/>
          <w:lang w:eastAsia="sk-SK"/>
        </w:rPr>
      </w:pPr>
    </w:p>
    <w:p w:rsidR="00AA2C7F" w:rsidRDefault="00AA2C7F" w:rsidP="00AA2C7F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Pro podávání v pitné vodě, mléce nebo mléčné náhražce je třeba vypočítat přesné denní množství </w:t>
      </w:r>
    </w:p>
    <w:p w:rsidR="00AA2C7F" w:rsidRDefault="00AA2C7F" w:rsidP="00AA2C7F">
      <w:pPr>
        <w:rPr>
          <w:rFonts w:eastAsia="Calibri"/>
          <w:szCs w:val="22"/>
        </w:rPr>
      </w:pPr>
      <w:r>
        <w:rPr>
          <w:rFonts w:eastAsia="Calibri"/>
          <w:szCs w:val="22"/>
        </w:rPr>
        <w:t>přípravku na základě počtu a hmotnosti zvířat, která mají být ošetřena, podle následujícího vzorce:</w:t>
      </w:r>
    </w:p>
    <w:p w:rsidR="00AA2C7F" w:rsidRDefault="00AA2C7F" w:rsidP="00AA2C7F">
      <w:pPr>
        <w:rPr>
          <w:rFonts w:eastAsia="Calibri"/>
          <w:szCs w:val="22"/>
        </w:rPr>
      </w:pPr>
    </w:p>
    <w:p w:rsidR="00AE51AE" w:rsidRPr="00CD08A7" w:rsidRDefault="00AE51AE" w:rsidP="00AE51AE">
      <w:pPr>
        <w:autoSpaceDE w:val="0"/>
        <w:autoSpaceDN w:val="0"/>
        <w:adjustRightInd w:val="0"/>
        <w:ind w:left="0" w:firstLine="0"/>
        <w:rPr>
          <w:rFonts w:ascii="TTE1B8EB00t00" w:hAnsi="TTE1B8EB00t00" w:cs="TTE1B8EB00t00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 xml:space="preserve">ml přípravku / </w:t>
      </w:r>
      <w:proofErr w:type="gramStart"/>
      <w:r w:rsidRPr="00CD08A7">
        <w:rPr>
          <w:rFonts w:ascii="Times-Roman" w:hAnsi="Times-Roman" w:cs="Times-Roman"/>
          <w:szCs w:val="22"/>
          <w:lang w:eastAsia="sk-SK"/>
        </w:rPr>
        <w:t>kg                  x     Pr</w:t>
      </w:r>
      <w:r w:rsidRPr="00CD08A7">
        <w:rPr>
          <w:szCs w:val="22"/>
          <w:lang w:eastAsia="sk-SK"/>
        </w:rPr>
        <w:t>ů</w:t>
      </w:r>
      <w:r w:rsidRPr="00CD08A7">
        <w:rPr>
          <w:rFonts w:ascii="Times-Roman" w:hAnsi="Times-Roman" w:cs="Times-Roman"/>
          <w:szCs w:val="22"/>
          <w:lang w:eastAsia="sk-SK"/>
        </w:rPr>
        <w:t>měrná</w:t>
      </w:r>
      <w:proofErr w:type="gramEnd"/>
      <w:r w:rsidRPr="00CD08A7">
        <w:rPr>
          <w:rFonts w:ascii="Times-Roman" w:hAnsi="Times-Roman" w:cs="Times-Roman"/>
          <w:szCs w:val="22"/>
          <w:lang w:eastAsia="sk-SK"/>
        </w:rPr>
        <w:t xml:space="preserve"> živá hmotnos</w:t>
      </w:r>
      <w:r w:rsidRPr="00CD08A7">
        <w:rPr>
          <w:rFonts w:ascii="TTE1B8EB00t00" w:hAnsi="TTE1B8EB00t00" w:cs="TTE1B8EB00t00"/>
          <w:szCs w:val="22"/>
          <w:lang w:eastAsia="sk-SK"/>
        </w:rPr>
        <w:t>t</w:t>
      </w:r>
    </w:p>
    <w:p w:rsidR="00AE51AE" w:rsidRPr="00CD08A7" w:rsidRDefault="00AE51AE" w:rsidP="00AE51AE">
      <w:pPr>
        <w:autoSpaceDE w:val="0"/>
        <w:autoSpaceDN w:val="0"/>
        <w:adjustRightInd w:val="0"/>
        <w:rPr>
          <w:rFonts w:ascii="TTE1B8EB00t00" w:hAnsi="TTE1B8EB00t00" w:cs="TTE1B8EB00t00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živé hmotnosti /</w:t>
      </w:r>
      <w:proofErr w:type="gramStart"/>
      <w:r w:rsidRPr="00CD08A7">
        <w:rPr>
          <w:rFonts w:ascii="Times-Roman" w:hAnsi="Times-Roman" w:cs="Times-Roman"/>
          <w:szCs w:val="22"/>
          <w:lang w:eastAsia="sk-SK"/>
        </w:rPr>
        <w:t>de</w:t>
      </w:r>
      <w:r w:rsidRPr="00CD08A7">
        <w:rPr>
          <w:rFonts w:ascii="TTE1B8EB00t00" w:hAnsi="TTE1B8EB00t00" w:cs="TTE1B8EB00t00"/>
          <w:szCs w:val="22"/>
          <w:lang w:eastAsia="sk-SK"/>
        </w:rPr>
        <w:t xml:space="preserve">n                     </w:t>
      </w:r>
      <w:r w:rsidRPr="00CD08A7">
        <w:rPr>
          <w:rFonts w:ascii="Times-Roman" w:hAnsi="Times-Roman" w:cs="Times-Roman"/>
          <w:szCs w:val="22"/>
          <w:lang w:eastAsia="sk-SK"/>
        </w:rPr>
        <w:t>(kg</w:t>
      </w:r>
      <w:proofErr w:type="gramEnd"/>
      <w:r w:rsidRPr="00CD08A7">
        <w:rPr>
          <w:rFonts w:ascii="Times-Roman" w:hAnsi="Times-Roman" w:cs="Times-Roman"/>
          <w:szCs w:val="22"/>
          <w:lang w:eastAsia="sk-SK"/>
        </w:rPr>
        <w:t>) zvířat, které mají být</w:t>
      </w:r>
      <w:r w:rsidRPr="00CD08A7">
        <w:rPr>
          <w:rFonts w:ascii="TTE1B8EB00t00" w:hAnsi="TTE1B8EB00t00" w:cs="TTE1B8EB00t00"/>
          <w:szCs w:val="22"/>
          <w:lang w:eastAsia="sk-SK"/>
        </w:rPr>
        <w:t xml:space="preserve"> </w:t>
      </w:r>
      <w:r w:rsidRPr="00CD08A7">
        <w:rPr>
          <w:rFonts w:ascii="Times-Roman" w:hAnsi="Times-Roman" w:cs="Times-Roman"/>
          <w:szCs w:val="22"/>
          <w:lang w:eastAsia="sk-SK"/>
        </w:rPr>
        <w:t>léč</w:t>
      </w:r>
      <w:r w:rsidRPr="00CD08A7">
        <w:rPr>
          <w:rFonts w:ascii="TTE1B8EB00t00" w:hAnsi="TTE1B8EB00t00" w:cs="TTE1B8EB00t00"/>
          <w:szCs w:val="22"/>
          <w:lang w:eastAsia="sk-SK"/>
        </w:rPr>
        <w:t>e</w:t>
      </w:r>
      <w:r w:rsidRPr="00CD08A7">
        <w:rPr>
          <w:rFonts w:ascii="Times-Roman" w:hAnsi="Times-Roman" w:cs="Times-Roman"/>
          <w:szCs w:val="22"/>
          <w:lang w:eastAsia="sk-SK"/>
        </w:rPr>
        <w:t xml:space="preserve">na      = </w:t>
      </w:r>
      <w:r>
        <w:rPr>
          <w:rFonts w:ascii="Times-Roman" w:hAnsi="Times-Roman" w:cs="Times-Roman"/>
          <w:szCs w:val="22"/>
          <w:lang w:eastAsia="sk-SK"/>
        </w:rPr>
        <w:t xml:space="preserve">         </w:t>
      </w:r>
      <w:r w:rsidRPr="00CD08A7">
        <w:rPr>
          <w:rFonts w:ascii="Times-Roman" w:hAnsi="Times-Roman" w:cs="Times-Roman"/>
          <w:szCs w:val="22"/>
          <w:lang w:eastAsia="sk-SK"/>
        </w:rPr>
        <w:t xml:space="preserve">.... ml přípravku na      </w:t>
      </w:r>
    </w:p>
    <w:p w:rsidR="00AE51AE" w:rsidRPr="00CD08A7" w:rsidRDefault="00AE51AE" w:rsidP="00AE51AE">
      <w:pPr>
        <w:autoSpaceDE w:val="0"/>
        <w:autoSpaceDN w:val="0"/>
        <w:adjustRightInd w:val="0"/>
        <w:ind w:left="6795" w:hanging="6795"/>
        <w:rPr>
          <w:rFonts w:ascii="Times-Roman" w:hAnsi="Times-Roman" w:cs="Times-Roman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------------------------------------------------------------------------------</w:t>
      </w:r>
      <w:r>
        <w:rPr>
          <w:rFonts w:ascii="Times-Roman" w:hAnsi="Times-Roman" w:cs="Times-Roman"/>
          <w:szCs w:val="22"/>
          <w:lang w:eastAsia="sk-SK"/>
        </w:rPr>
        <w:t>-----</w:t>
      </w:r>
      <w:r w:rsidRPr="00CD08A7">
        <w:rPr>
          <w:rFonts w:ascii="Times-Roman" w:hAnsi="Times-Roman" w:cs="Times-Roman"/>
          <w:szCs w:val="22"/>
          <w:lang w:eastAsia="sk-SK"/>
        </w:rPr>
        <w:t xml:space="preserve">         </w:t>
      </w:r>
      <w:r w:rsidRPr="00CD08A7">
        <w:rPr>
          <w:rFonts w:ascii="Times-Roman" w:hAnsi="Times-Roman" w:cs="Times-Roman"/>
          <w:szCs w:val="22"/>
          <w:lang w:eastAsia="sk-SK"/>
        </w:rPr>
        <w:tab/>
        <w:t xml:space="preserve">litr pitné vody (mléka či náhražky) / den / zvíře      </w:t>
      </w:r>
    </w:p>
    <w:p w:rsidR="00AA2C7F" w:rsidRDefault="00AE51AE" w:rsidP="00AE51AE">
      <w:pPr>
        <w:autoSpaceDE w:val="0"/>
        <w:autoSpaceDN w:val="0"/>
        <w:adjustRightInd w:val="0"/>
        <w:ind w:left="0" w:firstLine="0"/>
        <w:rPr>
          <w:rFonts w:ascii="Times-Roman" w:hAnsi="Times-Roman" w:cs="Times-Roman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Pr</w:t>
      </w:r>
      <w:r w:rsidRPr="00CD08A7">
        <w:rPr>
          <w:szCs w:val="22"/>
          <w:lang w:eastAsia="sk-SK"/>
        </w:rPr>
        <w:t>ů</w:t>
      </w:r>
      <w:r w:rsidRPr="00CD08A7">
        <w:rPr>
          <w:rFonts w:ascii="Times-Roman" w:hAnsi="Times-Roman" w:cs="Times-Roman"/>
          <w:szCs w:val="22"/>
          <w:lang w:eastAsia="sk-SK"/>
        </w:rPr>
        <w:t>měrná denní spotřeba vody</w:t>
      </w:r>
      <w:r>
        <w:rPr>
          <w:rFonts w:ascii="Times-Roman" w:hAnsi="Times-Roman" w:cs="Times-Roman"/>
          <w:szCs w:val="22"/>
          <w:lang w:eastAsia="sk-SK"/>
        </w:rPr>
        <w:t>/</w:t>
      </w:r>
      <w:r w:rsidRPr="00CD08A7">
        <w:rPr>
          <w:rFonts w:ascii="Times-Roman" w:hAnsi="Times-Roman" w:cs="Times-Roman"/>
          <w:szCs w:val="22"/>
          <w:lang w:eastAsia="sk-SK"/>
        </w:rPr>
        <w:t>mléka</w:t>
      </w:r>
      <w:r>
        <w:rPr>
          <w:rFonts w:ascii="Times-Roman" w:hAnsi="Times-Roman" w:cs="Times-Roman"/>
          <w:szCs w:val="22"/>
          <w:lang w:eastAsia="sk-SK"/>
        </w:rPr>
        <w:t>/</w:t>
      </w:r>
      <w:r w:rsidRPr="00CD08A7">
        <w:rPr>
          <w:rFonts w:ascii="Times-Roman" w:hAnsi="Times-Roman" w:cs="Times-Roman"/>
          <w:szCs w:val="22"/>
          <w:lang w:eastAsia="sk-SK"/>
        </w:rPr>
        <w:t>náhražky (v litrech) na zvíře</w:t>
      </w:r>
      <w:r w:rsidRPr="00CD08A7">
        <w:rPr>
          <w:rFonts w:ascii="Times-Roman" w:hAnsi="Times-Roman" w:cs="Times-Roman"/>
          <w:szCs w:val="22"/>
          <w:lang w:eastAsia="sk-SK"/>
        </w:rPr>
        <w:tab/>
      </w:r>
    </w:p>
    <w:p w:rsidR="00AE51AE" w:rsidRDefault="00AE51AE" w:rsidP="00AE51AE">
      <w:pPr>
        <w:autoSpaceDE w:val="0"/>
        <w:autoSpaceDN w:val="0"/>
        <w:adjustRightInd w:val="0"/>
        <w:ind w:left="0" w:firstLine="0"/>
        <w:rPr>
          <w:rFonts w:ascii="Times-Roman" w:hAnsi="Times-Roman" w:cs="Times-Roman"/>
          <w:szCs w:val="22"/>
          <w:lang w:eastAsia="sk-SK"/>
        </w:rPr>
      </w:pPr>
    </w:p>
    <w:p w:rsidR="00A30150" w:rsidRPr="00F30D3F" w:rsidRDefault="00A30150" w:rsidP="00A30150"/>
    <w:p w:rsidR="00554D84" w:rsidRPr="00F30D3F" w:rsidRDefault="00554D84" w:rsidP="006B7975">
      <w:r w:rsidRPr="00A30150">
        <w:rPr>
          <w:b/>
          <w:highlight w:val="lightGray"/>
        </w:rPr>
        <w:t>9.</w:t>
      </w:r>
      <w:r w:rsidRPr="00A30150">
        <w:rPr>
          <w:b/>
          <w:highlight w:val="lightGray"/>
        </w:rPr>
        <w:tab/>
        <w:t>POKYNY PRO SPRÁVNÉ PODÁNÍ</w:t>
      </w:r>
    </w:p>
    <w:p w:rsidR="00554D84" w:rsidRPr="00F30D3F" w:rsidRDefault="00554D84" w:rsidP="006B7975"/>
    <w:p w:rsidR="00AE51AE" w:rsidRDefault="00AE51AE" w:rsidP="00AE51AE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Pro zajištění správného dávkování je třeba co nejpřesněji stanovit živou hmotnost. </w:t>
      </w:r>
    </w:p>
    <w:p w:rsidR="00AE51AE" w:rsidRDefault="00AE51AE" w:rsidP="00AE51AE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Příjem medikované vody </w:t>
      </w:r>
      <w:r w:rsidRPr="00CD08A7">
        <w:rPr>
          <w:rFonts w:eastAsia="Calibri"/>
          <w:szCs w:val="22"/>
        </w:rPr>
        <w:t>(u telat</w:t>
      </w:r>
      <w:r>
        <w:rPr>
          <w:rFonts w:eastAsia="Calibri"/>
          <w:szCs w:val="22"/>
        </w:rPr>
        <w:t xml:space="preserve"> </w:t>
      </w:r>
      <w:r w:rsidRPr="00CD08A7">
        <w:rPr>
          <w:rFonts w:eastAsia="Calibri"/>
          <w:szCs w:val="22"/>
        </w:rPr>
        <w:t xml:space="preserve">mléka/mléčné </w:t>
      </w:r>
      <w:proofErr w:type="gramStart"/>
      <w:r w:rsidRPr="00CD08A7">
        <w:rPr>
          <w:rFonts w:eastAsia="Calibri"/>
          <w:szCs w:val="22"/>
        </w:rPr>
        <w:t xml:space="preserve">náhražky) </w:t>
      </w:r>
      <w:r>
        <w:rPr>
          <w:rFonts w:eastAsia="Calibri"/>
          <w:szCs w:val="22"/>
        </w:rPr>
        <w:t xml:space="preserve"> závisí</w:t>
      </w:r>
      <w:proofErr w:type="gramEnd"/>
      <w:r>
        <w:rPr>
          <w:rFonts w:eastAsia="Calibri"/>
          <w:szCs w:val="22"/>
        </w:rPr>
        <w:t xml:space="preserve"> na několika faktorech, včetně klinického stavu zvířat a místních podmínek, jako je teplota a vlhkost prostředí. K dosažení správného dávkování je třeba monitorovat příjem pitné vody </w:t>
      </w:r>
      <w:r w:rsidRPr="00CD08A7">
        <w:rPr>
          <w:rFonts w:eastAsia="Calibri"/>
          <w:szCs w:val="22"/>
        </w:rPr>
        <w:t xml:space="preserve">(mléka či mléčné náhražky) </w:t>
      </w:r>
      <w:r>
        <w:rPr>
          <w:rFonts w:eastAsia="Calibri"/>
          <w:szCs w:val="22"/>
        </w:rPr>
        <w:t>a odpovídajícím způsobem upravit koncentraci paromomycinu.</w:t>
      </w:r>
    </w:p>
    <w:p w:rsidR="00AE51AE" w:rsidRDefault="00AE51AE" w:rsidP="00AE51AE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</w:p>
    <w:p w:rsidR="00AE51AE" w:rsidRDefault="00AE51AE" w:rsidP="00AE51AE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r>
        <w:rPr>
          <w:rFonts w:eastAsia="Calibri"/>
          <w:szCs w:val="22"/>
        </w:rPr>
        <w:t>Medikovanou pitnou vodu/mléko/mléčnou náhražku a veškeré zásobní roztoky je třeba připravovat čerstvé každých 6 hodin (v případě použití v mléce/mléčné náhražce) nebo každých 24 hodin (v případě použití ve vodě).</w:t>
      </w:r>
    </w:p>
    <w:p w:rsidR="00A30150" w:rsidRPr="00F30D3F" w:rsidRDefault="00A30150" w:rsidP="006B7975"/>
    <w:p w:rsidR="00401AB8" w:rsidRPr="00F30D3F" w:rsidRDefault="00401AB8" w:rsidP="006B7975"/>
    <w:p w:rsidR="00554D84" w:rsidRPr="00F30D3F" w:rsidRDefault="00554D84" w:rsidP="006B7975">
      <w:r w:rsidRPr="006B7975">
        <w:rPr>
          <w:b/>
          <w:highlight w:val="lightGray"/>
        </w:rPr>
        <w:t>10.</w:t>
      </w:r>
      <w:r w:rsidRPr="00F30D3F">
        <w:rPr>
          <w:b/>
        </w:rPr>
        <w:tab/>
        <w:t>OCHRANNÁ</w:t>
      </w:r>
      <w:r w:rsidR="00F45F6F" w:rsidRPr="00F30D3F">
        <w:rPr>
          <w:b/>
        </w:rPr>
        <w:t>(É)</w:t>
      </w:r>
      <w:r w:rsidRPr="00F30D3F">
        <w:rPr>
          <w:b/>
        </w:rPr>
        <w:t xml:space="preserve"> </w:t>
      </w:r>
      <w:proofErr w:type="gramStart"/>
      <w:r w:rsidRPr="00F30D3F">
        <w:rPr>
          <w:b/>
        </w:rPr>
        <w:t>LHŮTA</w:t>
      </w:r>
      <w:r w:rsidR="00F45F6F" w:rsidRPr="00F30D3F">
        <w:rPr>
          <w:b/>
        </w:rPr>
        <w:t>(Y)</w:t>
      </w:r>
      <w:proofErr w:type="gramEnd"/>
      <w:r w:rsidRPr="00F30D3F">
        <w:rPr>
          <w:b/>
        </w:rPr>
        <w:t xml:space="preserve"> </w:t>
      </w:r>
    </w:p>
    <w:p w:rsidR="00554D84" w:rsidRPr="00F30D3F" w:rsidRDefault="00554D84" w:rsidP="006B7975">
      <w:pPr>
        <w:rPr>
          <w:iCs/>
        </w:rPr>
      </w:pPr>
    </w:p>
    <w:p w:rsidR="00A30150" w:rsidRDefault="00A30150" w:rsidP="00A30150">
      <w:r w:rsidRPr="004B6EFF">
        <w:rPr>
          <w:u w:val="single"/>
        </w:rPr>
        <w:t>Skot:</w:t>
      </w:r>
      <w:r>
        <w:rPr>
          <w:u w:val="single"/>
        </w:rPr>
        <w:t xml:space="preserve"> </w:t>
      </w:r>
      <w:r>
        <w:t xml:space="preserve">Maso: 20 </w:t>
      </w:r>
      <w:r w:rsidRPr="00F30D3F">
        <w:t>dnů</w:t>
      </w:r>
    </w:p>
    <w:p w:rsidR="00A30150" w:rsidRDefault="00A30150" w:rsidP="00A30150">
      <w:pPr>
        <w:spacing w:line="260" w:lineRule="atLeast"/>
        <w:ind w:left="0" w:firstLine="0"/>
        <w:rPr>
          <w:rFonts w:cs="Arial"/>
          <w:kern w:val="14"/>
          <w:szCs w:val="22"/>
          <w:lang w:eastAsia="nl-NL"/>
        </w:rPr>
      </w:pPr>
      <w:r w:rsidRPr="004B6EFF">
        <w:rPr>
          <w:rFonts w:cs="Arial"/>
          <w:kern w:val="14"/>
          <w:szCs w:val="22"/>
          <w:u w:val="single"/>
          <w:lang w:eastAsia="nl-NL"/>
        </w:rPr>
        <w:t>Prasata</w:t>
      </w:r>
      <w:r>
        <w:rPr>
          <w:rFonts w:cs="Arial"/>
          <w:kern w:val="14"/>
          <w:szCs w:val="22"/>
          <w:u w:val="single"/>
          <w:lang w:eastAsia="nl-NL"/>
        </w:rPr>
        <w:t xml:space="preserve">: </w:t>
      </w:r>
      <w:r>
        <w:rPr>
          <w:rFonts w:cs="Arial"/>
          <w:kern w:val="14"/>
          <w:szCs w:val="22"/>
          <w:lang w:eastAsia="nl-NL"/>
        </w:rPr>
        <w:t>Maso: 3 dny</w:t>
      </w:r>
    </w:p>
    <w:p w:rsidR="00A30150" w:rsidRPr="004B6EFF" w:rsidRDefault="00A30150" w:rsidP="00A30150">
      <w:pPr>
        <w:spacing w:line="260" w:lineRule="atLeast"/>
        <w:ind w:left="0" w:firstLine="0"/>
        <w:rPr>
          <w:rFonts w:cs="Arial"/>
          <w:kern w:val="14"/>
          <w:szCs w:val="22"/>
          <w:lang w:eastAsia="nl-NL"/>
        </w:rPr>
      </w:pPr>
    </w:p>
    <w:p w:rsidR="00554D84" w:rsidRPr="00F30D3F" w:rsidRDefault="00554D84" w:rsidP="006B7975">
      <w:pPr>
        <w:rPr>
          <w:iCs/>
        </w:rPr>
      </w:pPr>
    </w:p>
    <w:p w:rsidR="00554D84" w:rsidRPr="00F30D3F" w:rsidRDefault="00554D84" w:rsidP="006B7975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:rsidR="00554D84" w:rsidRPr="00F30D3F" w:rsidRDefault="00554D84" w:rsidP="006B7975"/>
    <w:p w:rsidR="00554D84" w:rsidRPr="00F30D3F" w:rsidRDefault="00554D84" w:rsidP="006B7975">
      <w:r w:rsidRPr="00F30D3F">
        <w:t xml:space="preserve">Uchovávat mimo </w:t>
      </w:r>
      <w:r w:rsidR="00C36E0D" w:rsidRPr="00F30D3F">
        <w:t xml:space="preserve">dohled a </w:t>
      </w:r>
      <w:r w:rsidRPr="00F30D3F">
        <w:t>dosah dětí.</w:t>
      </w:r>
    </w:p>
    <w:p w:rsidR="00A30150" w:rsidRDefault="00A30150" w:rsidP="00A30150">
      <w:pPr>
        <w:ind w:right="-318"/>
      </w:pPr>
      <w:r w:rsidRPr="00CE76CF">
        <w:rPr>
          <w:u w:val="single"/>
        </w:rPr>
        <w:t xml:space="preserve">125ml a 250ml láhev: </w:t>
      </w:r>
      <w:r>
        <w:rPr>
          <w:u w:val="single"/>
        </w:rPr>
        <w:t xml:space="preserve"> </w:t>
      </w:r>
      <w:r>
        <w:t xml:space="preserve">Uchovávejte při teplotě do </w:t>
      </w:r>
      <w:r w:rsidRPr="00F30D3F">
        <w:t>25</w:t>
      </w:r>
      <w:r w:rsidR="00A263F9">
        <w:t> </w:t>
      </w:r>
      <w:r w:rsidRPr="00F30D3F">
        <w:sym w:font="Symbol" w:char="F0B0"/>
      </w:r>
      <w:r w:rsidRPr="00F30D3F">
        <w:t>C</w:t>
      </w:r>
      <w:r>
        <w:t>.</w:t>
      </w:r>
    </w:p>
    <w:p w:rsidR="00A30150" w:rsidRDefault="00A30150" w:rsidP="00A30150">
      <w:pPr>
        <w:ind w:left="0" w:right="-318" w:firstLine="0"/>
      </w:pPr>
      <w:r>
        <w:rPr>
          <w:u w:val="single"/>
        </w:rPr>
        <w:lastRenderedPageBreak/>
        <w:t>500ml a 1</w:t>
      </w:r>
      <w:r w:rsidR="00A263F9">
        <w:rPr>
          <w:u w:val="single"/>
        </w:rPr>
        <w:t>000ml</w:t>
      </w:r>
      <w:r>
        <w:rPr>
          <w:u w:val="single"/>
        </w:rPr>
        <w:t xml:space="preserve"> láhev: </w:t>
      </w:r>
      <w:r w:rsidRPr="00F30D3F">
        <w:t>Tento veterinární léčivý přípravek nevyžaduje žádné zvláštní podmínky uchovávání.</w:t>
      </w:r>
    </w:p>
    <w:p w:rsidR="00554D84" w:rsidRDefault="00A30150" w:rsidP="006B6BA8">
      <w:pPr>
        <w:ind w:left="0" w:right="-318" w:firstLine="0"/>
      </w:pPr>
      <w:r w:rsidRPr="00CE76CF">
        <w:rPr>
          <w:u w:val="single"/>
        </w:rPr>
        <w:t>Všechny prezentace:</w:t>
      </w:r>
      <w:r w:rsidR="006B6BA8">
        <w:rPr>
          <w:u w:val="single"/>
        </w:rPr>
        <w:t xml:space="preserve"> </w:t>
      </w:r>
      <w:r w:rsidRPr="00CE76CF">
        <w:t>Po prvním otevření uchovávejte láhev těsně uzavřen</w:t>
      </w:r>
      <w:r w:rsidR="00F73282">
        <w:t>ou</w:t>
      </w:r>
      <w:r w:rsidRPr="00CE76CF">
        <w:t>.</w:t>
      </w:r>
    </w:p>
    <w:p w:rsidR="006B6BA8" w:rsidRPr="00F30D3F" w:rsidRDefault="006B6BA8" w:rsidP="006B6BA8">
      <w:pPr>
        <w:ind w:left="0" w:right="-318" w:firstLine="0"/>
      </w:pPr>
      <w:r w:rsidRPr="00F30D3F">
        <w:t>Doba použitelnosti po prvním otevření vnitřního obalu:</w:t>
      </w:r>
      <w:r>
        <w:t xml:space="preserve"> 6 </w:t>
      </w:r>
      <w:r w:rsidRPr="00F30D3F">
        <w:t>měsíců.</w:t>
      </w:r>
    </w:p>
    <w:p w:rsidR="006B6BA8" w:rsidRPr="00F30D3F" w:rsidRDefault="006B6BA8" w:rsidP="006B6BA8">
      <w:pPr>
        <w:ind w:right="-318"/>
      </w:pPr>
      <w:r>
        <w:t xml:space="preserve">Doba použitelnosti po </w:t>
      </w:r>
      <w:r w:rsidRPr="00F30D3F">
        <w:t>rekonstituci podle návodu</w:t>
      </w:r>
      <w:r>
        <w:t xml:space="preserve"> v pitné vodě</w:t>
      </w:r>
      <w:r w:rsidRPr="00F30D3F">
        <w:t>:</w:t>
      </w:r>
      <w:r>
        <w:t xml:space="preserve"> 24 hodin.</w:t>
      </w:r>
    </w:p>
    <w:p w:rsidR="00A30150" w:rsidRPr="00F30D3F" w:rsidRDefault="006B6BA8" w:rsidP="006B6BA8">
      <w:r>
        <w:t xml:space="preserve">Doba použitelnosti po </w:t>
      </w:r>
      <w:r w:rsidRPr="00F30D3F">
        <w:t>rekonstituci</w:t>
      </w:r>
      <w:r>
        <w:t xml:space="preserve"> </w:t>
      </w:r>
      <w:r w:rsidRPr="00F30D3F">
        <w:t xml:space="preserve">podle návodu </w:t>
      </w:r>
      <w:r>
        <w:rPr>
          <w:szCs w:val="22"/>
        </w:rPr>
        <w:t>v mléce/mléčné náhražce: 6 hodin.</w:t>
      </w:r>
    </w:p>
    <w:p w:rsidR="00554D84" w:rsidRPr="00F30D3F" w:rsidRDefault="00554D84" w:rsidP="006B7975">
      <w:pPr>
        <w:ind w:left="0" w:right="-2" w:firstLine="0"/>
      </w:pPr>
      <w:r w:rsidRPr="00F30D3F">
        <w:t xml:space="preserve">Nepoužívejte </w:t>
      </w:r>
      <w:r w:rsidR="00ED08CE" w:rsidRPr="00F30D3F">
        <w:t xml:space="preserve">tento veterinární léčivý přípravek </w:t>
      </w:r>
      <w:r w:rsidRPr="00F30D3F">
        <w:t>po uplynut</w:t>
      </w:r>
      <w:r w:rsidR="006B6BA8">
        <w:t>í doby použitelnost</w:t>
      </w:r>
      <w:r w:rsidR="00F73282">
        <w:t>i</w:t>
      </w:r>
      <w:r w:rsidR="006B6BA8">
        <w:t xml:space="preserve"> uvedené na </w:t>
      </w:r>
      <w:r w:rsidRPr="00F30D3F">
        <w:t>etiketě</w:t>
      </w:r>
      <w:r w:rsidR="006B6BA8">
        <w:t xml:space="preserve"> </w:t>
      </w:r>
      <w:r w:rsidRPr="00F30D3F">
        <w:t xml:space="preserve">po </w:t>
      </w:r>
      <w:r w:rsidR="006B6BA8">
        <w:t xml:space="preserve">EXP. </w:t>
      </w:r>
      <w:r w:rsidR="00DF1B51" w:rsidRPr="00F30D3F">
        <w:t>Doba použitelnosti končí po</w:t>
      </w:r>
      <w:r w:rsidR="006B6BA8">
        <w:t>sledním dnem v uvedeném měsíci.</w:t>
      </w:r>
    </w:p>
    <w:p w:rsidR="00DF1B51" w:rsidRPr="00F30D3F" w:rsidRDefault="00DF1B51" w:rsidP="006B7975"/>
    <w:p w:rsidR="00EA67B0" w:rsidRPr="00F30D3F" w:rsidRDefault="00EA67B0" w:rsidP="006B7975">
      <w:pPr>
        <w:ind w:left="0" w:right="-318" w:firstLine="0"/>
      </w:pPr>
    </w:p>
    <w:p w:rsidR="00554D84" w:rsidRPr="00F30D3F" w:rsidRDefault="00554D84" w:rsidP="00674165">
      <w:pPr>
        <w:keepNext/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:rsidR="00554D84" w:rsidRPr="00F30D3F" w:rsidRDefault="00554D84" w:rsidP="00674165">
      <w:pPr>
        <w:keepNext/>
      </w:pPr>
    </w:p>
    <w:p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upozornění pro každý cílový druh</w:t>
      </w:r>
      <w:r w:rsidR="00BA5AFC">
        <w:rPr>
          <w:szCs w:val="22"/>
          <w:u w:val="single"/>
        </w:rPr>
        <w:t>:</w:t>
      </w:r>
    </w:p>
    <w:p w:rsidR="006B6BA8" w:rsidRPr="00F30D3F" w:rsidRDefault="006B6BA8" w:rsidP="006B6BA8">
      <w:r>
        <w:t>Nejsou.</w:t>
      </w:r>
    </w:p>
    <w:p w:rsidR="00DF1B51" w:rsidRPr="00F30D3F" w:rsidRDefault="00DF1B51" w:rsidP="006B7975">
      <w:pPr>
        <w:rPr>
          <w:szCs w:val="22"/>
        </w:rPr>
      </w:pPr>
    </w:p>
    <w:p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opatření pro použití u zvířat:</w:t>
      </w:r>
    </w:p>
    <w:p w:rsidR="006B6BA8" w:rsidRDefault="006B6BA8" w:rsidP="00674165">
      <w:pPr>
        <w:widowControl w:val="0"/>
        <w:autoSpaceDE w:val="0"/>
        <w:autoSpaceDN w:val="0"/>
        <w:adjustRightInd w:val="0"/>
        <w:spacing w:line="260" w:lineRule="atLeast"/>
        <w:ind w:left="0" w:firstLine="0"/>
        <w:jc w:val="both"/>
        <w:rPr>
          <w:bCs/>
          <w:kern w:val="14"/>
          <w:szCs w:val="22"/>
          <w:lang w:eastAsia="nl-NL"/>
        </w:rPr>
      </w:pPr>
      <w:r>
        <w:rPr>
          <w:bCs/>
          <w:kern w:val="14"/>
          <w:szCs w:val="22"/>
          <w:lang w:eastAsia="nl-NL"/>
        </w:rPr>
        <w:t>Příjem léčiva zvířaty může být ovlivněn v důsledku onemocnění. V případě nedostatečného příjmu vody/mléka musí být zvířata léčena parenterálně s použitím vhodného injekčního přípravku, o kterém rozhodne ošetřující veterinární lékař.</w:t>
      </w:r>
    </w:p>
    <w:p w:rsidR="006B6BA8" w:rsidRDefault="006B6BA8" w:rsidP="00674165">
      <w:pPr>
        <w:widowControl w:val="0"/>
        <w:autoSpaceDE w:val="0"/>
        <w:autoSpaceDN w:val="0"/>
        <w:adjustRightInd w:val="0"/>
        <w:spacing w:line="260" w:lineRule="atLeast"/>
        <w:ind w:left="0" w:firstLine="0"/>
        <w:jc w:val="both"/>
        <w:rPr>
          <w:b/>
          <w:szCs w:val="22"/>
        </w:rPr>
      </w:pPr>
      <w:r>
        <w:rPr>
          <w:bCs/>
          <w:kern w:val="14"/>
          <w:szCs w:val="22"/>
          <w:lang w:eastAsia="nl-NL"/>
        </w:rPr>
        <w:t>Použití přípravku musí být kombinováno s opatřeními přijímanými v souladu se správnou chovatelskou praxí, včetně dobré hygieny, řádného větrání a počtu ustájených zvířat odpovídajícímu kapacitě stájí.</w:t>
      </w:r>
    </w:p>
    <w:p w:rsidR="006B6BA8" w:rsidRDefault="006B6BA8" w:rsidP="00674165">
      <w:pPr>
        <w:ind w:left="0" w:firstLine="0"/>
        <w:jc w:val="both"/>
        <w:rPr>
          <w:szCs w:val="22"/>
        </w:rPr>
      </w:pPr>
      <w:r>
        <w:rPr>
          <w:szCs w:val="22"/>
        </w:rPr>
        <w:t xml:space="preserve">Vzhledem k tomu, že je přípravek potenciálně ototoxický a nefrotoxický, doporučuje se vyhodnotit funkčnost ledvin. </w:t>
      </w:r>
    </w:p>
    <w:p w:rsidR="006B6BA8" w:rsidRDefault="006B6BA8" w:rsidP="00674165">
      <w:pPr>
        <w:tabs>
          <w:tab w:val="left" w:pos="720"/>
        </w:tabs>
        <w:ind w:left="0" w:firstLine="0"/>
        <w:jc w:val="both"/>
        <w:rPr>
          <w:szCs w:val="22"/>
        </w:rPr>
      </w:pPr>
      <w:r w:rsidRPr="00192FF4">
        <w:rPr>
          <w:szCs w:val="22"/>
        </w:rPr>
        <w:t xml:space="preserve">Je třeba věnovat zvláštní pozornost při zvažování podávání přípravku novorozeným mláďatům vzhledem na známou vyšší gastrointestinální absorpci </w:t>
      </w:r>
      <w:proofErr w:type="spellStart"/>
      <w:r w:rsidRPr="00192FF4">
        <w:rPr>
          <w:szCs w:val="22"/>
        </w:rPr>
        <w:t>paromomyc</w:t>
      </w:r>
      <w:r w:rsidR="00824BD8">
        <w:rPr>
          <w:szCs w:val="22"/>
        </w:rPr>
        <w:t>i</w:t>
      </w:r>
      <w:r w:rsidRPr="00192FF4">
        <w:rPr>
          <w:szCs w:val="22"/>
        </w:rPr>
        <w:t>nu</w:t>
      </w:r>
      <w:proofErr w:type="spellEnd"/>
      <w:r w:rsidRPr="00192FF4">
        <w:rPr>
          <w:szCs w:val="22"/>
        </w:rPr>
        <w:t xml:space="preserve">. Tato vyšší absorpce by mohla vést ke zvýšenému riziku </w:t>
      </w:r>
      <w:proofErr w:type="spellStart"/>
      <w:r w:rsidRPr="00192FF4">
        <w:rPr>
          <w:szCs w:val="22"/>
        </w:rPr>
        <w:t>oto</w:t>
      </w:r>
      <w:proofErr w:type="spellEnd"/>
      <w:r w:rsidRPr="00192FF4">
        <w:rPr>
          <w:szCs w:val="22"/>
        </w:rPr>
        <w:t xml:space="preserve">- a </w:t>
      </w:r>
      <w:proofErr w:type="spellStart"/>
      <w:r w:rsidRPr="00192FF4">
        <w:rPr>
          <w:szCs w:val="22"/>
        </w:rPr>
        <w:t>nefrotoxicity</w:t>
      </w:r>
      <w:proofErr w:type="spellEnd"/>
      <w:r w:rsidRPr="00192FF4">
        <w:rPr>
          <w:szCs w:val="22"/>
        </w:rPr>
        <w:t>. Použití přípravku u novorozených mláďat by mělo vycházet z hodnocení přínosu a rizika příslušným veterinárním lékařem.</w:t>
      </w:r>
    </w:p>
    <w:p w:rsidR="006B6BA8" w:rsidRDefault="006B6BA8" w:rsidP="00674165">
      <w:pPr>
        <w:ind w:left="0" w:firstLine="0"/>
        <w:jc w:val="both"/>
        <w:rPr>
          <w:szCs w:val="24"/>
        </w:rPr>
      </w:pPr>
      <w:r>
        <w:rPr>
          <w:szCs w:val="22"/>
        </w:rPr>
        <w:t xml:space="preserve">Formou opatření, která vedou ke zlepšení postupů řízení chovu a řádným prováděním čistění a desinfekce je třeba zamezit dlouhodobému nebo opakovanému užívání přípravku. </w:t>
      </w:r>
      <w:r>
        <w:rPr>
          <w:szCs w:val="22"/>
        </w:rPr>
        <w:br/>
        <w:t xml:space="preserve">Použití přípravku by mělo být založeno na výsledcích stanovení citlivosti bakterií izolovaných z postiženého zvířete. Není-li to možné, měla by být léčba založena na místních (na úrovni regionu, hospodářství) epidemiologických informacích o citlivosti cílových bakterií. </w:t>
      </w:r>
      <w:r>
        <w:rPr>
          <w:szCs w:val="24"/>
        </w:rPr>
        <w:t>Při použití tohoto přípravku je nutno vzít v úvahu oficiální, národní a místní pravidla antibiotické politiky.</w:t>
      </w:r>
    </w:p>
    <w:p w:rsidR="006B6BA8" w:rsidRDefault="006B6BA8" w:rsidP="001D48B0">
      <w:pPr>
        <w:ind w:left="0" w:firstLine="0"/>
        <w:jc w:val="both"/>
        <w:rPr>
          <w:szCs w:val="24"/>
        </w:rPr>
      </w:pPr>
      <w:r>
        <w:rPr>
          <w:szCs w:val="24"/>
        </w:rPr>
        <w:t xml:space="preserve">Použití přípravku v rozporu s pokyny uvedenými v souhrnu údajů o přípravku může </w:t>
      </w:r>
      <w:r w:rsidR="00824BD8">
        <w:rPr>
          <w:szCs w:val="24"/>
        </w:rPr>
        <w:t xml:space="preserve">zvýšit </w:t>
      </w:r>
      <w:r>
        <w:rPr>
          <w:szCs w:val="24"/>
        </w:rPr>
        <w:t>prevalenc</w:t>
      </w:r>
      <w:r w:rsidR="00824BD8">
        <w:rPr>
          <w:szCs w:val="24"/>
        </w:rPr>
        <w:t>i</w:t>
      </w:r>
      <w:r>
        <w:rPr>
          <w:szCs w:val="24"/>
        </w:rPr>
        <w:t xml:space="preserve"> kmenů bakterií rezistentních na paromomycin a může snížit účinnost </w:t>
      </w:r>
      <w:r w:rsidR="00824BD8">
        <w:rPr>
          <w:szCs w:val="24"/>
        </w:rPr>
        <w:t xml:space="preserve">terapie </w:t>
      </w:r>
      <w:r>
        <w:rPr>
          <w:szCs w:val="24"/>
        </w:rPr>
        <w:t xml:space="preserve">ostatními aminoglykosidy z důvodů možné zkřížené rezistence. </w:t>
      </w:r>
    </w:p>
    <w:p w:rsidR="006B6BA8" w:rsidRDefault="006B6BA8" w:rsidP="00674165">
      <w:pPr>
        <w:jc w:val="both"/>
      </w:pPr>
      <w:r>
        <w:t xml:space="preserve">Aminoglykosidy jsou považovány za kriticky významná antimikrobní léčiva v humánní medicíně. </w:t>
      </w:r>
    </w:p>
    <w:p w:rsidR="00DF1B51" w:rsidRDefault="006B6BA8" w:rsidP="00674165">
      <w:pPr>
        <w:jc w:val="both"/>
      </w:pPr>
      <w:r>
        <w:t>Proto by ve veterinární medicíně neměly být používány jako léčiva první volby.</w:t>
      </w:r>
    </w:p>
    <w:p w:rsidR="006B6BA8" w:rsidRPr="00F30D3F" w:rsidRDefault="006B6BA8" w:rsidP="00674165">
      <w:pPr>
        <w:jc w:val="both"/>
        <w:rPr>
          <w:szCs w:val="22"/>
        </w:rPr>
      </w:pPr>
    </w:p>
    <w:p w:rsidR="00DF1B51" w:rsidRPr="00F30D3F" w:rsidRDefault="00DF1B51" w:rsidP="00674165">
      <w:pPr>
        <w:keepNext/>
        <w:rPr>
          <w:szCs w:val="22"/>
        </w:rPr>
      </w:pPr>
      <w:r w:rsidRPr="00F30D3F">
        <w:rPr>
          <w:szCs w:val="22"/>
          <w:u w:val="single"/>
        </w:rPr>
        <w:t>Zvláštní opatření určené osobám, které podávají veterinární léčivý přípravek zvířatům</w:t>
      </w:r>
      <w:r w:rsidR="006B6BA8">
        <w:rPr>
          <w:szCs w:val="22"/>
        </w:rPr>
        <w:t>:</w:t>
      </w:r>
    </w:p>
    <w:p w:rsidR="00BA5AFC" w:rsidRDefault="00BA5AFC" w:rsidP="00BA5AFC">
      <w:pPr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 xml:space="preserve">Tento </w:t>
      </w:r>
      <w:r>
        <w:rPr>
          <w:kern w:val="14"/>
          <w:szCs w:val="22"/>
          <w:lang w:eastAsia="nl-NL"/>
        </w:rPr>
        <w:t>přípravek</w:t>
      </w:r>
      <w:r w:rsidRPr="00CD08A7">
        <w:rPr>
          <w:kern w:val="14"/>
          <w:szCs w:val="22"/>
          <w:lang w:eastAsia="nl-NL"/>
        </w:rPr>
        <w:t xml:space="preserve"> obsahuje </w:t>
      </w:r>
      <w:proofErr w:type="spellStart"/>
      <w:r w:rsidRPr="00CD08A7">
        <w:rPr>
          <w:kern w:val="14"/>
          <w:szCs w:val="22"/>
          <w:lang w:eastAsia="nl-NL"/>
        </w:rPr>
        <w:t>paromomycin</w:t>
      </w:r>
      <w:proofErr w:type="spellEnd"/>
      <w:r w:rsidRPr="00CD08A7">
        <w:rPr>
          <w:kern w:val="14"/>
          <w:szCs w:val="22"/>
          <w:lang w:eastAsia="nl-NL"/>
        </w:rPr>
        <w:t xml:space="preserve">, který může u některých lidí způsobit alergické reakce. 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 xml:space="preserve">Lidé se známou přecitlivělostí na </w:t>
      </w:r>
      <w:proofErr w:type="spellStart"/>
      <w:r w:rsidRPr="00CD08A7">
        <w:rPr>
          <w:kern w:val="14"/>
          <w:szCs w:val="22"/>
          <w:lang w:eastAsia="nl-NL"/>
        </w:rPr>
        <w:t>paromomycin</w:t>
      </w:r>
      <w:proofErr w:type="spellEnd"/>
      <w:r w:rsidRPr="00CD08A7">
        <w:rPr>
          <w:kern w:val="14"/>
          <w:szCs w:val="22"/>
          <w:lang w:eastAsia="nl-NL"/>
        </w:rPr>
        <w:t xml:space="preserve"> nebo jiné aminoglykosidy by se měli vyhnout kontaktu s veterinárním léčivým přípravkem.</w:t>
      </w:r>
    </w:p>
    <w:p w:rsidR="00BA5AFC" w:rsidRPr="00CD08A7" w:rsidRDefault="00BA5AFC" w:rsidP="00BA5AFC">
      <w:pPr>
        <w:tabs>
          <w:tab w:val="left" w:pos="851"/>
        </w:tabs>
        <w:rPr>
          <w:szCs w:val="22"/>
        </w:rPr>
      </w:pPr>
      <w:r w:rsidRPr="00887B67">
        <w:rPr>
          <w:kern w:val="14"/>
          <w:szCs w:val="22"/>
          <w:lang w:eastAsia="nl-NL"/>
        </w:rPr>
        <w:t>Zabraňte kontaktu přípravku s kůží a očima.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Při nakládání s veterinárním léčivým přípravkem by se měly používat osobní ochranné prostředky skládající se z ochranného oděvu a nepropustných rukavic.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V případě náhodného kontaktu s kůží nebo očima, opláchněte velkým množstvím vody.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Pokud se</w:t>
      </w:r>
      <w:r>
        <w:rPr>
          <w:kern w:val="14"/>
          <w:szCs w:val="22"/>
          <w:lang w:eastAsia="nl-NL"/>
        </w:rPr>
        <w:t xml:space="preserve"> po přímém kontaktu </w:t>
      </w:r>
      <w:r w:rsidRPr="00CD08A7">
        <w:rPr>
          <w:kern w:val="14"/>
          <w:szCs w:val="22"/>
          <w:lang w:eastAsia="nl-NL"/>
        </w:rPr>
        <w:t xml:space="preserve">objeví příznaky, jako </w:t>
      </w:r>
      <w:r>
        <w:rPr>
          <w:kern w:val="14"/>
          <w:szCs w:val="22"/>
          <w:lang w:eastAsia="nl-NL"/>
        </w:rPr>
        <w:t xml:space="preserve">například </w:t>
      </w:r>
      <w:r w:rsidRPr="00CD08A7">
        <w:rPr>
          <w:kern w:val="14"/>
          <w:szCs w:val="22"/>
          <w:lang w:eastAsia="nl-NL"/>
        </w:rPr>
        <w:t>kožní vyrážka, vyhledejte lékařskou pomoc a ukažte lékaři</w:t>
      </w:r>
      <w:r>
        <w:rPr>
          <w:kern w:val="14"/>
          <w:szCs w:val="22"/>
          <w:lang w:eastAsia="nl-NL"/>
        </w:rPr>
        <w:t xml:space="preserve"> toto upozornění</w:t>
      </w:r>
      <w:r w:rsidRPr="00CD08A7">
        <w:rPr>
          <w:kern w:val="14"/>
          <w:szCs w:val="22"/>
          <w:lang w:eastAsia="nl-NL"/>
        </w:rPr>
        <w:t xml:space="preserve">. Otok obličeje, rtů </w:t>
      </w:r>
      <w:r>
        <w:rPr>
          <w:kern w:val="14"/>
          <w:szCs w:val="22"/>
          <w:lang w:eastAsia="nl-NL"/>
        </w:rPr>
        <w:t>či</w:t>
      </w:r>
      <w:r w:rsidRPr="00CD08A7">
        <w:rPr>
          <w:kern w:val="14"/>
          <w:szCs w:val="22"/>
          <w:lang w:eastAsia="nl-NL"/>
        </w:rPr>
        <w:t xml:space="preserve"> očí nebo potíže s dýcháním jsou vážné příznaky a vyžadují okamžitou lékařskou pomoc.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Při nakládání s přípravkem nejezte, nepijte a nekuřte.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Přípravek nepožívejte. V případě náhodného po</w:t>
      </w:r>
      <w:r>
        <w:rPr>
          <w:kern w:val="14"/>
          <w:szCs w:val="22"/>
          <w:lang w:eastAsia="nl-NL"/>
        </w:rPr>
        <w:t>zření</w:t>
      </w:r>
      <w:r w:rsidRPr="00CD08A7">
        <w:rPr>
          <w:kern w:val="14"/>
          <w:szCs w:val="22"/>
          <w:lang w:eastAsia="nl-NL"/>
        </w:rPr>
        <w:t xml:space="preserve"> vyhledejte ihned lékařskou pomoc a ukažte etiketu praktickému lékaři.</w:t>
      </w:r>
    </w:p>
    <w:p w:rsidR="00BA5AFC" w:rsidRPr="00CD08A7" w:rsidRDefault="00BA5AFC" w:rsidP="00BA5AFC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Po použití si umyjte ruce.</w:t>
      </w:r>
    </w:p>
    <w:p w:rsidR="00DF1B51" w:rsidRPr="00F30D3F" w:rsidRDefault="00DF1B51" w:rsidP="006B7975">
      <w:pPr>
        <w:rPr>
          <w:szCs w:val="22"/>
        </w:rPr>
      </w:pPr>
    </w:p>
    <w:p w:rsidR="00F45F6F" w:rsidRPr="00F30D3F" w:rsidRDefault="00F45F6F" w:rsidP="00674165">
      <w:pPr>
        <w:keepNext/>
        <w:rPr>
          <w:szCs w:val="22"/>
        </w:rPr>
      </w:pPr>
      <w:r w:rsidRPr="00F30D3F">
        <w:rPr>
          <w:szCs w:val="22"/>
          <w:u w:val="single"/>
        </w:rPr>
        <w:lastRenderedPageBreak/>
        <w:t>Březost a laktace</w:t>
      </w:r>
      <w:r w:rsidR="006B6BA8">
        <w:rPr>
          <w:szCs w:val="22"/>
        </w:rPr>
        <w:t>:</w:t>
      </w:r>
    </w:p>
    <w:p w:rsidR="006B6BA8" w:rsidRDefault="006B6BA8" w:rsidP="006B6BA8">
      <w:pPr>
        <w:rPr>
          <w:szCs w:val="22"/>
        </w:rPr>
      </w:pPr>
      <w:r>
        <w:rPr>
          <w:szCs w:val="22"/>
        </w:rPr>
        <w:t xml:space="preserve">Laboratorní studie u potkanů a králíků nepodaly důkaz o teratogenních, </w:t>
      </w:r>
      <w:proofErr w:type="spellStart"/>
      <w:r>
        <w:rPr>
          <w:szCs w:val="22"/>
        </w:rPr>
        <w:t>fetotoxických</w:t>
      </w:r>
      <w:proofErr w:type="spellEnd"/>
      <w:r>
        <w:rPr>
          <w:szCs w:val="22"/>
        </w:rPr>
        <w:t xml:space="preserve">  ani </w:t>
      </w:r>
    </w:p>
    <w:p w:rsidR="00F45F6F" w:rsidRDefault="006B6BA8" w:rsidP="006B6BA8">
      <w:pPr>
        <w:rPr>
          <w:szCs w:val="22"/>
        </w:rPr>
      </w:pPr>
      <w:proofErr w:type="spellStart"/>
      <w:r>
        <w:rPr>
          <w:szCs w:val="22"/>
        </w:rPr>
        <w:t>maternotoxických</w:t>
      </w:r>
      <w:proofErr w:type="spellEnd"/>
      <w:r>
        <w:rPr>
          <w:szCs w:val="22"/>
        </w:rPr>
        <w:t xml:space="preserve"> účincích. Použití přípravku se nedoporučuje v průběhu celé březosti.</w:t>
      </w:r>
    </w:p>
    <w:p w:rsidR="006B6BA8" w:rsidRPr="00F30D3F" w:rsidRDefault="006B6BA8" w:rsidP="006B6BA8">
      <w:pPr>
        <w:rPr>
          <w:szCs w:val="22"/>
        </w:rPr>
      </w:pPr>
    </w:p>
    <w:p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>Interakce s dalšími léčivými přípravky a další formy interakce</w:t>
      </w:r>
      <w:r w:rsidR="00DF1B51" w:rsidRPr="00F30D3F">
        <w:rPr>
          <w:szCs w:val="22"/>
          <w:u w:val="single"/>
        </w:rPr>
        <w:t>:</w:t>
      </w:r>
    </w:p>
    <w:p w:rsidR="006B6BA8" w:rsidRDefault="006B6BA8" w:rsidP="006B6BA8">
      <w:pPr>
        <w:ind w:left="0" w:firstLine="0"/>
        <w:rPr>
          <w:szCs w:val="22"/>
        </w:rPr>
      </w:pPr>
      <w:r>
        <w:rPr>
          <w:szCs w:val="22"/>
        </w:rPr>
        <w:t xml:space="preserve">Celková anestetika a svalová relaxancia zvyšují </w:t>
      </w:r>
      <w:proofErr w:type="spellStart"/>
      <w:r>
        <w:rPr>
          <w:szCs w:val="22"/>
        </w:rPr>
        <w:t>neuroblokační</w:t>
      </w:r>
      <w:proofErr w:type="spellEnd"/>
      <w:r>
        <w:rPr>
          <w:szCs w:val="22"/>
        </w:rPr>
        <w:t xml:space="preserve"> účinek aminoglykosidů. To může vést k paralýze nebo zástavě dechu.</w:t>
      </w:r>
    </w:p>
    <w:p w:rsidR="006B6BA8" w:rsidRDefault="006B6BA8" w:rsidP="006B6BA8">
      <w:pPr>
        <w:rPr>
          <w:szCs w:val="22"/>
        </w:rPr>
      </w:pPr>
      <w:r>
        <w:rPr>
          <w:szCs w:val="22"/>
        </w:rPr>
        <w:t xml:space="preserve">Nepoužívejte přípravek současně se silnými diuretiky a potenciálně </w:t>
      </w:r>
      <w:proofErr w:type="spellStart"/>
      <w:r>
        <w:rPr>
          <w:szCs w:val="22"/>
        </w:rPr>
        <w:t>ototoxickými</w:t>
      </w:r>
      <w:proofErr w:type="spellEnd"/>
      <w:r>
        <w:rPr>
          <w:szCs w:val="22"/>
        </w:rPr>
        <w:t xml:space="preserve"> nebo </w:t>
      </w:r>
      <w:proofErr w:type="spellStart"/>
      <w:r>
        <w:rPr>
          <w:szCs w:val="22"/>
        </w:rPr>
        <w:t>nefrotoxickými</w:t>
      </w:r>
      <w:proofErr w:type="spellEnd"/>
      <w:r>
        <w:rPr>
          <w:szCs w:val="22"/>
        </w:rPr>
        <w:t xml:space="preserve"> </w:t>
      </w:r>
    </w:p>
    <w:p w:rsidR="00DF1B51" w:rsidRDefault="006B6BA8" w:rsidP="006B6BA8">
      <w:pPr>
        <w:rPr>
          <w:szCs w:val="22"/>
        </w:rPr>
      </w:pPr>
      <w:r>
        <w:rPr>
          <w:szCs w:val="22"/>
        </w:rPr>
        <w:t>látkami.</w:t>
      </w:r>
    </w:p>
    <w:p w:rsidR="006B6BA8" w:rsidRPr="00F30D3F" w:rsidRDefault="006B6BA8" w:rsidP="006B6BA8">
      <w:pPr>
        <w:rPr>
          <w:szCs w:val="22"/>
        </w:rPr>
      </w:pPr>
    </w:p>
    <w:p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>Předávkování (symptomy, první pomoc, antidota)</w:t>
      </w:r>
      <w:r w:rsidR="006B6BA8">
        <w:rPr>
          <w:szCs w:val="22"/>
        </w:rPr>
        <w:t>:</w:t>
      </w:r>
    </w:p>
    <w:p w:rsidR="006B6BA8" w:rsidRDefault="006B6BA8" w:rsidP="006B6BA8">
      <w:pPr>
        <w:pStyle w:val="Zkladntext2"/>
        <w:jc w:val="both"/>
        <w:rPr>
          <w:b w:val="0"/>
          <w:szCs w:val="22"/>
        </w:rPr>
      </w:pPr>
      <w:r>
        <w:rPr>
          <w:b w:val="0"/>
          <w:szCs w:val="22"/>
        </w:rPr>
        <w:t xml:space="preserve">Po perorálním podání nedochází k systémové absorpci paromomycinu. Nežádoucí účinky </w:t>
      </w:r>
    </w:p>
    <w:p w:rsidR="00DF1B51" w:rsidRDefault="006B6BA8" w:rsidP="006B6BA8">
      <w:pPr>
        <w:rPr>
          <w:szCs w:val="22"/>
        </w:rPr>
      </w:pPr>
      <w:r>
        <w:rPr>
          <w:szCs w:val="22"/>
        </w:rPr>
        <w:t>v důsledku náhodného předávkování jsou velmi nepravděpodobné.</w:t>
      </w:r>
    </w:p>
    <w:p w:rsidR="006B6BA8" w:rsidRPr="00F30D3F" w:rsidRDefault="006B6BA8" w:rsidP="006B6BA8">
      <w:pPr>
        <w:rPr>
          <w:szCs w:val="22"/>
        </w:rPr>
      </w:pPr>
    </w:p>
    <w:p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>Inkompatibility</w:t>
      </w:r>
      <w:r w:rsidR="006B6BA8">
        <w:rPr>
          <w:szCs w:val="22"/>
        </w:rPr>
        <w:t>:</w:t>
      </w:r>
    </w:p>
    <w:p w:rsidR="006B6BA8" w:rsidRDefault="006B6BA8" w:rsidP="006B7975">
      <w:r w:rsidRPr="00F30D3F">
        <w:t xml:space="preserve">Studie kompatibility nejsou k dispozici, a proto tento veterinární léčivý přípravek nesmí být mísen </w:t>
      </w:r>
    </w:p>
    <w:p w:rsidR="00554D84" w:rsidRPr="00F30D3F" w:rsidRDefault="006B6BA8" w:rsidP="006B7975">
      <w:r w:rsidRPr="00F30D3F">
        <w:t>s žádnými dalšími ve</w:t>
      </w:r>
      <w:r>
        <w:t>terinárními léčivými přípravky.</w:t>
      </w:r>
    </w:p>
    <w:p w:rsidR="00554D84" w:rsidRPr="00F30D3F" w:rsidRDefault="00554D84" w:rsidP="006B7975"/>
    <w:p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:rsidR="00554D84" w:rsidRPr="00F30D3F" w:rsidRDefault="00554D84" w:rsidP="006B7975">
      <w:pPr>
        <w:ind w:right="-318"/>
      </w:pPr>
    </w:p>
    <w:p w:rsidR="006B6BA8" w:rsidRPr="00F30D3F" w:rsidRDefault="006B6BA8" w:rsidP="006B6BA8">
      <w:pPr>
        <w:ind w:left="0" w:right="10" w:firstLine="0"/>
        <w:rPr>
          <w:i/>
        </w:rPr>
      </w:pPr>
      <w:r w:rsidRPr="00F30D3F">
        <w:t>Všechen nepoužitý veterinární léčivý přípravek nebo odpad, který pochází z tohoto přípravku, musí být likvidován pod</w:t>
      </w:r>
      <w:r>
        <w:t>le místních právních předpisů.</w:t>
      </w:r>
    </w:p>
    <w:p w:rsidR="00554D84" w:rsidRPr="00F467E9" w:rsidRDefault="00554D84" w:rsidP="006B7975"/>
    <w:p w:rsidR="00554D84" w:rsidRPr="00F467E9" w:rsidRDefault="00554D84" w:rsidP="006B7975"/>
    <w:p w:rsidR="00554D84" w:rsidRPr="00F30D3F" w:rsidRDefault="00554D84" w:rsidP="006B7975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:rsidR="00554D84" w:rsidRPr="00F30D3F" w:rsidRDefault="00554D84" w:rsidP="006B7975">
      <w:pPr>
        <w:ind w:right="-318"/>
      </w:pPr>
    </w:p>
    <w:p w:rsidR="00554D84" w:rsidRPr="00F30D3F" w:rsidRDefault="00CF3211" w:rsidP="000A6B2C">
      <w:pPr>
        <w:ind w:right="-318"/>
      </w:pPr>
      <w:r>
        <w:t>Březen 2018</w:t>
      </w:r>
      <w:bookmarkStart w:id="0" w:name="_GoBack"/>
      <w:bookmarkEnd w:id="0"/>
    </w:p>
    <w:p w:rsidR="00554D84" w:rsidRPr="00F30D3F" w:rsidRDefault="00554D84" w:rsidP="005E376A">
      <w:pPr>
        <w:ind w:right="-318"/>
      </w:pPr>
    </w:p>
    <w:p w:rsidR="00554D84" w:rsidRPr="00F30D3F" w:rsidRDefault="00554D84" w:rsidP="005E376A"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:rsidR="00554D84" w:rsidRDefault="00554D84" w:rsidP="006C4941"/>
    <w:p w:rsidR="006B6BA8" w:rsidRPr="006B6BA8" w:rsidRDefault="006B6BA8" w:rsidP="006C4941">
      <w:pPr>
        <w:rPr>
          <w:b/>
        </w:rPr>
      </w:pPr>
      <w:r w:rsidRPr="006B6BA8">
        <w:rPr>
          <w:b/>
        </w:rPr>
        <w:t>Další informace</w:t>
      </w:r>
    </w:p>
    <w:p w:rsidR="006B6BA8" w:rsidRPr="00CE76CF" w:rsidRDefault="006B6BA8" w:rsidP="006B6BA8">
      <w:pPr>
        <w:ind w:left="0" w:firstLine="0"/>
        <w:rPr>
          <w:u w:val="single"/>
        </w:rPr>
      </w:pPr>
      <w:r w:rsidRPr="00CE76CF">
        <w:rPr>
          <w:u w:val="single"/>
        </w:rPr>
        <w:t>Velikosti balení:</w:t>
      </w:r>
    </w:p>
    <w:p w:rsidR="006B6BA8" w:rsidRDefault="006B6BA8" w:rsidP="006B6BA8">
      <w:r>
        <w:t>Krabička obsahující 1 plastovou láhev o objemu 125 ml,</w:t>
      </w:r>
    </w:p>
    <w:p w:rsidR="006B6BA8" w:rsidRDefault="006B6BA8" w:rsidP="006B6BA8">
      <w:r>
        <w:t>Krabička obsahující 1 plastovou láhev o objemu 250 ml,</w:t>
      </w:r>
    </w:p>
    <w:p w:rsidR="006B6BA8" w:rsidRDefault="006B6BA8" w:rsidP="006B6BA8">
      <w:r>
        <w:t>Krabička obsahující 1 plastovou láhev o objemu 500 ml,</w:t>
      </w:r>
    </w:p>
    <w:p w:rsidR="006B6BA8" w:rsidRDefault="006B6BA8" w:rsidP="006B6BA8">
      <w:r>
        <w:t>Krabička obsahující 1 plastovou láhev o objemu 1000 ml,</w:t>
      </w:r>
    </w:p>
    <w:p w:rsidR="006B6BA8" w:rsidRDefault="006B6BA8" w:rsidP="006B6BA8">
      <w:r>
        <w:t>Plastová láhev o objemu 125 ml</w:t>
      </w:r>
    </w:p>
    <w:p w:rsidR="006B6BA8" w:rsidRDefault="006B6BA8" w:rsidP="006B6BA8">
      <w:r>
        <w:t>Plastová láhev o objemu 250 ml</w:t>
      </w:r>
    </w:p>
    <w:p w:rsidR="006B6BA8" w:rsidRDefault="006B6BA8" w:rsidP="006B6BA8">
      <w:r>
        <w:t>Plastová láhev o objemu 500 ml</w:t>
      </w:r>
    </w:p>
    <w:p w:rsidR="006B6BA8" w:rsidRDefault="006B6BA8" w:rsidP="006B6BA8">
      <w:r>
        <w:t>Plastová láhev o objemu 1000 ml</w:t>
      </w:r>
    </w:p>
    <w:p w:rsidR="001D48B0" w:rsidRDefault="001D48B0" w:rsidP="006B6BA8">
      <w:pPr>
        <w:ind w:left="0" w:firstLine="0"/>
      </w:pPr>
    </w:p>
    <w:p w:rsidR="006B6BA8" w:rsidRDefault="006B6BA8" w:rsidP="006B6BA8">
      <w:pPr>
        <w:ind w:left="0" w:firstLine="0"/>
      </w:pPr>
      <w:r>
        <w:t>Pro každou z uvedených velikostí balení je přiloženo dávkovací zařízení.</w:t>
      </w:r>
    </w:p>
    <w:p w:rsidR="001D48B0" w:rsidRDefault="001D48B0" w:rsidP="006B6BA8">
      <w:pPr>
        <w:ind w:left="0" w:right="-2" w:firstLine="0"/>
      </w:pPr>
    </w:p>
    <w:p w:rsidR="00554D84" w:rsidRDefault="006B6BA8" w:rsidP="006B6BA8">
      <w:pPr>
        <w:ind w:left="0" w:right="-2" w:firstLine="0"/>
      </w:pPr>
      <w:r w:rsidRPr="00F30D3F">
        <w:t>Na trhu nemus</w:t>
      </w:r>
      <w:r>
        <w:t>í být všechny velikosti balení.</w:t>
      </w:r>
    </w:p>
    <w:p w:rsidR="001D48B0" w:rsidRDefault="001D48B0" w:rsidP="006B6BA8">
      <w:pPr>
        <w:ind w:left="0" w:right="-2" w:firstLine="0"/>
      </w:pPr>
    </w:p>
    <w:p w:rsidR="001D48B0" w:rsidRPr="00F30D3F" w:rsidRDefault="001D48B0" w:rsidP="006B6BA8">
      <w:pPr>
        <w:ind w:left="0" w:right="-2" w:firstLine="0"/>
      </w:pPr>
      <w:r>
        <w:t>Veterinární léčivý přípravek je vydáván pouze na předpis.</w:t>
      </w:r>
    </w:p>
    <w:sectPr w:rsidR="001D48B0" w:rsidRPr="00F30D3F" w:rsidSect="004D1A8A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4B" w:rsidRDefault="00142C4B">
      <w:r>
        <w:separator/>
      </w:r>
    </w:p>
  </w:endnote>
  <w:endnote w:type="continuationSeparator" w:id="0">
    <w:p w:rsidR="00142C4B" w:rsidRDefault="0014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B8EB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Pr="000A6B2C" w:rsidRDefault="00425CB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425CBC" w:rsidRPr="000A6B2C" w:rsidRDefault="00425C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CF3211">
      <w:rPr>
        <w:rFonts w:ascii="Times New Roman" w:hAnsi="Times New Roman"/>
        <w:noProof/>
      </w:rPr>
      <w:t>5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425CBC">
    <w:pPr>
      <w:pStyle w:val="Zpat"/>
      <w:tabs>
        <w:tab w:val="clear" w:pos="8930"/>
        <w:tab w:val="right" w:pos="8931"/>
      </w:tabs>
    </w:pPr>
  </w:p>
  <w:p w:rsidR="00425CBC" w:rsidRPr="000A6B2C" w:rsidRDefault="00425C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CF3211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4B" w:rsidRDefault="00142C4B">
      <w:r>
        <w:separator/>
      </w:r>
    </w:p>
  </w:footnote>
  <w:footnote w:type="continuationSeparator" w:id="0">
    <w:p w:rsidR="00142C4B" w:rsidRDefault="0014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425CBC" w:rsidP="00AE51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F26C2B"/>
    <w:multiLevelType w:val="hybridMultilevel"/>
    <w:tmpl w:val="5C6E6BF4"/>
    <w:lvl w:ilvl="0" w:tplc="3F74A3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F65D8"/>
    <w:multiLevelType w:val="multilevel"/>
    <w:tmpl w:val="A02E932A"/>
    <w:numStyleLink w:val="BulletsAgency"/>
  </w:abstractNum>
  <w:abstractNum w:abstractNumId="28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A73CD7"/>
    <w:multiLevelType w:val="hybridMultilevel"/>
    <w:tmpl w:val="6E7889D6"/>
    <w:lvl w:ilvl="0" w:tplc="B6E2A3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9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7"/>
  </w:num>
  <w:num w:numId="11">
    <w:abstractNumId w:val="38"/>
  </w:num>
  <w:num w:numId="12">
    <w:abstractNumId w:val="18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41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3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7"/>
  </w:num>
  <w:num w:numId="37">
    <w:abstractNumId w:val="4"/>
  </w:num>
  <w:num w:numId="38">
    <w:abstractNumId w:val="42"/>
  </w:num>
  <w:num w:numId="39">
    <w:abstractNumId w:val="15"/>
  </w:num>
  <w:num w:numId="40">
    <w:abstractNumId w:val="5"/>
  </w:num>
  <w:num w:numId="41">
    <w:abstractNumId w:val="27"/>
  </w:num>
  <w:num w:numId="42">
    <w:abstractNumId w:val="35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44181"/>
    <w:rsid w:val="00067640"/>
    <w:rsid w:val="00084DED"/>
    <w:rsid w:val="000927EB"/>
    <w:rsid w:val="000A6B2C"/>
    <w:rsid w:val="000A7089"/>
    <w:rsid w:val="000F1AB7"/>
    <w:rsid w:val="00116F84"/>
    <w:rsid w:val="00140775"/>
    <w:rsid w:val="00142C4B"/>
    <w:rsid w:val="001443DA"/>
    <w:rsid w:val="00152E20"/>
    <w:rsid w:val="001556FD"/>
    <w:rsid w:val="00155E9D"/>
    <w:rsid w:val="001652DE"/>
    <w:rsid w:val="001751C8"/>
    <w:rsid w:val="00175CFD"/>
    <w:rsid w:val="00192FF4"/>
    <w:rsid w:val="001A0A5B"/>
    <w:rsid w:val="001A24A9"/>
    <w:rsid w:val="001A5B3A"/>
    <w:rsid w:val="001C6818"/>
    <w:rsid w:val="001D48B0"/>
    <w:rsid w:val="001E0872"/>
    <w:rsid w:val="001E178E"/>
    <w:rsid w:val="001E1F34"/>
    <w:rsid w:val="001F66B4"/>
    <w:rsid w:val="0020738F"/>
    <w:rsid w:val="0025393A"/>
    <w:rsid w:val="002742A8"/>
    <w:rsid w:val="002846DD"/>
    <w:rsid w:val="00293BE7"/>
    <w:rsid w:val="00294D9B"/>
    <w:rsid w:val="00296924"/>
    <w:rsid w:val="002B7702"/>
    <w:rsid w:val="002C4E18"/>
    <w:rsid w:val="002E703B"/>
    <w:rsid w:val="0034217F"/>
    <w:rsid w:val="00362DA6"/>
    <w:rsid w:val="00381254"/>
    <w:rsid w:val="003817C1"/>
    <w:rsid w:val="003A7224"/>
    <w:rsid w:val="003C663E"/>
    <w:rsid w:val="003D4FDD"/>
    <w:rsid w:val="003E0D57"/>
    <w:rsid w:val="003E3E6C"/>
    <w:rsid w:val="003F7E7F"/>
    <w:rsid w:val="00401AB8"/>
    <w:rsid w:val="00403374"/>
    <w:rsid w:val="00410FC4"/>
    <w:rsid w:val="00425CBC"/>
    <w:rsid w:val="004454F9"/>
    <w:rsid w:val="00445750"/>
    <w:rsid w:val="00453EE6"/>
    <w:rsid w:val="00455F65"/>
    <w:rsid w:val="00464269"/>
    <w:rsid w:val="00476943"/>
    <w:rsid w:val="0049115A"/>
    <w:rsid w:val="004A4A2C"/>
    <w:rsid w:val="004A6C10"/>
    <w:rsid w:val="004B6EFF"/>
    <w:rsid w:val="004D1A8A"/>
    <w:rsid w:val="004D3940"/>
    <w:rsid w:val="004E33B0"/>
    <w:rsid w:val="004F3604"/>
    <w:rsid w:val="004F6B87"/>
    <w:rsid w:val="00525669"/>
    <w:rsid w:val="00554D84"/>
    <w:rsid w:val="0056452D"/>
    <w:rsid w:val="005657D9"/>
    <w:rsid w:val="00592696"/>
    <w:rsid w:val="005B64B8"/>
    <w:rsid w:val="005C5705"/>
    <w:rsid w:val="005E27E9"/>
    <w:rsid w:val="005E376A"/>
    <w:rsid w:val="005E50A5"/>
    <w:rsid w:val="005F2E32"/>
    <w:rsid w:val="005F7959"/>
    <w:rsid w:val="005F7FA2"/>
    <w:rsid w:val="0063683D"/>
    <w:rsid w:val="00651B53"/>
    <w:rsid w:val="00660F31"/>
    <w:rsid w:val="006669B8"/>
    <w:rsid w:val="00674165"/>
    <w:rsid w:val="00682E55"/>
    <w:rsid w:val="006A2F72"/>
    <w:rsid w:val="006B180F"/>
    <w:rsid w:val="006B6BA8"/>
    <w:rsid w:val="006B7975"/>
    <w:rsid w:val="006C4941"/>
    <w:rsid w:val="006C733F"/>
    <w:rsid w:val="006D067E"/>
    <w:rsid w:val="006D2E0C"/>
    <w:rsid w:val="006D4FCD"/>
    <w:rsid w:val="006E2117"/>
    <w:rsid w:val="006E66ED"/>
    <w:rsid w:val="006F09CF"/>
    <w:rsid w:val="006F665B"/>
    <w:rsid w:val="00702703"/>
    <w:rsid w:val="00714D0D"/>
    <w:rsid w:val="00717DDF"/>
    <w:rsid w:val="00725273"/>
    <w:rsid w:val="00730F7C"/>
    <w:rsid w:val="00742EB3"/>
    <w:rsid w:val="00743110"/>
    <w:rsid w:val="0077431E"/>
    <w:rsid w:val="007A5610"/>
    <w:rsid w:val="007C495D"/>
    <w:rsid w:val="007C5608"/>
    <w:rsid w:val="007C6C15"/>
    <w:rsid w:val="007D3F6F"/>
    <w:rsid w:val="007F0B23"/>
    <w:rsid w:val="007F6A96"/>
    <w:rsid w:val="008039B0"/>
    <w:rsid w:val="008043EC"/>
    <w:rsid w:val="0081008D"/>
    <w:rsid w:val="00824BD8"/>
    <w:rsid w:val="00870214"/>
    <w:rsid w:val="008758DA"/>
    <w:rsid w:val="0088105E"/>
    <w:rsid w:val="008963C9"/>
    <w:rsid w:val="008A1D73"/>
    <w:rsid w:val="008B1355"/>
    <w:rsid w:val="008C210D"/>
    <w:rsid w:val="008E1461"/>
    <w:rsid w:val="00900879"/>
    <w:rsid w:val="009144E3"/>
    <w:rsid w:val="00945D2D"/>
    <w:rsid w:val="00947B5B"/>
    <w:rsid w:val="00952E34"/>
    <w:rsid w:val="00953EB1"/>
    <w:rsid w:val="00955A6D"/>
    <w:rsid w:val="0096619E"/>
    <w:rsid w:val="00976E1F"/>
    <w:rsid w:val="00976FEC"/>
    <w:rsid w:val="009A2A10"/>
    <w:rsid w:val="009C5E42"/>
    <w:rsid w:val="009D5C28"/>
    <w:rsid w:val="00A02E38"/>
    <w:rsid w:val="00A121C4"/>
    <w:rsid w:val="00A219CA"/>
    <w:rsid w:val="00A263F9"/>
    <w:rsid w:val="00A30150"/>
    <w:rsid w:val="00A304F8"/>
    <w:rsid w:val="00A33D05"/>
    <w:rsid w:val="00A51E19"/>
    <w:rsid w:val="00A60A84"/>
    <w:rsid w:val="00A94807"/>
    <w:rsid w:val="00AA2C7F"/>
    <w:rsid w:val="00AD2658"/>
    <w:rsid w:val="00AD3813"/>
    <w:rsid w:val="00AE3E60"/>
    <w:rsid w:val="00AE51AE"/>
    <w:rsid w:val="00AF0F5F"/>
    <w:rsid w:val="00B1150B"/>
    <w:rsid w:val="00B33FC7"/>
    <w:rsid w:val="00B41526"/>
    <w:rsid w:val="00B52AFE"/>
    <w:rsid w:val="00B62DA0"/>
    <w:rsid w:val="00B843CF"/>
    <w:rsid w:val="00BA5AFC"/>
    <w:rsid w:val="00BA7E09"/>
    <w:rsid w:val="00BC21D8"/>
    <w:rsid w:val="00BD0D80"/>
    <w:rsid w:val="00BD64FA"/>
    <w:rsid w:val="00BD6DD5"/>
    <w:rsid w:val="00BD7E5A"/>
    <w:rsid w:val="00BF52CC"/>
    <w:rsid w:val="00C009AF"/>
    <w:rsid w:val="00C124BB"/>
    <w:rsid w:val="00C27C63"/>
    <w:rsid w:val="00C36E0D"/>
    <w:rsid w:val="00C420A0"/>
    <w:rsid w:val="00C636C5"/>
    <w:rsid w:val="00C71CE4"/>
    <w:rsid w:val="00C7574D"/>
    <w:rsid w:val="00C82DDD"/>
    <w:rsid w:val="00C8461A"/>
    <w:rsid w:val="00C8498E"/>
    <w:rsid w:val="00C9401A"/>
    <w:rsid w:val="00CA0601"/>
    <w:rsid w:val="00CA0A9E"/>
    <w:rsid w:val="00CB1ED6"/>
    <w:rsid w:val="00CE76CF"/>
    <w:rsid w:val="00CF3211"/>
    <w:rsid w:val="00CF421C"/>
    <w:rsid w:val="00CF5161"/>
    <w:rsid w:val="00CF7CB3"/>
    <w:rsid w:val="00D042A0"/>
    <w:rsid w:val="00D20CE0"/>
    <w:rsid w:val="00D26FFF"/>
    <w:rsid w:val="00D629B6"/>
    <w:rsid w:val="00D67E8A"/>
    <w:rsid w:val="00D86292"/>
    <w:rsid w:val="00D8668E"/>
    <w:rsid w:val="00DA2C11"/>
    <w:rsid w:val="00DA6885"/>
    <w:rsid w:val="00DE2E3E"/>
    <w:rsid w:val="00DE44F8"/>
    <w:rsid w:val="00DF1B51"/>
    <w:rsid w:val="00DF587E"/>
    <w:rsid w:val="00E146C7"/>
    <w:rsid w:val="00E32C0F"/>
    <w:rsid w:val="00E32EAF"/>
    <w:rsid w:val="00E53C37"/>
    <w:rsid w:val="00E80297"/>
    <w:rsid w:val="00E97859"/>
    <w:rsid w:val="00EA67B0"/>
    <w:rsid w:val="00EA74C5"/>
    <w:rsid w:val="00EB45EB"/>
    <w:rsid w:val="00EB566F"/>
    <w:rsid w:val="00EC01B6"/>
    <w:rsid w:val="00EC0BFB"/>
    <w:rsid w:val="00EC499A"/>
    <w:rsid w:val="00ED08CE"/>
    <w:rsid w:val="00F10A37"/>
    <w:rsid w:val="00F136E1"/>
    <w:rsid w:val="00F16315"/>
    <w:rsid w:val="00F30D3F"/>
    <w:rsid w:val="00F401F7"/>
    <w:rsid w:val="00F45F6F"/>
    <w:rsid w:val="00F467E9"/>
    <w:rsid w:val="00F50BCE"/>
    <w:rsid w:val="00F51039"/>
    <w:rsid w:val="00F564C7"/>
    <w:rsid w:val="00F637CA"/>
    <w:rsid w:val="00F73282"/>
    <w:rsid w:val="00F75554"/>
    <w:rsid w:val="00FA40C2"/>
    <w:rsid w:val="00FA4BEE"/>
    <w:rsid w:val="00FA6998"/>
    <w:rsid w:val="00FB42E6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A8A"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4D1A8A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4D1A8A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4D1A8A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4D1A8A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4D1A8A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4D1A8A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D1A8A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4D1A8A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4D1A8A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A8A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4D1A8A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4D1A8A"/>
    <w:pPr>
      <w:ind w:left="1760"/>
    </w:pPr>
  </w:style>
  <w:style w:type="character" w:styleId="Odkaznavysvtlivky">
    <w:name w:val="endnote reference"/>
    <w:semiHidden/>
    <w:rsid w:val="004D1A8A"/>
    <w:rPr>
      <w:vertAlign w:val="superscript"/>
    </w:rPr>
  </w:style>
  <w:style w:type="character" w:styleId="Znakapoznpodarou">
    <w:name w:val="footnote reference"/>
    <w:semiHidden/>
    <w:rsid w:val="004D1A8A"/>
    <w:rPr>
      <w:vertAlign w:val="superscript"/>
    </w:rPr>
  </w:style>
  <w:style w:type="paragraph" w:styleId="Textpoznpodarou">
    <w:name w:val="footnote text"/>
    <w:basedOn w:val="Normln"/>
    <w:semiHidden/>
    <w:rsid w:val="004D1A8A"/>
    <w:pPr>
      <w:jc w:val="both"/>
    </w:pPr>
    <w:rPr>
      <w:sz w:val="20"/>
    </w:rPr>
  </w:style>
  <w:style w:type="paragraph" w:styleId="Zkladntext">
    <w:name w:val="Body Text"/>
    <w:basedOn w:val="Normln"/>
    <w:rsid w:val="004D1A8A"/>
    <w:pPr>
      <w:jc w:val="both"/>
    </w:pPr>
  </w:style>
  <w:style w:type="paragraph" w:styleId="Textvbloku">
    <w:name w:val="Block Text"/>
    <w:basedOn w:val="Normln"/>
    <w:rsid w:val="004D1A8A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4D1A8A"/>
    <w:rPr>
      <w:b/>
    </w:rPr>
  </w:style>
  <w:style w:type="paragraph" w:styleId="Zkladntext3">
    <w:name w:val="Body Text 3"/>
    <w:basedOn w:val="Normln"/>
    <w:rsid w:val="004D1A8A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4D1A8A"/>
  </w:style>
  <w:style w:type="character" w:styleId="Odkaznakoment">
    <w:name w:val="annotation reference"/>
    <w:semiHidden/>
    <w:rsid w:val="004D1A8A"/>
    <w:rPr>
      <w:sz w:val="16"/>
    </w:rPr>
  </w:style>
  <w:style w:type="paragraph" w:styleId="Zkladntextodsazen2">
    <w:name w:val="Body Text Indent 2"/>
    <w:basedOn w:val="Normln"/>
    <w:rsid w:val="004D1A8A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4D1A8A"/>
    <w:rPr>
      <w:sz w:val="20"/>
    </w:rPr>
  </w:style>
  <w:style w:type="paragraph" w:styleId="Zkladntextodsazen3">
    <w:name w:val="Body Text Indent 3"/>
    <w:basedOn w:val="Normln"/>
    <w:rsid w:val="004D1A8A"/>
  </w:style>
  <w:style w:type="paragraph" w:customStyle="1" w:styleId="Bullet">
    <w:name w:val="Bullet"/>
    <w:basedOn w:val="Normln"/>
    <w:rsid w:val="004D1A8A"/>
    <w:pPr>
      <w:numPr>
        <w:numId w:val="2"/>
      </w:numPr>
    </w:pPr>
  </w:style>
  <w:style w:type="paragraph" w:styleId="Textbubliny">
    <w:name w:val="Balloon Text"/>
    <w:basedOn w:val="Normln"/>
    <w:semiHidden/>
    <w:rsid w:val="004D1A8A"/>
    <w:rPr>
      <w:rFonts w:ascii="Tahoma" w:hAnsi="Tahoma" w:cs="Tahoma"/>
      <w:sz w:val="16"/>
      <w:szCs w:val="16"/>
    </w:rPr>
  </w:style>
  <w:style w:type="character" w:styleId="Hypertextovodkaz">
    <w:name w:val="Hyperlink"/>
    <w:rsid w:val="004D1A8A"/>
    <w:rPr>
      <w:color w:val="0000FF"/>
      <w:u w:val="single"/>
    </w:rPr>
  </w:style>
  <w:style w:type="paragraph" w:customStyle="1" w:styleId="AHeader1">
    <w:name w:val="AHeader 1"/>
    <w:basedOn w:val="Normln"/>
    <w:rsid w:val="004D1A8A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4D1A8A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4D1A8A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4D1A8A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4D1A8A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4D1A8A"/>
    <w:rPr>
      <w:rFonts w:ascii="Tahoma" w:hAnsi="Tahoma" w:cs="Tahoma"/>
      <w:sz w:val="16"/>
      <w:szCs w:val="16"/>
    </w:rPr>
  </w:style>
  <w:style w:type="character" w:styleId="Sledovanodkaz">
    <w:name w:val="FollowedHyperlink"/>
    <w:rsid w:val="004D1A8A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-Roman" w:hAnsi="Times-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customStyle="1" w:styleId="Normal1">
    <w:name w:val="Normal1"/>
    <w:rsid w:val="00E32EAF"/>
    <w:pPr>
      <w:pBdr>
        <w:top w:val="nil"/>
        <w:left w:val="nil"/>
        <w:bottom w:val="nil"/>
        <w:right w:val="nil"/>
        <w:between w:val="nil"/>
      </w:pBdr>
      <w:tabs>
        <w:tab w:val="left" w:pos="567"/>
      </w:tabs>
    </w:pPr>
    <w:rPr>
      <w:color w:val="000000"/>
      <w:sz w:val="22"/>
      <w:szCs w:val="22"/>
      <w:lang w:val="en-US" w:eastAsia="fr-FR"/>
    </w:rPr>
  </w:style>
  <w:style w:type="character" w:customStyle="1" w:styleId="Zkladntext2Char">
    <w:name w:val="Základní text 2 Char"/>
    <w:link w:val="Zkladntext2"/>
    <w:rsid w:val="004B6EFF"/>
    <w:rPr>
      <w:b/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AA2C7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2C7F"/>
    <w:rPr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sid w:val="00AA2C7F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BulletsAgenc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2B0F-5095-4FE4-A8E9-FFDCF13E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8389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template_v. 8.1_clean</vt:lpstr>
      <vt:lpstr>CS_qrd_veterinary template_v. 8.1_clean</vt:lpstr>
      <vt:lpstr>CS_qrd_veterinary template_v. 8.1_clean</vt:lpstr>
    </vt:vector>
  </TitlesOfParts>
  <LinksUpToDate>false</LinksUpToDate>
  <CharactersWithSpaces>9791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subject/>
  <dc:creator/>
  <cp:keywords/>
  <cp:lastModifiedBy/>
  <cp:revision>1</cp:revision>
  <dcterms:created xsi:type="dcterms:W3CDTF">2018-02-03T13:22:00Z</dcterms:created>
  <dcterms:modified xsi:type="dcterms:W3CDTF">2018-03-16T13:30:00Z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</Properties>
</file>