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60" w:rsidRPr="00E83872" w:rsidRDefault="00D83DA0" w:rsidP="00E83872">
      <w:pPr>
        <w:pStyle w:val="Nadpis2"/>
        <w:spacing w:line="276" w:lineRule="auto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 xml:space="preserve">PODROBNÉ ÚDAJE UVÁDĚNÉ NA VNITŘNÍM </w:t>
      </w:r>
      <w:proofErr w:type="gramStart"/>
      <w:r w:rsidRPr="00C37311">
        <w:rPr>
          <w:sz w:val="22"/>
          <w:szCs w:val="22"/>
          <w:lang w:val="cs-CZ"/>
        </w:rPr>
        <w:t xml:space="preserve">OBALU </w:t>
      </w:r>
      <w:r w:rsidR="004A0E2E" w:rsidRPr="00C37311">
        <w:rPr>
          <w:sz w:val="22"/>
          <w:szCs w:val="22"/>
          <w:lang w:val="cs-CZ"/>
        </w:rPr>
        <w:t xml:space="preserve"> A </w:t>
      </w:r>
      <w:r w:rsidRPr="00C37311">
        <w:rPr>
          <w:sz w:val="22"/>
          <w:szCs w:val="22"/>
          <w:lang w:val="cs-CZ"/>
        </w:rPr>
        <w:t>PŘÍBALOVÁ</w:t>
      </w:r>
      <w:proofErr w:type="gramEnd"/>
      <w:r w:rsidRPr="00C37311">
        <w:rPr>
          <w:sz w:val="22"/>
          <w:szCs w:val="22"/>
          <w:lang w:val="cs-CZ"/>
        </w:rPr>
        <w:t xml:space="preserve"> INFORMACE</w:t>
      </w:r>
    </w:p>
    <w:p w:rsidR="00287260" w:rsidRPr="00E83872" w:rsidRDefault="00287260" w:rsidP="00E83872">
      <w:pPr>
        <w:spacing w:line="276" w:lineRule="auto"/>
        <w:rPr>
          <w:sz w:val="22"/>
          <w:szCs w:val="22"/>
          <w:lang w:val="cs-CZ"/>
        </w:rPr>
      </w:pPr>
    </w:p>
    <w:p w:rsidR="00287260" w:rsidRPr="00E83872" w:rsidRDefault="00D83DA0" w:rsidP="00E83872">
      <w:pPr>
        <w:numPr>
          <w:ilvl w:val="0"/>
          <w:numId w:val="6"/>
        </w:numPr>
        <w:spacing w:line="276" w:lineRule="auto"/>
        <w:ind w:hanging="720"/>
        <w:jc w:val="both"/>
        <w:rPr>
          <w:b/>
          <w:bCs/>
          <w:sz w:val="22"/>
          <w:szCs w:val="22"/>
          <w:lang w:val="cs-CZ"/>
        </w:rPr>
      </w:pPr>
      <w:r w:rsidRPr="00C37311">
        <w:rPr>
          <w:b/>
          <w:bCs/>
          <w:sz w:val="22"/>
          <w:szCs w:val="22"/>
          <w:lang w:val="cs-CZ"/>
        </w:rPr>
        <w:t xml:space="preserve">JMÉNO </w:t>
      </w:r>
      <w:r w:rsidR="004A0E2E" w:rsidRPr="00C37311">
        <w:rPr>
          <w:b/>
          <w:bCs/>
          <w:sz w:val="22"/>
          <w:szCs w:val="22"/>
          <w:lang w:val="cs-CZ"/>
        </w:rPr>
        <w:t xml:space="preserve">A ADRESA DRŽITELE </w:t>
      </w:r>
      <w:r w:rsidRPr="00C37311">
        <w:rPr>
          <w:b/>
          <w:bCs/>
          <w:sz w:val="22"/>
          <w:szCs w:val="22"/>
          <w:lang w:val="cs-CZ"/>
        </w:rPr>
        <w:t>ROZHODNUTÍ O REGISTRACI</w:t>
      </w:r>
      <w:r w:rsidR="004A0E2E" w:rsidRPr="00C37311">
        <w:rPr>
          <w:b/>
          <w:bCs/>
          <w:sz w:val="22"/>
          <w:szCs w:val="22"/>
          <w:lang w:val="cs-CZ"/>
        </w:rPr>
        <w:t xml:space="preserve"> A DRŽITELE POVOLENÍ K VÝROBĚ ODPOVĚDNÉHO ZA </w:t>
      </w:r>
      <w:r w:rsidRPr="00C37311">
        <w:rPr>
          <w:b/>
          <w:bCs/>
          <w:sz w:val="22"/>
          <w:szCs w:val="22"/>
          <w:lang w:val="cs-CZ"/>
        </w:rPr>
        <w:t>UVOLNĚNÍ ŠARŽE, POKUD SE NESHODUJE</w:t>
      </w:r>
    </w:p>
    <w:p w:rsidR="00287260" w:rsidRPr="00E83872" w:rsidRDefault="00287260" w:rsidP="00E83872">
      <w:pPr>
        <w:spacing w:line="276" w:lineRule="auto"/>
        <w:jc w:val="both"/>
        <w:rPr>
          <w:sz w:val="22"/>
          <w:szCs w:val="22"/>
          <w:u w:val="single"/>
          <w:lang w:val="cs-CZ"/>
        </w:rPr>
      </w:pPr>
    </w:p>
    <w:p w:rsidR="000B0760" w:rsidRPr="00E83872" w:rsidRDefault="000B0760" w:rsidP="00E83872">
      <w:pPr>
        <w:spacing w:line="276" w:lineRule="auto"/>
        <w:jc w:val="both"/>
        <w:rPr>
          <w:sz w:val="22"/>
          <w:szCs w:val="22"/>
          <w:lang w:val="cs-CZ"/>
        </w:rPr>
      </w:pPr>
      <w:r w:rsidRPr="00E83872">
        <w:rPr>
          <w:iCs/>
          <w:sz w:val="22"/>
          <w:szCs w:val="22"/>
          <w:u w:val="single"/>
          <w:lang w:val="cs-CZ"/>
        </w:rPr>
        <w:t>Držitel rozhodnutí o registraci a výrobce odpovědný za uvolnění šarže</w:t>
      </w:r>
      <w:r w:rsidR="00B0480E" w:rsidRPr="00E83872">
        <w:rPr>
          <w:iCs/>
          <w:sz w:val="22"/>
          <w:szCs w:val="22"/>
          <w:u w:val="single"/>
          <w:lang w:val="cs-CZ"/>
        </w:rPr>
        <w:t>:</w:t>
      </w:r>
      <w:r w:rsidRPr="00C37311" w:rsidDel="000B0760">
        <w:rPr>
          <w:sz w:val="22"/>
          <w:szCs w:val="22"/>
          <w:u w:val="single"/>
          <w:lang w:val="cs-CZ"/>
        </w:rPr>
        <w:t xml:space="preserve"> </w:t>
      </w:r>
    </w:p>
    <w:p w:rsidR="00287260" w:rsidRPr="00E83872" w:rsidRDefault="004A0E2E" w:rsidP="00E83872">
      <w:pPr>
        <w:spacing w:line="276" w:lineRule="auto"/>
        <w:jc w:val="both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 xml:space="preserve">LABORATORIOS CALIER, </w:t>
      </w:r>
      <w:proofErr w:type="gramStart"/>
      <w:r w:rsidRPr="00C37311">
        <w:rPr>
          <w:sz w:val="22"/>
          <w:szCs w:val="22"/>
          <w:lang w:val="cs-CZ"/>
        </w:rPr>
        <w:t>S.A.</w:t>
      </w:r>
      <w:proofErr w:type="gramEnd"/>
      <w:r w:rsidRPr="00C37311">
        <w:rPr>
          <w:sz w:val="22"/>
          <w:szCs w:val="22"/>
          <w:lang w:val="cs-CZ"/>
        </w:rPr>
        <w:t xml:space="preserve"> </w:t>
      </w:r>
    </w:p>
    <w:p w:rsidR="00287260" w:rsidRPr="00E83872" w:rsidRDefault="004A0E2E" w:rsidP="00E83872">
      <w:pPr>
        <w:spacing w:line="276" w:lineRule="auto"/>
        <w:jc w:val="both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 xml:space="preserve">C/ </w:t>
      </w:r>
      <w:proofErr w:type="spellStart"/>
      <w:r w:rsidRPr="00C37311">
        <w:rPr>
          <w:sz w:val="22"/>
          <w:szCs w:val="22"/>
          <w:lang w:val="cs-CZ"/>
        </w:rPr>
        <w:t>Barcelonès</w:t>
      </w:r>
      <w:proofErr w:type="spellEnd"/>
      <w:r w:rsidRPr="00C37311">
        <w:rPr>
          <w:sz w:val="22"/>
          <w:szCs w:val="22"/>
          <w:lang w:val="cs-CZ"/>
        </w:rPr>
        <w:t xml:space="preserve">, 26 </w:t>
      </w:r>
      <w:proofErr w:type="spellStart"/>
      <w:r w:rsidRPr="00C37311">
        <w:rPr>
          <w:sz w:val="22"/>
          <w:szCs w:val="22"/>
          <w:lang w:val="cs-CZ"/>
        </w:rPr>
        <w:t>Pla</w:t>
      </w:r>
      <w:proofErr w:type="spellEnd"/>
      <w:r w:rsidRPr="00C37311">
        <w:rPr>
          <w:sz w:val="22"/>
          <w:szCs w:val="22"/>
          <w:lang w:val="cs-CZ"/>
        </w:rPr>
        <w:t xml:space="preserve"> </w:t>
      </w:r>
      <w:proofErr w:type="spellStart"/>
      <w:r w:rsidRPr="00C37311">
        <w:rPr>
          <w:sz w:val="22"/>
          <w:szCs w:val="22"/>
          <w:lang w:val="cs-CZ"/>
        </w:rPr>
        <w:t>del</w:t>
      </w:r>
      <w:proofErr w:type="spellEnd"/>
      <w:r w:rsidRPr="00C37311">
        <w:rPr>
          <w:sz w:val="22"/>
          <w:szCs w:val="22"/>
          <w:lang w:val="cs-CZ"/>
        </w:rPr>
        <w:t xml:space="preserve"> </w:t>
      </w:r>
      <w:proofErr w:type="spellStart"/>
      <w:r w:rsidRPr="00C37311">
        <w:rPr>
          <w:sz w:val="22"/>
          <w:szCs w:val="22"/>
          <w:lang w:val="cs-CZ"/>
        </w:rPr>
        <w:t>Ramassà</w:t>
      </w:r>
      <w:proofErr w:type="spellEnd"/>
    </w:p>
    <w:p w:rsidR="00287260" w:rsidRPr="00E83872" w:rsidRDefault="004A0E2E" w:rsidP="00E83872">
      <w:pPr>
        <w:spacing w:line="276" w:lineRule="auto"/>
        <w:jc w:val="both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>08520 LES FRANQUESES DEL VALLÈS.</w:t>
      </w:r>
    </w:p>
    <w:p w:rsidR="00287260" w:rsidRPr="00E83872" w:rsidRDefault="004A0E2E" w:rsidP="00E83872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>BARCELONA</w:t>
      </w:r>
      <w:r w:rsidR="00B0480E" w:rsidRPr="00C37311">
        <w:rPr>
          <w:sz w:val="22"/>
          <w:szCs w:val="22"/>
          <w:lang w:val="cs-CZ"/>
        </w:rPr>
        <w:t>,</w:t>
      </w:r>
      <w:r w:rsidRPr="00E83872">
        <w:rPr>
          <w:sz w:val="22"/>
          <w:szCs w:val="22"/>
          <w:lang w:val="cs-CZ"/>
        </w:rPr>
        <w:t xml:space="preserve"> </w:t>
      </w:r>
      <w:r w:rsidRPr="00C37311">
        <w:rPr>
          <w:sz w:val="22"/>
          <w:szCs w:val="22"/>
          <w:lang w:val="cs-CZ"/>
        </w:rPr>
        <w:t>ŠPANĚLSKO</w:t>
      </w:r>
    </w:p>
    <w:p w:rsidR="00287260" w:rsidRPr="00E83872" w:rsidRDefault="00287260" w:rsidP="00E83872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</w:p>
    <w:p w:rsidR="00287260" w:rsidRPr="00E83872" w:rsidRDefault="004A0E2E" w:rsidP="00E83872">
      <w:pPr>
        <w:numPr>
          <w:ilvl w:val="0"/>
          <w:numId w:val="6"/>
        </w:numPr>
        <w:spacing w:line="276" w:lineRule="auto"/>
        <w:ind w:hanging="720"/>
        <w:jc w:val="both"/>
        <w:rPr>
          <w:b/>
          <w:bCs/>
          <w:sz w:val="22"/>
          <w:szCs w:val="22"/>
          <w:lang w:val="cs-CZ"/>
        </w:rPr>
      </w:pPr>
      <w:r w:rsidRPr="00C37311">
        <w:rPr>
          <w:b/>
          <w:bCs/>
          <w:sz w:val="22"/>
          <w:szCs w:val="22"/>
          <w:lang w:val="cs-CZ"/>
        </w:rPr>
        <w:t xml:space="preserve">NÁZEV VETERINÁRNÍHO </w:t>
      </w:r>
      <w:r w:rsidR="00B0480E" w:rsidRPr="00C37311">
        <w:rPr>
          <w:b/>
          <w:bCs/>
          <w:sz w:val="22"/>
          <w:szCs w:val="22"/>
          <w:lang w:val="cs-CZ"/>
        </w:rPr>
        <w:t>LÉČIVÉHO PŘÍPRAVKU</w:t>
      </w:r>
    </w:p>
    <w:p w:rsidR="00287260" w:rsidRPr="00E83872" w:rsidRDefault="004A0E2E" w:rsidP="00E83872">
      <w:pPr>
        <w:spacing w:line="276" w:lineRule="auto"/>
        <w:jc w:val="both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>ZOOBIOTIC GLOBULIT</w:t>
      </w:r>
      <w:r w:rsidRPr="00C37311">
        <w:rPr>
          <w:sz w:val="22"/>
          <w:szCs w:val="22"/>
          <w:vertAlign w:val="superscript"/>
          <w:lang w:val="cs-CZ"/>
        </w:rPr>
        <w:t xml:space="preserve"> </w:t>
      </w:r>
      <w:r w:rsidRPr="00C37311">
        <w:rPr>
          <w:sz w:val="22"/>
          <w:szCs w:val="22"/>
          <w:lang w:val="cs-CZ"/>
        </w:rPr>
        <w:t xml:space="preserve">150 mg/g </w:t>
      </w:r>
      <w:proofErr w:type="spellStart"/>
      <w:r w:rsidRPr="00C37311">
        <w:rPr>
          <w:sz w:val="22"/>
          <w:szCs w:val="22"/>
          <w:lang w:val="cs-CZ"/>
        </w:rPr>
        <w:t>premix</w:t>
      </w:r>
      <w:proofErr w:type="spellEnd"/>
      <w:r w:rsidRPr="00C37311">
        <w:rPr>
          <w:sz w:val="22"/>
          <w:szCs w:val="22"/>
          <w:lang w:val="cs-CZ"/>
        </w:rPr>
        <w:t xml:space="preserve"> pro medikaci krmiva pro prasata</w:t>
      </w:r>
    </w:p>
    <w:p w:rsidR="00287260" w:rsidRPr="00E83872" w:rsidRDefault="004A0E2E" w:rsidP="00E83872">
      <w:pPr>
        <w:spacing w:line="276" w:lineRule="auto"/>
        <w:jc w:val="both"/>
        <w:rPr>
          <w:sz w:val="22"/>
          <w:szCs w:val="22"/>
          <w:lang w:val="cs-CZ"/>
        </w:rPr>
      </w:pPr>
      <w:proofErr w:type="spellStart"/>
      <w:r w:rsidRPr="00C37311">
        <w:rPr>
          <w:sz w:val="22"/>
          <w:szCs w:val="22"/>
          <w:lang w:val="cs-CZ"/>
        </w:rPr>
        <w:t>Amoxicillinum</w:t>
      </w:r>
      <w:proofErr w:type="spellEnd"/>
      <w:r w:rsidRPr="00C37311">
        <w:rPr>
          <w:sz w:val="22"/>
          <w:szCs w:val="22"/>
          <w:lang w:val="cs-CZ"/>
        </w:rPr>
        <w:t xml:space="preserve"> </w:t>
      </w:r>
      <w:proofErr w:type="spellStart"/>
      <w:r w:rsidRPr="00C37311">
        <w:rPr>
          <w:sz w:val="22"/>
          <w:szCs w:val="22"/>
          <w:lang w:val="cs-CZ"/>
        </w:rPr>
        <w:t>trihydricum</w:t>
      </w:r>
      <w:proofErr w:type="spellEnd"/>
    </w:p>
    <w:p w:rsidR="00287260" w:rsidRPr="00E83872" w:rsidRDefault="00287260" w:rsidP="00E83872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</w:p>
    <w:p w:rsidR="00287260" w:rsidRPr="00E83872" w:rsidRDefault="004A0E2E" w:rsidP="00E83872">
      <w:pPr>
        <w:numPr>
          <w:ilvl w:val="0"/>
          <w:numId w:val="6"/>
        </w:numPr>
        <w:spacing w:line="276" w:lineRule="auto"/>
        <w:ind w:hanging="720"/>
        <w:jc w:val="both"/>
        <w:rPr>
          <w:b/>
          <w:bCs/>
          <w:sz w:val="22"/>
          <w:szCs w:val="22"/>
          <w:lang w:val="cs-CZ"/>
        </w:rPr>
      </w:pPr>
      <w:r w:rsidRPr="00C37311">
        <w:rPr>
          <w:b/>
          <w:bCs/>
          <w:sz w:val="22"/>
          <w:szCs w:val="22"/>
          <w:lang w:val="cs-CZ"/>
        </w:rPr>
        <w:t>OBSAH LÉČIVÝCH A OSTATNÍCH LÁTEK</w:t>
      </w:r>
    </w:p>
    <w:p w:rsidR="00287260" w:rsidRPr="00E83872" w:rsidRDefault="004A0E2E" w:rsidP="00E83872">
      <w:pPr>
        <w:spacing w:line="276" w:lineRule="auto"/>
        <w:jc w:val="both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>Jeden gram tohoto veterinárního léčivého přípravku obsahuje:</w:t>
      </w:r>
    </w:p>
    <w:p w:rsidR="00287260" w:rsidRPr="00E83872" w:rsidRDefault="004A0E2E" w:rsidP="00E83872">
      <w:pPr>
        <w:spacing w:line="276" w:lineRule="auto"/>
        <w:jc w:val="both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>Léčivá látka:</w:t>
      </w:r>
    </w:p>
    <w:p w:rsidR="00287260" w:rsidRPr="00E83872" w:rsidRDefault="004A0E2E" w:rsidP="00E83872">
      <w:pPr>
        <w:tabs>
          <w:tab w:val="right" w:leader="dot" w:pos="5985"/>
        </w:tabs>
        <w:spacing w:line="276" w:lineRule="auto"/>
        <w:jc w:val="both"/>
        <w:rPr>
          <w:sz w:val="22"/>
          <w:szCs w:val="22"/>
          <w:lang w:val="cs-CZ"/>
        </w:rPr>
      </w:pPr>
      <w:proofErr w:type="spellStart"/>
      <w:r w:rsidRPr="00C37311">
        <w:rPr>
          <w:sz w:val="22"/>
          <w:szCs w:val="22"/>
          <w:lang w:val="cs-CZ"/>
        </w:rPr>
        <w:t>Amoxicillinum</w:t>
      </w:r>
      <w:proofErr w:type="spellEnd"/>
      <w:r w:rsidRPr="00C37311">
        <w:rPr>
          <w:sz w:val="22"/>
          <w:szCs w:val="22"/>
          <w:lang w:val="cs-CZ"/>
        </w:rPr>
        <w:t xml:space="preserve"> (</w:t>
      </w:r>
      <w:r w:rsidR="002F3D4A" w:rsidRPr="00C37311">
        <w:rPr>
          <w:sz w:val="22"/>
          <w:szCs w:val="22"/>
          <w:lang w:val="cs-CZ"/>
        </w:rPr>
        <w:t xml:space="preserve">jako </w:t>
      </w:r>
      <w:proofErr w:type="spellStart"/>
      <w:r w:rsidRPr="00C37311">
        <w:rPr>
          <w:sz w:val="22"/>
          <w:szCs w:val="22"/>
          <w:lang w:val="cs-CZ"/>
        </w:rPr>
        <w:t>trihydricum</w:t>
      </w:r>
      <w:proofErr w:type="spellEnd"/>
      <w:r w:rsidRPr="00C37311">
        <w:rPr>
          <w:sz w:val="22"/>
          <w:szCs w:val="22"/>
          <w:lang w:val="cs-CZ"/>
        </w:rPr>
        <w:t>)</w:t>
      </w:r>
      <w:r w:rsidRPr="00E83872">
        <w:rPr>
          <w:sz w:val="22"/>
          <w:szCs w:val="22"/>
          <w:lang w:val="cs-CZ"/>
        </w:rPr>
        <w:tab/>
      </w:r>
      <w:r w:rsidRPr="00C37311">
        <w:rPr>
          <w:sz w:val="22"/>
          <w:szCs w:val="22"/>
          <w:lang w:val="cs-CZ"/>
        </w:rPr>
        <w:t>150 mg</w:t>
      </w:r>
    </w:p>
    <w:p w:rsidR="00287260" w:rsidRPr="00E83872" w:rsidRDefault="00287260" w:rsidP="00E83872">
      <w:pPr>
        <w:tabs>
          <w:tab w:val="right" w:leader="dot" w:pos="5985"/>
        </w:tabs>
        <w:spacing w:line="276" w:lineRule="auto"/>
        <w:jc w:val="both"/>
        <w:rPr>
          <w:sz w:val="22"/>
          <w:szCs w:val="22"/>
          <w:lang w:val="cs-CZ"/>
        </w:rPr>
      </w:pPr>
    </w:p>
    <w:p w:rsidR="00287260" w:rsidRPr="00E83872" w:rsidRDefault="004A0E2E" w:rsidP="00E83872">
      <w:pPr>
        <w:numPr>
          <w:ilvl w:val="0"/>
          <w:numId w:val="6"/>
        </w:numPr>
        <w:spacing w:line="276" w:lineRule="auto"/>
        <w:ind w:hanging="720"/>
        <w:jc w:val="both"/>
        <w:rPr>
          <w:b/>
          <w:bCs/>
          <w:sz w:val="22"/>
          <w:szCs w:val="22"/>
          <w:lang w:val="cs-CZ"/>
        </w:rPr>
      </w:pPr>
      <w:r w:rsidRPr="00C37311">
        <w:rPr>
          <w:b/>
          <w:bCs/>
          <w:sz w:val="22"/>
          <w:szCs w:val="22"/>
          <w:lang w:val="cs-CZ"/>
        </w:rPr>
        <w:t>INDIKACE</w:t>
      </w:r>
    </w:p>
    <w:p w:rsidR="00287260" w:rsidRPr="00E83872" w:rsidRDefault="004A0E2E" w:rsidP="00E83872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 xml:space="preserve">Prevence </w:t>
      </w:r>
      <w:r w:rsidR="001842BF" w:rsidRPr="00C37311">
        <w:rPr>
          <w:sz w:val="22"/>
          <w:szCs w:val="22"/>
          <w:lang w:val="cs-CZ"/>
        </w:rPr>
        <w:t xml:space="preserve">respiračních </w:t>
      </w:r>
      <w:r w:rsidRPr="00C37311">
        <w:rPr>
          <w:sz w:val="22"/>
          <w:szCs w:val="22"/>
          <w:lang w:val="cs-CZ"/>
        </w:rPr>
        <w:t xml:space="preserve">infekcí </w:t>
      </w:r>
      <w:r w:rsidR="00C37311">
        <w:rPr>
          <w:sz w:val="22"/>
          <w:szCs w:val="22"/>
          <w:lang w:val="cs-CZ"/>
        </w:rPr>
        <w:t xml:space="preserve">vyvolaných </w:t>
      </w:r>
      <w:proofErr w:type="spellStart"/>
      <w:r w:rsidRPr="00C37311">
        <w:rPr>
          <w:i/>
          <w:iCs/>
          <w:sz w:val="22"/>
          <w:szCs w:val="22"/>
          <w:lang w:val="cs-CZ"/>
        </w:rPr>
        <w:t>Streptococcus</w:t>
      </w:r>
      <w:proofErr w:type="spellEnd"/>
      <w:r w:rsidRPr="00C37311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C37311">
        <w:rPr>
          <w:i/>
          <w:iCs/>
          <w:sz w:val="22"/>
          <w:szCs w:val="22"/>
          <w:lang w:val="cs-CZ"/>
        </w:rPr>
        <w:t>suis</w:t>
      </w:r>
      <w:proofErr w:type="spellEnd"/>
      <w:r w:rsidRPr="00C37311">
        <w:rPr>
          <w:sz w:val="22"/>
          <w:szCs w:val="22"/>
          <w:lang w:val="cs-CZ"/>
        </w:rPr>
        <w:t xml:space="preserve"> citlivých k amoxicilinu u selat po odstavu. Výskyt onemocnění v chovu musí být prokázán před použitím přípravku.</w:t>
      </w:r>
    </w:p>
    <w:p w:rsidR="00287260" w:rsidRPr="00C37311" w:rsidRDefault="00287260" w:rsidP="00E83872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</w:p>
    <w:p w:rsidR="00287260" w:rsidRPr="00C37311" w:rsidRDefault="004A0E2E" w:rsidP="00E83872">
      <w:pPr>
        <w:numPr>
          <w:ilvl w:val="0"/>
          <w:numId w:val="6"/>
        </w:numPr>
        <w:spacing w:line="276" w:lineRule="auto"/>
        <w:ind w:hanging="720"/>
        <w:jc w:val="both"/>
        <w:rPr>
          <w:b/>
          <w:bCs/>
          <w:sz w:val="22"/>
          <w:szCs w:val="22"/>
          <w:lang w:val="cs-CZ"/>
        </w:rPr>
      </w:pPr>
      <w:r w:rsidRPr="00C37311">
        <w:rPr>
          <w:b/>
          <w:bCs/>
          <w:sz w:val="22"/>
          <w:szCs w:val="22"/>
          <w:lang w:val="cs-CZ"/>
        </w:rPr>
        <w:t>KONTRAINDIKACE</w:t>
      </w:r>
    </w:p>
    <w:p w:rsidR="006060BB" w:rsidRPr="00E83872" w:rsidRDefault="006060BB" w:rsidP="00E83872">
      <w:pPr>
        <w:spacing w:line="276" w:lineRule="auto"/>
        <w:jc w:val="both"/>
        <w:rPr>
          <w:sz w:val="22"/>
          <w:szCs w:val="22"/>
          <w:lang w:val="cs-CZ"/>
        </w:rPr>
      </w:pPr>
      <w:r w:rsidRPr="00E83872">
        <w:rPr>
          <w:sz w:val="22"/>
          <w:szCs w:val="22"/>
          <w:lang w:val="cs-CZ"/>
        </w:rPr>
        <w:t>Nepodávat zvířatům se známou přecitlivělostí na peniciliny nebo cefalosporiny nebo na některou z pomocných látek. Nepodávat zvířatům s vážným onemocněním ledvin včetně anurie a oligurie. Nepoužív</w:t>
      </w:r>
      <w:r w:rsidRPr="00C37311">
        <w:rPr>
          <w:sz w:val="22"/>
          <w:szCs w:val="22"/>
          <w:lang w:val="cs-CZ"/>
        </w:rPr>
        <w:t>at</w:t>
      </w:r>
      <w:r w:rsidRPr="00E83872">
        <w:rPr>
          <w:sz w:val="22"/>
          <w:szCs w:val="22"/>
          <w:lang w:val="cs-CZ"/>
        </w:rPr>
        <w:t xml:space="preserve"> v případě přítomnosti bakterií produkujících </w:t>
      </w:r>
      <w:r w:rsidR="00C37311">
        <w:rPr>
          <w:sz w:val="22"/>
          <w:szCs w:val="22"/>
          <w:lang w:val="cs-CZ"/>
        </w:rPr>
        <w:t>beta</w:t>
      </w:r>
      <w:r w:rsidRPr="00E83872">
        <w:rPr>
          <w:sz w:val="22"/>
          <w:szCs w:val="22"/>
          <w:lang w:val="cs-CZ"/>
        </w:rPr>
        <w:t>-</w:t>
      </w:r>
      <w:proofErr w:type="spellStart"/>
      <w:r w:rsidRPr="00E83872">
        <w:rPr>
          <w:sz w:val="22"/>
          <w:szCs w:val="22"/>
          <w:lang w:val="cs-CZ"/>
        </w:rPr>
        <w:t>laktamázu</w:t>
      </w:r>
      <w:proofErr w:type="spellEnd"/>
      <w:r w:rsidRPr="00E83872">
        <w:rPr>
          <w:sz w:val="22"/>
          <w:szCs w:val="22"/>
          <w:lang w:val="cs-CZ"/>
        </w:rPr>
        <w:t>.</w:t>
      </w:r>
    </w:p>
    <w:p w:rsidR="006060BB" w:rsidRPr="00E83872" w:rsidRDefault="006060BB" w:rsidP="00E83872">
      <w:pPr>
        <w:spacing w:line="276" w:lineRule="auto"/>
        <w:jc w:val="both"/>
        <w:rPr>
          <w:sz w:val="22"/>
          <w:szCs w:val="22"/>
          <w:lang w:val="cs-CZ"/>
        </w:rPr>
      </w:pPr>
    </w:p>
    <w:p w:rsidR="006060BB" w:rsidRPr="00E83872" w:rsidRDefault="006060BB" w:rsidP="00E83872">
      <w:pPr>
        <w:spacing w:line="276" w:lineRule="auto"/>
        <w:jc w:val="both"/>
        <w:rPr>
          <w:sz w:val="22"/>
          <w:szCs w:val="22"/>
          <w:lang w:val="cs-CZ"/>
        </w:rPr>
      </w:pPr>
      <w:r w:rsidRPr="00E83872">
        <w:rPr>
          <w:sz w:val="22"/>
          <w:szCs w:val="22"/>
          <w:lang w:val="cs-CZ"/>
        </w:rPr>
        <w:t>Nepodávat jedincům z řád</w:t>
      </w:r>
      <w:r w:rsidR="00C37311">
        <w:rPr>
          <w:sz w:val="22"/>
          <w:szCs w:val="22"/>
          <w:lang w:val="cs-CZ"/>
        </w:rPr>
        <w:t>ů</w:t>
      </w:r>
      <w:r w:rsidRPr="00E83872">
        <w:rPr>
          <w:sz w:val="22"/>
          <w:szCs w:val="22"/>
          <w:lang w:val="cs-CZ"/>
        </w:rPr>
        <w:t xml:space="preserve"> zajíc</w:t>
      </w:r>
      <w:r w:rsidR="00C37311">
        <w:rPr>
          <w:sz w:val="22"/>
          <w:szCs w:val="22"/>
          <w:lang w:val="cs-CZ"/>
        </w:rPr>
        <w:t>i</w:t>
      </w:r>
      <w:r w:rsidRPr="00E83872">
        <w:rPr>
          <w:sz w:val="22"/>
          <w:szCs w:val="22"/>
          <w:lang w:val="cs-CZ"/>
        </w:rPr>
        <w:t xml:space="preserve"> a hlodavc</w:t>
      </w:r>
      <w:r w:rsidR="00C37311">
        <w:rPr>
          <w:sz w:val="22"/>
          <w:szCs w:val="22"/>
          <w:lang w:val="cs-CZ"/>
        </w:rPr>
        <w:t>i</w:t>
      </w:r>
      <w:r w:rsidRPr="00E83872">
        <w:rPr>
          <w:sz w:val="22"/>
          <w:szCs w:val="22"/>
          <w:lang w:val="cs-CZ"/>
        </w:rPr>
        <w:t xml:space="preserve">, jako jsou králíci, morčata, křečci a tarbíci. </w:t>
      </w:r>
    </w:p>
    <w:p w:rsidR="006060BB" w:rsidRPr="00E83872" w:rsidRDefault="006060BB" w:rsidP="00E83872">
      <w:pPr>
        <w:spacing w:line="276" w:lineRule="auto"/>
        <w:jc w:val="both"/>
        <w:rPr>
          <w:sz w:val="22"/>
          <w:szCs w:val="22"/>
          <w:lang w:val="cs-CZ"/>
        </w:rPr>
      </w:pPr>
    </w:p>
    <w:p w:rsidR="006060BB" w:rsidRPr="00E83872" w:rsidRDefault="006060BB" w:rsidP="00E83872">
      <w:pPr>
        <w:pStyle w:val="Zkladntextodsazen"/>
        <w:spacing w:line="276" w:lineRule="auto"/>
        <w:rPr>
          <w:sz w:val="22"/>
          <w:szCs w:val="22"/>
          <w:lang w:val="cs-CZ"/>
        </w:rPr>
      </w:pPr>
      <w:r w:rsidRPr="00E83872">
        <w:rPr>
          <w:sz w:val="22"/>
          <w:szCs w:val="22"/>
          <w:lang w:val="cs-CZ"/>
        </w:rPr>
        <w:t xml:space="preserve">Nepoužívat u přežvýkavců a koní. </w:t>
      </w:r>
    </w:p>
    <w:p w:rsidR="006060BB" w:rsidRPr="00E83872" w:rsidRDefault="006060BB" w:rsidP="00E83872">
      <w:pPr>
        <w:pStyle w:val="Zkladntextodsazen"/>
        <w:spacing w:line="276" w:lineRule="auto"/>
        <w:rPr>
          <w:sz w:val="22"/>
          <w:szCs w:val="22"/>
          <w:lang w:val="cs-CZ"/>
        </w:rPr>
      </w:pPr>
    </w:p>
    <w:p w:rsidR="00287260" w:rsidRPr="00E83872" w:rsidRDefault="00287260" w:rsidP="00E83872">
      <w:pPr>
        <w:pStyle w:val="Zkladntextodsazen"/>
        <w:spacing w:line="276" w:lineRule="auto"/>
        <w:rPr>
          <w:sz w:val="22"/>
          <w:szCs w:val="22"/>
          <w:lang w:val="cs-CZ"/>
        </w:rPr>
      </w:pPr>
    </w:p>
    <w:p w:rsidR="00287260" w:rsidRPr="00E83872" w:rsidRDefault="004A0E2E" w:rsidP="00E83872">
      <w:pPr>
        <w:numPr>
          <w:ilvl w:val="0"/>
          <w:numId w:val="6"/>
        </w:numPr>
        <w:spacing w:line="276" w:lineRule="auto"/>
        <w:ind w:hanging="720"/>
        <w:jc w:val="both"/>
        <w:rPr>
          <w:b/>
          <w:bCs/>
          <w:sz w:val="22"/>
          <w:szCs w:val="22"/>
          <w:lang w:val="cs-CZ"/>
        </w:rPr>
      </w:pPr>
      <w:r w:rsidRPr="00C37311">
        <w:rPr>
          <w:b/>
          <w:bCs/>
          <w:sz w:val="22"/>
          <w:szCs w:val="22"/>
          <w:lang w:val="cs-CZ"/>
        </w:rPr>
        <w:t>NEŽÁDOUCÍ ÚČINKY</w:t>
      </w:r>
    </w:p>
    <w:p w:rsidR="00287260" w:rsidRPr="00C37311" w:rsidRDefault="004A0E2E" w:rsidP="00E83872">
      <w:pPr>
        <w:spacing w:line="276" w:lineRule="auto"/>
        <w:ind w:right="-2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 xml:space="preserve">Peniciliny a </w:t>
      </w:r>
      <w:proofErr w:type="spellStart"/>
      <w:r w:rsidRPr="00C37311">
        <w:rPr>
          <w:sz w:val="22"/>
          <w:szCs w:val="22"/>
          <w:lang w:val="cs-CZ"/>
        </w:rPr>
        <w:t>cephalosporiny</w:t>
      </w:r>
      <w:proofErr w:type="spellEnd"/>
      <w:r w:rsidRPr="00C37311">
        <w:rPr>
          <w:sz w:val="22"/>
          <w:szCs w:val="22"/>
          <w:lang w:val="cs-CZ"/>
        </w:rPr>
        <w:t xml:space="preserve"> mohou po podání vyvolat hypersenzitivní reakci.</w:t>
      </w:r>
      <w:r w:rsidRPr="00E83872">
        <w:rPr>
          <w:sz w:val="22"/>
          <w:szCs w:val="22"/>
          <w:lang w:val="cs-CZ"/>
        </w:rPr>
        <w:t xml:space="preserve"> </w:t>
      </w:r>
      <w:r w:rsidRPr="00C37311">
        <w:rPr>
          <w:sz w:val="22"/>
          <w:szCs w:val="22"/>
          <w:lang w:val="cs-CZ"/>
        </w:rPr>
        <w:t>Tyto reakce nezávisejí na velikosti dávky.</w:t>
      </w:r>
      <w:r w:rsidRPr="00E83872">
        <w:rPr>
          <w:sz w:val="22"/>
          <w:szCs w:val="22"/>
          <w:lang w:val="cs-CZ"/>
        </w:rPr>
        <w:t xml:space="preserve"> </w:t>
      </w:r>
      <w:r w:rsidR="00DC56BB" w:rsidRPr="00E83872">
        <w:rPr>
          <w:color w:val="222222"/>
          <w:sz w:val="22"/>
          <w:szCs w:val="22"/>
          <w:lang w:val="cs-CZ"/>
        </w:rPr>
        <w:t xml:space="preserve">Mohou se vyskytnout alergické reakce (např. </w:t>
      </w:r>
      <w:r w:rsidR="00DC56BB" w:rsidRPr="00E83872">
        <w:rPr>
          <w:b/>
          <w:color w:val="222222"/>
          <w:sz w:val="22"/>
          <w:szCs w:val="22"/>
          <w:lang w:val="cs-CZ"/>
        </w:rPr>
        <w:t>k</w:t>
      </w:r>
      <w:r w:rsidR="00DC56BB" w:rsidRPr="00E83872">
        <w:rPr>
          <w:color w:val="222222"/>
          <w:sz w:val="22"/>
          <w:szCs w:val="22"/>
          <w:lang w:val="cs-CZ"/>
        </w:rPr>
        <w:t>ožní reakce, anafylaxe), které mohou být občas závažné.</w:t>
      </w:r>
      <w:r w:rsidR="008141BC">
        <w:rPr>
          <w:color w:val="222222"/>
          <w:sz w:val="22"/>
          <w:szCs w:val="22"/>
          <w:lang w:val="cs-CZ"/>
        </w:rPr>
        <w:t xml:space="preserve"> </w:t>
      </w:r>
      <w:r w:rsidRPr="00C37311">
        <w:rPr>
          <w:sz w:val="22"/>
          <w:szCs w:val="22"/>
          <w:lang w:val="cs-CZ"/>
        </w:rPr>
        <w:t>Jestliže zaznamenáte jakékoliv závažné nežádoucí účinky či jiné</w:t>
      </w:r>
      <w:r w:rsidR="00DC56BB" w:rsidRPr="00C37311">
        <w:rPr>
          <w:sz w:val="22"/>
          <w:szCs w:val="22"/>
          <w:lang w:val="cs-CZ"/>
        </w:rPr>
        <w:t xml:space="preserve"> reakce</w:t>
      </w:r>
      <w:r w:rsidRPr="00C37311">
        <w:rPr>
          <w:sz w:val="22"/>
          <w:szCs w:val="22"/>
          <w:lang w:val="cs-CZ"/>
        </w:rPr>
        <w:t xml:space="preserve">, které nejsou uvedeny v této příbalové informaci, oznamte to prosím vašemu veterinárnímu lékaři. </w:t>
      </w:r>
    </w:p>
    <w:p w:rsidR="00287260" w:rsidRPr="00C37311" w:rsidRDefault="00287260" w:rsidP="00E83872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</w:p>
    <w:p w:rsidR="00287260" w:rsidRPr="00E83872" w:rsidRDefault="004A0E2E" w:rsidP="00E83872">
      <w:pPr>
        <w:numPr>
          <w:ilvl w:val="0"/>
          <w:numId w:val="6"/>
        </w:numPr>
        <w:spacing w:line="276" w:lineRule="auto"/>
        <w:ind w:hanging="720"/>
        <w:jc w:val="both"/>
        <w:rPr>
          <w:b/>
          <w:bCs/>
          <w:sz w:val="22"/>
          <w:szCs w:val="22"/>
          <w:lang w:val="cs-CZ"/>
        </w:rPr>
      </w:pPr>
      <w:r w:rsidRPr="00C37311">
        <w:rPr>
          <w:b/>
          <w:bCs/>
          <w:sz w:val="22"/>
          <w:szCs w:val="22"/>
          <w:lang w:val="cs-CZ"/>
        </w:rPr>
        <w:t>CÍLOVÝ DRUH ZVÍŘAT</w:t>
      </w:r>
    </w:p>
    <w:p w:rsidR="00287260" w:rsidRPr="00E83872" w:rsidRDefault="004A0E2E" w:rsidP="00E83872">
      <w:pPr>
        <w:spacing w:line="276" w:lineRule="auto"/>
        <w:jc w:val="both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>Prasata (</w:t>
      </w:r>
      <w:r w:rsidR="000F6C02" w:rsidRPr="00C37311">
        <w:rPr>
          <w:sz w:val="22"/>
          <w:szCs w:val="22"/>
          <w:lang w:val="cs-CZ"/>
        </w:rPr>
        <w:t xml:space="preserve">odstavená </w:t>
      </w:r>
      <w:proofErr w:type="gramStart"/>
      <w:r w:rsidR="000F6C02" w:rsidRPr="00C37311">
        <w:rPr>
          <w:sz w:val="22"/>
          <w:szCs w:val="22"/>
          <w:lang w:val="cs-CZ"/>
        </w:rPr>
        <w:t>selata</w:t>
      </w:r>
      <w:r w:rsidR="000F6C02" w:rsidRPr="00C37311" w:rsidDel="000F6C02">
        <w:rPr>
          <w:sz w:val="22"/>
          <w:szCs w:val="22"/>
          <w:lang w:val="cs-CZ"/>
        </w:rPr>
        <w:t xml:space="preserve"> </w:t>
      </w:r>
      <w:r w:rsidRPr="00C37311">
        <w:rPr>
          <w:sz w:val="22"/>
          <w:szCs w:val="22"/>
          <w:lang w:val="cs-CZ"/>
        </w:rPr>
        <w:t>)</w:t>
      </w:r>
      <w:proofErr w:type="gramEnd"/>
      <w:r w:rsidRPr="00C37311">
        <w:rPr>
          <w:sz w:val="22"/>
          <w:szCs w:val="22"/>
          <w:lang w:val="cs-CZ"/>
        </w:rPr>
        <w:t xml:space="preserve"> </w:t>
      </w:r>
    </w:p>
    <w:p w:rsidR="00287260" w:rsidRPr="00E83872" w:rsidRDefault="00287260" w:rsidP="00E83872">
      <w:pPr>
        <w:spacing w:line="276" w:lineRule="auto"/>
        <w:jc w:val="both"/>
        <w:rPr>
          <w:sz w:val="22"/>
          <w:szCs w:val="22"/>
          <w:lang w:val="cs-CZ"/>
        </w:rPr>
      </w:pPr>
    </w:p>
    <w:p w:rsidR="00287260" w:rsidRPr="00E83872" w:rsidRDefault="004A0E2E" w:rsidP="00E83872">
      <w:pPr>
        <w:numPr>
          <w:ilvl w:val="0"/>
          <w:numId w:val="6"/>
        </w:numPr>
        <w:spacing w:line="276" w:lineRule="auto"/>
        <w:ind w:hanging="720"/>
        <w:jc w:val="both"/>
        <w:rPr>
          <w:b/>
          <w:bCs/>
          <w:sz w:val="22"/>
          <w:szCs w:val="22"/>
          <w:lang w:val="cs-CZ"/>
        </w:rPr>
      </w:pPr>
      <w:r w:rsidRPr="00C37311">
        <w:rPr>
          <w:b/>
          <w:bCs/>
          <w:sz w:val="22"/>
          <w:szCs w:val="22"/>
          <w:lang w:val="cs-CZ"/>
        </w:rPr>
        <w:t xml:space="preserve">DÁVKOVÁNÍ, </w:t>
      </w:r>
      <w:r w:rsidR="00D83DA0" w:rsidRPr="00C37311">
        <w:rPr>
          <w:b/>
          <w:bCs/>
          <w:sz w:val="22"/>
          <w:szCs w:val="22"/>
          <w:lang w:val="cs-CZ"/>
        </w:rPr>
        <w:t xml:space="preserve">PRO KAŽDÝ DRUH, CESTA(Y) A </w:t>
      </w:r>
      <w:proofErr w:type="gramStart"/>
      <w:r w:rsidRPr="00C37311">
        <w:rPr>
          <w:b/>
          <w:bCs/>
          <w:sz w:val="22"/>
          <w:szCs w:val="22"/>
          <w:lang w:val="cs-CZ"/>
        </w:rPr>
        <w:t>ZPŮSOB  PODÁNÍ</w:t>
      </w:r>
      <w:proofErr w:type="gramEnd"/>
      <w:r w:rsidRPr="00C37311">
        <w:rPr>
          <w:b/>
          <w:bCs/>
          <w:sz w:val="22"/>
          <w:szCs w:val="22"/>
          <w:lang w:val="cs-CZ"/>
        </w:rPr>
        <w:t xml:space="preserve"> </w:t>
      </w:r>
    </w:p>
    <w:p w:rsidR="00287260" w:rsidRPr="00E83872" w:rsidRDefault="00FE6918" w:rsidP="00E83872">
      <w:pPr>
        <w:pStyle w:val="Zkladntext"/>
        <w:spacing w:line="276" w:lineRule="auto"/>
        <w:rPr>
          <w:b w:val="0"/>
          <w:bCs w:val="0"/>
          <w:sz w:val="22"/>
          <w:szCs w:val="22"/>
          <w:lang w:val="cs-CZ"/>
        </w:rPr>
      </w:pPr>
      <w:r w:rsidRPr="00C37311">
        <w:rPr>
          <w:b w:val="0"/>
          <w:bCs w:val="0"/>
          <w:sz w:val="22"/>
          <w:szCs w:val="22"/>
          <w:lang w:val="cs-CZ"/>
        </w:rPr>
        <w:t>Peroráln</w:t>
      </w:r>
      <w:r w:rsidR="00D35A27" w:rsidRPr="00C37311">
        <w:rPr>
          <w:b w:val="0"/>
          <w:bCs w:val="0"/>
          <w:sz w:val="22"/>
          <w:szCs w:val="22"/>
          <w:lang w:val="cs-CZ"/>
        </w:rPr>
        <w:t>ě</w:t>
      </w:r>
      <w:r w:rsidR="008141BC">
        <w:rPr>
          <w:b w:val="0"/>
          <w:bCs w:val="0"/>
          <w:sz w:val="22"/>
          <w:szCs w:val="22"/>
          <w:lang w:val="cs-CZ"/>
        </w:rPr>
        <w:t xml:space="preserve"> </w:t>
      </w:r>
      <w:r w:rsidR="00D35A27" w:rsidRPr="00C37311">
        <w:rPr>
          <w:b w:val="0"/>
          <w:bCs w:val="0"/>
          <w:sz w:val="22"/>
          <w:szCs w:val="22"/>
          <w:lang w:val="cs-CZ"/>
        </w:rPr>
        <w:t>v</w:t>
      </w:r>
      <w:r w:rsidR="004A0E2E" w:rsidRPr="00C37311">
        <w:rPr>
          <w:b w:val="0"/>
          <w:bCs w:val="0"/>
          <w:sz w:val="22"/>
          <w:szCs w:val="22"/>
          <w:lang w:val="cs-CZ"/>
        </w:rPr>
        <w:t xml:space="preserve"> </w:t>
      </w:r>
      <w:proofErr w:type="spellStart"/>
      <w:r w:rsidR="004A0E2E" w:rsidRPr="00C37311">
        <w:rPr>
          <w:b w:val="0"/>
          <w:bCs w:val="0"/>
          <w:sz w:val="22"/>
          <w:szCs w:val="22"/>
          <w:lang w:val="cs-CZ"/>
        </w:rPr>
        <w:t>medikovaném</w:t>
      </w:r>
      <w:proofErr w:type="spellEnd"/>
      <w:r w:rsidR="004A0E2E" w:rsidRPr="00C37311">
        <w:rPr>
          <w:b w:val="0"/>
          <w:bCs w:val="0"/>
          <w:sz w:val="22"/>
          <w:szCs w:val="22"/>
          <w:lang w:val="cs-CZ"/>
        </w:rPr>
        <w:t xml:space="preserve"> krmivu.</w:t>
      </w:r>
    </w:p>
    <w:p w:rsidR="00287260" w:rsidRPr="00E83872" w:rsidRDefault="00287260" w:rsidP="00E83872">
      <w:pPr>
        <w:pStyle w:val="Zkladntext"/>
        <w:spacing w:line="276" w:lineRule="auto"/>
        <w:rPr>
          <w:b w:val="0"/>
          <w:bCs w:val="0"/>
          <w:sz w:val="22"/>
          <w:szCs w:val="22"/>
          <w:lang w:val="cs-CZ"/>
        </w:rPr>
      </w:pPr>
    </w:p>
    <w:p w:rsidR="00D35A27" w:rsidRPr="00E83872" w:rsidRDefault="00D35A27" w:rsidP="00E83872">
      <w:pPr>
        <w:pStyle w:val="Zkladntextodsazen"/>
        <w:spacing w:line="276" w:lineRule="auto"/>
        <w:rPr>
          <w:sz w:val="22"/>
          <w:szCs w:val="22"/>
          <w:lang w:val="cs-CZ"/>
        </w:rPr>
      </w:pPr>
      <w:r w:rsidRPr="00E83872">
        <w:rPr>
          <w:bCs/>
          <w:sz w:val="22"/>
          <w:szCs w:val="22"/>
          <w:lang w:val="cs-CZ"/>
        </w:rPr>
        <w:t xml:space="preserve">Dávka: </w:t>
      </w:r>
    </w:p>
    <w:p w:rsidR="00D35A27" w:rsidRPr="00E83872" w:rsidRDefault="00D35A27" w:rsidP="00E83872">
      <w:pPr>
        <w:pStyle w:val="Zkladntextodsazen"/>
        <w:spacing w:line="276" w:lineRule="auto"/>
        <w:rPr>
          <w:sz w:val="22"/>
          <w:szCs w:val="22"/>
          <w:lang w:val="cs-CZ"/>
        </w:rPr>
      </w:pPr>
      <w:r w:rsidRPr="00E83872">
        <w:rPr>
          <w:sz w:val="22"/>
          <w:szCs w:val="22"/>
          <w:lang w:val="cs-CZ"/>
        </w:rPr>
        <w:t>15 mg amoxicilinu /kg ž.hm./den (což odpovídá 100 mg léčivého přípravku/ž.</w:t>
      </w:r>
      <w:proofErr w:type="gramStart"/>
      <w:r w:rsidRPr="00E83872">
        <w:rPr>
          <w:sz w:val="22"/>
          <w:szCs w:val="22"/>
          <w:lang w:val="cs-CZ"/>
        </w:rPr>
        <w:t>hm./den</w:t>
      </w:r>
      <w:proofErr w:type="gramEnd"/>
      <w:r w:rsidRPr="00E83872">
        <w:rPr>
          <w:sz w:val="22"/>
          <w:szCs w:val="22"/>
          <w:lang w:val="cs-CZ"/>
        </w:rPr>
        <w:t xml:space="preserve">) po dobu 15 dní. </w:t>
      </w:r>
    </w:p>
    <w:p w:rsidR="007D3FF5" w:rsidRPr="00E83872" w:rsidRDefault="007D3FF5" w:rsidP="00E83872">
      <w:pPr>
        <w:pStyle w:val="Zkladntext"/>
        <w:spacing w:line="276" w:lineRule="auto"/>
        <w:rPr>
          <w:b w:val="0"/>
          <w:bCs w:val="0"/>
          <w:sz w:val="22"/>
          <w:szCs w:val="22"/>
          <w:lang w:val="cs-CZ"/>
        </w:rPr>
      </w:pPr>
      <w:r w:rsidRPr="00E83872">
        <w:rPr>
          <w:b w:val="0"/>
          <w:bCs w:val="0"/>
          <w:sz w:val="22"/>
          <w:szCs w:val="22"/>
          <w:lang w:val="cs-CZ"/>
        </w:rPr>
        <w:t>Vzhledem k formě podání a skutečnosti, že spotřeba vody a krmiva závisí na klinickém stavu zvířete</w:t>
      </w:r>
      <w:r w:rsidR="008141BC">
        <w:rPr>
          <w:b w:val="0"/>
          <w:bCs w:val="0"/>
          <w:sz w:val="22"/>
          <w:szCs w:val="22"/>
          <w:lang w:val="cs-CZ"/>
        </w:rPr>
        <w:t xml:space="preserve"> </w:t>
      </w:r>
      <w:r w:rsidR="008141BC" w:rsidRPr="00E83872">
        <w:rPr>
          <w:b w:val="0"/>
          <w:bCs w:val="0"/>
          <w:sz w:val="22"/>
          <w:szCs w:val="22"/>
          <w:lang w:val="cs-CZ"/>
        </w:rPr>
        <w:t xml:space="preserve">je pro zajištění správného dávkování vhodné upravit koncentraci </w:t>
      </w:r>
      <w:proofErr w:type="spellStart"/>
      <w:r w:rsidR="008141BC" w:rsidRPr="00E83872">
        <w:rPr>
          <w:b w:val="0"/>
          <w:bCs w:val="0"/>
          <w:sz w:val="22"/>
          <w:szCs w:val="22"/>
          <w:lang w:val="cs-CZ"/>
        </w:rPr>
        <w:t>antimikrobika</w:t>
      </w:r>
      <w:proofErr w:type="spellEnd"/>
      <w:r w:rsidRPr="00E83872">
        <w:rPr>
          <w:b w:val="0"/>
          <w:bCs w:val="0"/>
          <w:sz w:val="22"/>
          <w:szCs w:val="22"/>
          <w:lang w:val="cs-CZ"/>
        </w:rPr>
        <w:t xml:space="preserve"> s ohledem na denní spotřebu krmiv</w:t>
      </w:r>
      <w:r w:rsidR="008141BC">
        <w:rPr>
          <w:b w:val="0"/>
          <w:bCs w:val="0"/>
          <w:sz w:val="22"/>
          <w:szCs w:val="22"/>
          <w:lang w:val="cs-CZ"/>
        </w:rPr>
        <w:t>a</w:t>
      </w:r>
      <w:r w:rsidRPr="00E83872">
        <w:rPr>
          <w:b w:val="0"/>
          <w:bCs w:val="0"/>
          <w:sz w:val="22"/>
          <w:szCs w:val="22"/>
          <w:lang w:val="cs-CZ"/>
        </w:rPr>
        <w:t xml:space="preserve"> a vody. Pro výpočet dávky léčivého přípravku lze použít následující vzorec:</w:t>
      </w:r>
    </w:p>
    <w:p w:rsidR="00287260" w:rsidRPr="00C37311" w:rsidRDefault="00287260" w:rsidP="00E83872">
      <w:pPr>
        <w:pStyle w:val="Zkladntext"/>
        <w:spacing w:line="276" w:lineRule="auto"/>
        <w:rPr>
          <w:b w:val="0"/>
          <w:bCs w:val="0"/>
          <w:sz w:val="22"/>
          <w:szCs w:val="22"/>
          <w:lang w:val="cs-CZ"/>
        </w:rPr>
      </w:pPr>
    </w:p>
    <w:tbl>
      <w:tblPr>
        <w:tblW w:w="932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686"/>
        <w:gridCol w:w="650"/>
        <w:gridCol w:w="3468"/>
        <w:gridCol w:w="1517"/>
      </w:tblGrid>
      <w:tr w:rsidR="008334F2" w:rsidRPr="00C37311" w:rsidTr="009D7DF5">
        <w:tc>
          <w:tcPr>
            <w:tcW w:w="3686" w:type="dxa"/>
            <w:vAlign w:val="center"/>
          </w:tcPr>
          <w:p w:rsidR="008334F2" w:rsidRPr="00E83872" w:rsidRDefault="008334F2" w:rsidP="00E83872">
            <w:pPr>
              <w:spacing w:line="276" w:lineRule="auto"/>
              <w:jc w:val="center"/>
              <w:rPr>
                <w:sz w:val="22"/>
                <w:szCs w:val="22"/>
                <w:lang w:val="cs-CZ"/>
              </w:rPr>
            </w:pPr>
            <w:r w:rsidRPr="00C37311">
              <w:rPr>
                <w:sz w:val="22"/>
                <w:szCs w:val="22"/>
                <w:lang w:val="cs-CZ"/>
              </w:rPr>
              <w:t xml:space="preserve">100 mg </w:t>
            </w:r>
            <w:proofErr w:type="spellStart"/>
            <w:r w:rsidRPr="00C37311">
              <w:rPr>
                <w:sz w:val="22"/>
                <w:szCs w:val="22"/>
                <w:lang w:val="cs-CZ"/>
              </w:rPr>
              <w:t>premix</w:t>
            </w:r>
            <w:r w:rsidR="008141BC">
              <w:rPr>
                <w:sz w:val="22"/>
                <w:szCs w:val="22"/>
                <w:lang w:val="cs-CZ"/>
              </w:rPr>
              <w:t>u</w:t>
            </w:r>
            <w:proofErr w:type="spellEnd"/>
            <w:r w:rsidRPr="00C37311">
              <w:rPr>
                <w:sz w:val="22"/>
                <w:szCs w:val="22"/>
                <w:lang w:val="cs-CZ"/>
              </w:rPr>
              <w:t xml:space="preserve"> /</w:t>
            </w:r>
            <w:proofErr w:type="gramStart"/>
            <w:r w:rsidRPr="00C37311">
              <w:rPr>
                <w:sz w:val="22"/>
                <w:szCs w:val="22"/>
                <w:lang w:val="cs-CZ"/>
              </w:rPr>
              <w:t>kg ž.hm</w:t>
            </w:r>
            <w:proofErr w:type="gramEnd"/>
            <w:r w:rsidRPr="00C37311">
              <w:rPr>
                <w:sz w:val="22"/>
                <w:szCs w:val="22"/>
                <w:lang w:val="cs-CZ"/>
              </w:rPr>
              <w:t>. / den</w:t>
            </w:r>
          </w:p>
        </w:tc>
        <w:tc>
          <w:tcPr>
            <w:tcW w:w="650" w:type="dxa"/>
            <w:vAlign w:val="center"/>
          </w:tcPr>
          <w:p w:rsidR="008334F2" w:rsidRPr="00E83872" w:rsidRDefault="008334F2" w:rsidP="00E83872">
            <w:pPr>
              <w:tabs>
                <w:tab w:val="num" w:pos="0"/>
              </w:tabs>
              <w:spacing w:line="276" w:lineRule="auto"/>
              <w:rPr>
                <w:sz w:val="22"/>
                <w:szCs w:val="22"/>
                <w:lang w:val="cs-CZ"/>
              </w:rPr>
            </w:pPr>
            <w:r w:rsidRPr="00E83872">
              <w:rPr>
                <w:sz w:val="22"/>
                <w:szCs w:val="22"/>
                <w:lang w:val="cs-CZ"/>
              </w:rPr>
              <w:t xml:space="preserve"> X</w:t>
            </w:r>
          </w:p>
        </w:tc>
        <w:tc>
          <w:tcPr>
            <w:tcW w:w="3468" w:type="dxa"/>
            <w:vAlign w:val="center"/>
          </w:tcPr>
          <w:p w:rsidR="008334F2" w:rsidRPr="00E83872" w:rsidRDefault="008334F2" w:rsidP="00E83872">
            <w:pPr>
              <w:spacing w:line="276" w:lineRule="auto"/>
              <w:jc w:val="center"/>
              <w:rPr>
                <w:sz w:val="22"/>
                <w:szCs w:val="22"/>
                <w:lang w:val="cs-CZ"/>
              </w:rPr>
            </w:pPr>
            <w:r w:rsidRPr="00C37311">
              <w:rPr>
                <w:sz w:val="22"/>
                <w:szCs w:val="22"/>
                <w:lang w:val="cs-CZ"/>
              </w:rPr>
              <w:t xml:space="preserve">průměrná </w:t>
            </w:r>
            <w:r w:rsidR="00D35A27" w:rsidRPr="00C37311">
              <w:rPr>
                <w:sz w:val="22"/>
                <w:szCs w:val="22"/>
                <w:lang w:val="cs-CZ"/>
              </w:rPr>
              <w:t xml:space="preserve">hmotnost </w:t>
            </w:r>
            <w:r w:rsidRPr="00C37311">
              <w:rPr>
                <w:sz w:val="22"/>
                <w:szCs w:val="22"/>
                <w:lang w:val="cs-CZ"/>
              </w:rPr>
              <w:t>léčených zvířat (kg)</w:t>
            </w:r>
          </w:p>
        </w:tc>
        <w:tc>
          <w:tcPr>
            <w:tcW w:w="1517" w:type="dxa"/>
            <w:vAlign w:val="center"/>
          </w:tcPr>
          <w:p w:rsidR="008334F2" w:rsidRPr="00E83872" w:rsidRDefault="008334F2" w:rsidP="00E83872">
            <w:pPr>
              <w:tabs>
                <w:tab w:val="num" w:pos="426"/>
              </w:tabs>
              <w:spacing w:line="276" w:lineRule="auto"/>
              <w:ind w:left="426"/>
              <w:rPr>
                <w:sz w:val="22"/>
                <w:szCs w:val="22"/>
                <w:lang w:val="cs-CZ"/>
              </w:rPr>
            </w:pPr>
          </w:p>
        </w:tc>
      </w:tr>
      <w:tr w:rsidR="008334F2" w:rsidRPr="00C37311" w:rsidTr="009D7DF5">
        <w:tc>
          <w:tcPr>
            <w:tcW w:w="7804" w:type="dxa"/>
            <w:gridSpan w:val="3"/>
            <w:vAlign w:val="center"/>
          </w:tcPr>
          <w:p w:rsidR="008334F2" w:rsidRPr="00E83872" w:rsidRDefault="008334F2" w:rsidP="00E83872">
            <w:pPr>
              <w:spacing w:line="276" w:lineRule="auto"/>
              <w:jc w:val="center"/>
              <w:rPr>
                <w:sz w:val="22"/>
                <w:szCs w:val="22"/>
                <w:lang w:val="cs-CZ"/>
              </w:rPr>
            </w:pPr>
            <w:r w:rsidRPr="00E83872">
              <w:rPr>
                <w:sz w:val="22"/>
                <w:szCs w:val="22"/>
                <w:lang w:val="cs-CZ"/>
              </w:rPr>
              <w:t>--------------------------------------------------------------</w:t>
            </w:r>
          </w:p>
        </w:tc>
        <w:tc>
          <w:tcPr>
            <w:tcW w:w="1517" w:type="dxa"/>
            <w:vAlign w:val="center"/>
          </w:tcPr>
          <w:p w:rsidR="008334F2" w:rsidRPr="00E83872" w:rsidRDefault="008334F2" w:rsidP="00E83872">
            <w:pPr>
              <w:tabs>
                <w:tab w:val="num" w:pos="0"/>
              </w:tabs>
              <w:spacing w:line="276" w:lineRule="auto"/>
              <w:ind w:left="3"/>
              <w:jc w:val="center"/>
              <w:rPr>
                <w:sz w:val="22"/>
                <w:szCs w:val="22"/>
                <w:lang w:val="cs-CZ"/>
              </w:rPr>
            </w:pPr>
            <w:r w:rsidRPr="00E83872">
              <w:rPr>
                <w:sz w:val="22"/>
                <w:szCs w:val="22"/>
                <w:lang w:val="cs-CZ"/>
              </w:rPr>
              <w:t>=</w:t>
            </w:r>
            <w:r w:rsidR="00D35A27" w:rsidRPr="00E83872">
              <w:rPr>
                <w:sz w:val="22"/>
                <w:szCs w:val="22"/>
                <w:lang w:val="cs-CZ"/>
              </w:rPr>
              <w:t xml:space="preserve"> </w:t>
            </w:r>
            <w:r w:rsidR="008141BC">
              <w:rPr>
                <w:sz w:val="22"/>
                <w:szCs w:val="22"/>
                <w:lang w:val="cs-CZ"/>
              </w:rPr>
              <w:t>…</w:t>
            </w:r>
            <w:r w:rsidR="00D35A27" w:rsidRPr="00E83872">
              <w:rPr>
                <w:sz w:val="22"/>
                <w:szCs w:val="22"/>
                <w:lang w:val="cs-CZ"/>
              </w:rPr>
              <w:t xml:space="preserve">mg </w:t>
            </w:r>
            <w:proofErr w:type="spellStart"/>
            <w:r w:rsidR="00D35A27" w:rsidRPr="00C37311">
              <w:rPr>
                <w:sz w:val="22"/>
                <w:szCs w:val="22"/>
                <w:lang w:val="cs-CZ"/>
              </w:rPr>
              <w:t>premix</w:t>
            </w:r>
            <w:r w:rsidR="008141BC">
              <w:rPr>
                <w:sz w:val="22"/>
                <w:szCs w:val="22"/>
                <w:lang w:val="cs-CZ"/>
              </w:rPr>
              <w:t>u</w:t>
            </w:r>
            <w:proofErr w:type="spellEnd"/>
            <w:r w:rsidR="00D35A27" w:rsidRPr="00C37311">
              <w:rPr>
                <w:sz w:val="22"/>
                <w:szCs w:val="22"/>
                <w:lang w:val="cs-CZ"/>
              </w:rPr>
              <w:t>/kg krmiva</w:t>
            </w:r>
          </w:p>
        </w:tc>
      </w:tr>
      <w:tr w:rsidR="008334F2" w:rsidRPr="00C37311" w:rsidTr="009D7DF5">
        <w:tc>
          <w:tcPr>
            <w:tcW w:w="7804" w:type="dxa"/>
            <w:gridSpan w:val="3"/>
          </w:tcPr>
          <w:p w:rsidR="008334F2" w:rsidRPr="00E83872" w:rsidRDefault="008334F2" w:rsidP="00E83872">
            <w:pPr>
              <w:tabs>
                <w:tab w:val="num" w:pos="426"/>
              </w:tabs>
              <w:spacing w:line="276" w:lineRule="auto"/>
              <w:ind w:left="426"/>
              <w:jc w:val="center"/>
              <w:rPr>
                <w:sz w:val="22"/>
                <w:szCs w:val="22"/>
                <w:lang w:val="cs-CZ"/>
              </w:rPr>
            </w:pPr>
            <w:r w:rsidRPr="00C37311">
              <w:rPr>
                <w:sz w:val="22"/>
                <w:szCs w:val="22"/>
                <w:lang w:val="cs-CZ"/>
              </w:rPr>
              <w:t>průměrný denní příjem krmiva (kg)</w:t>
            </w:r>
            <w:r w:rsidR="00D35A27" w:rsidRPr="00C37311">
              <w:rPr>
                <w:sz w:val="22"/>
                <w:szCs w:val="22"/>
                <w:lang w:val="cs-CZ"/>
              </w:rPr>
              <w:t xml:space="preserve"> pro toto</w:t>
            </w:r>
          </w:p>
        </w:tc>
        <w:tc>
          <w:tcPr>
            <w:tcW w:w="1517" w:type="dxa"/>
          </w:tcPr>
          <w:p w:rsidR="008334F2" w:rsidRPr="00E83872" w:rsidRDefault="008334F2" w:rsidP="00E83872">
            <w:pPr>
              <w:tabs>
                <w:tab w:val="num" w:pos="426"/>
              </w:tabs>
              <w:spacing w:line="276" w:lineRule="auto"/>
              <w:ind w:left="426"/>
              <w:rPr>
                <w:sz w:val="22"/>
                <w:szCs w:val="22"/>
                <w:lang w:val="cs-CZ"/>
              </w:rPr>
            </w:pPr>
          </w:p>
        </w:tc>
      </w:tr>
    </w:tbl>
    <w:p w:rsidR="008334F2" w:rsidRPr="00E83872" w:rsidRDefault="008334F2" w:rsidP="00E83872">
      <w:pPr>
        <w:pStyle w:val="Zkladntext"/>
        <w:spacing w:line="276" w:lineRule="auto"/>
        <w:rPr>
          <w:b w:val="0"/>
          <w:bCs w:val="0"/>
          <w:sz w:val="22"/>
          <w:szCs w:val="22"/>
          <w:lang w:val="cs-CZ"/>
        </w:rPr>
      </w:pPr>
    </w:p>
    <w:p w:rsidR="00287260" w:rsidRPr="008141BC" w:rsidRDefault="00D35A27" w:rsidP="00E83872">
      <w:pPr>
        <w:pStyle w:val="Zkladntext"/>
        <w:spacing w:line="276" w:lineRule="auto"/>
        <w:rPr>
          <w:b w:val="0"/>
          <w:bCs w:val="0"/>
          <w:sz w:val="22"/>
          <w:szCs w:val="22"/>
          <w:lang w:val="cs-CZ"/>
        </w:rPr>
      </w:pPr>
      <w:r w:rsidRPr="008141BC">
        <w:rPr>
          <w:sz w:val="22"/>
          <w:szCs w:val="22"/>
          <w:lang w:val="cs-CZ"/>
        </w:rPr>
        <w:t xml:space="preserve">Živá </w:t>
      </w:r>
      <w:r w:rsidR="007D3FF5" w:rsidRPr="00E83872">
        <w:rPr>
          <w:b w:val="0"/>
          <w:bCs w:val="0"/>
          <w:sz w:val="22"/>
          <w:szCs w:val="22"/>
          <w:lang w:val="cs-CZ"/>
        </w:rPr>
        <w:t xml:space="preserve">hmotnost léčených zvířat by měla být přesně stanovena, aby se zabránilo </w:t>
      </w:r>
      <w:proofErr w:type="spellStart"/>
      <w:r w:rsidR="007D3FF5" w:rsidRPr="00E83872">
        <w:rPr>
          <w:b w:val="0"/>
          <w:bCs w:val="0"/>
          <w:sz w:val="22"/>
          <w:szCs w:val="22"/>
          <w:lang w:val="cs-CZ"/>
        </w:rPr>
        <w:t>poddávkování</w:t>
      </w:r>
      <w:proofErr w:type="spellEnd"/>
      <w:r w:rsidR="007D3FF5" w:rsidRPr="00E83872">
        <w:rPr>
          <w:b w:val="0"/>
          <w:bCs w:val="0"/>
          <w:sz w:val="22"/>
          <w:szCs w:val="22"/>
          <w:lang w:val="cs-CZ"/>
        </w:rPr>
        <w:t>.</w:t>
      </w:r>
    </w:p>
    <w:p w:rsidR="00287260" w:rsidRPr="00C37311" w:rsidRDefault="00287260" w:rsidP="00E83872">
      <w:pPr>
        <w:spacing w:line="276" w:lineRule="auto"/>
        <w:rPr>
          <w:sz w:val="22"/>
          <w:szCs w:val="22"/>
          <w:lang w:val="cs-CZ"/>
        </w:rPr>
      </w:pPr>
    </w:p>
    <w:p w:rsidR="00287260" w:rsidRPr="00E83872" w:rsidRDefault="004A0E2E" w:rsidP="00E83872">
      <w:pPr>
        <w:keepNext/>
        <w:numPr>
          <w:ilvl w:val="0"/>
          <w:numId w:val="6"/>
        </w:numPr>
        <w:spacing w:line="276" w:lineRule="auto"/>
        <w:ind w:hanging="720"/>
        <w:jc w:val="both"/>
        <w:rPr>
          <w:b/>
          <w:bCs/>
          <w:sz w:val="22"/>
          <w:szCs w:val="22"/>
          <w:lang w:val="cs-CZ"/>
        </w:rPr>
      </w:pPr>
      <w:r w:rsidRPr="00C37311">
        <w:rPr>
          <w:b/>
          <w:bCs/>
          <w:sz w:val="22"/>
          <w:szCs w:val="22"/>
          <w:lang w:val="cs-CZ"/>
        </w:rPr>
        <w:t>POKYNY PRO SPRÁVNÉ PODÁNÍ</w:t>
      </w:r>
    </w:p>
    <w:p w:rsidR="00A017F1" w:rsidRPr="00C37311" w:rsidRDefault="00A017F1" w:rsidP="00E83872">
      <w:pPr>
        <w:keepNext/>
        <w:spacing w:line="276" w:lineRule="auto"/>
        <w:jc w:val="both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 xml:space="preserve">Při </w:t>
      </w:r>
      <w:r w:rsidR="00E8140A" w:rsidRPr="00E83872">
        <w:rPr>
          <w:bCs/>
          <w:sz w:val="22"/>
          <w:szCs w:val="22"/>
          <w:lang w:val="cs-CZ"/>
        </w:rPr>
        <w:t>standardním postupu</w:t>
      </w:r>
      <w:r w:rsidR="00E8140A" w:rsidRPr="00E83872">
        <w:rPr>
          <w:b/>
          <w:bCs/>
          <w:sz w:val="22"/>
          <w:szCs w:val="22"/>
          <w:lang w:val="cs-CZ"/>
        </w:rPr>
        <w:t xml:space="preserve"> </w:t>
      </w:r>
      <w:r w:rsidRPr="00C37311">
        <w:rPr>
          <w:sz w:val="22"/>
          <w:szCs w:val="22"/>
          <w:lang w:val="cs-CZ"/>
        </w:rPr>
        <w:t>se zamíchají 2-3 kg přípravku (</w:t>
      </w:r>
      <w:proofErr w:type="spellStart"/>
      <w:r w:rsidRPr="00C37311">
        <w:rPr>
          <w:sz w:val="22"/>
          <w:szCs w:val="22"/>
          <w:lang w:val="cs-CZ"/>
        </w:rPr>
        <w:t>Zoobiotic</w:t>
      </w:r>
      <w:proofErr w:type="spellEnd"/>
      <w:r w:rsidRPr="00C37311">
        <w:rPr>
          <w:sz w:val="22"/>
          <w:szCs w:val="22"/>
          <w:lang w:val="cs-CZ"/>
        </w:rPr>
        <w:t xml:space="preserve"> </w:t>
      </w:r>
      <w:proofErr w:type="spellStart"/>
      <w:r w:rsidRPr="00C37311">
        <w:rPr>
          <w:sz w:val="22"/>
          <w:szCs w:val="22"/>
          <w:lang w:val="cs-CZ"/>
        </w:rPr>
        <w:t>Globulit</w:t>
      </w:r>
      <w:proofErr w:type="spellEnd"/>
      <w:r w:rsidRPr="00C37311">
        <w:rPr>
          <w:sz w:val="22"/>
          <w:szCs w:val="22"/>
          <w:lang w:val="cs-CZ"/>
        </w:rPr>
        <w:t xml:space="preserve"> 1</w:t>
      </w:r>
      <w:r w:rsidRPr="00C37311">
        <w:rPr>
          <w:color w:val="000000"/>
          <w:sz w:val="22"/>
          <w:szCs w:val="22"/>
          <w:lang w:val="cs-CZ"/>
        </w:rPr>
        <w:t xml:space="preserve">50 mg/g </w:t>
      </w:r>
      <w:proofErr w:type="spellStart"/>
      <w:r w:rsidRPr="00C37311">
        <w:rPr>
          <w:color w:val="000000"/>
          <w:sz w:val="22"/>
          <w:szCs w:val="22"/>
          <w:lang w:val="cs-CZ"/>
        </w:rPr>
        <w:t>premix</w:t>
      </w:r>
      <w:proofErr w:type="spellEnd"/>
      <w:r w:rsidRPr="00C37311">
        <w:rPr>
          <w:color w:val="000000"/>
          <w:sz w:val="22"/>
          <w:szCs w:val="22"/>
          <w:lang w:val="cs-CZ"/>
        </w:rPr>
        <w:t xml:space="preserve"> pro </w:t>
      </w:r>
      <w:r w:rsidR="00E8140A" w:rsidRPr="00E83872">
        <w:rPr>
          <w:sz w:val="22"/>
          <w:szCs w:val="22"/>
          <w:lang w:val="cs-CZ"/>
        </w:rPr>
        <w:t>medik</w:t>
      </w:r>
      <w:r w:rsidR="00E8140A" w:rsidRPr="00E83872">
        <w:rPr>
          <w:bCs/>
          <w:sz w:val="22"/>
          <w:szCs w:val="22"/>
          <w:lang w:val="cs-CZ"/>
        </w:rPr>
        <w:t xml:space="preserve">aci </w:t>
      </w:r>
      <w:r w:rsidR="00E8140A" w:rsidRPr="00E83872">
        <w:rPr>
          <w:sz w:val="22"/>
          <w:szCs w:val="22"/>
          <w:lang w:val="cs-CZ"/>
        </w:rPr>
        <w:t>krmiv</w:t>
      </w:r>
      <w:r w:rsidR="00E8140A" w:rsidRPr="00E83872">
        <w:rPr>
          <w:bCs/>
          <w:sz w:val="22"/>
          <w:szCs w:val="22"/>
          <w:lang w:val="cs-CZ"/>
        </w:rPr>
        <w:t>a</w:t>
      </w:r>
      <w:r w:rsidR="00E8140A" w:rsidRPr="00E83872">
        <w:rPr>
          <w:sz w:val="22"/>
          <w:szCs w:val="22"/>
          <w:lang w:val="cs-CZ"/>
        </w:rPr>
        <w:t xml:space="preserve"> </w:t>
      </w:r>
      <w:r w:rsidRPr="00C37311">
        <w:rPr>
          <w:sz w:val="22"/>
          <w:szCs w:val="22"/>
          <w:lang w:val="cs-CZ"/>
        </w:rPr>
        <w:t xml:space="preserve">pro prasata) do 5 kg </w:t>
      </w:r>
      <w:proofErr w:type="spellStart"/>
      <w:r w:rsidRPr="00C37311">
        <w:rPr>
          <w:sz w:val="22"/>
          <w:szCs w:val="22"/>
          <w:lang w:val="cs-CZ"/>
        </w:rPr>
        <w:t>nemedikovaného</w:t>
      </w:r>
      <w:proofErr w:type="spellEnd"/>
      <w:r w:rsidRPr="00C37311">
        <w:rPr>
          <w:sz w:val="22"/>
          <w:szCs w:val="22"/>
          <w:lang w:val="cs-CZ"/>
        </w:rPr>
        <w:t xml:space="preserve"> krmiva, řádně se homogenizuje a vmíchá 7-8 kg směsi na tunu krmiva</w:t>
      </w:r>
      <w:r w:rsidR="008141BC">
        <w:rPr>
          <w:sz w:val="22"/>
          <w:szCs w:val="22"/>
          <w:lang w:val="cs-CZ"/>
        </w:rPr>
        <w:t>.</w:t>
      </w:r>
    </w:p>
    <w:p w:rsidR="00BD0615" w:rsidRPr="00C37311" w:rsidRDefault="00BD0615" w:rsidP="00E83872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</w:p>
    <w:p w:rsidR="00BD0615" w:rsidRPr="00C37311" w:rsidRDefault="00BD0615" w:rsidP="00E83872">
      <w:pPr>
        <w:pStyle w:val="Zkladntext"/>
        <w:spacing w:line="276" w:lineRule="auto"/>
        <w:rPr>
          <w:b w:val="0"/>
          <w:bCs w:val="0"/>
          <w:sz w:val="22"/>
          <w:szCs w:val="22"/>
          <w:lang w:val="cs-CZ"/>
        </w:rPr>
      </w:pPr>
      <w:r w:rsidRPr="00C37311">
        <w:rPr>
          <w:b w:val="0"/>
          <w:bCs w:val="0"/>
          <w:sz w:val="22"/>
          <w:szCs w:val="22"/>
          <w:lang w:val="cs-CZ"/>
        </w:rPr>
        <w:t xml:space="preserve">Při granulování </w:t>
      </w:r>
      <w:proofErr w:type="spellStart"/>
      <w:r w:rsidRPr="00C37311">
        <w:rPr>
          <w:b w:val="0"/>
          <w:bCs w:val="0"/>
          <w:sz w:val="22"/>
          <w:szCs w:val="22"/>
          <w:lang w:val="cs-CZ"/>
        </w:rPr>
        <w:t>medikovaného</w:t>
      </w:r>
      <w:proofErr w:type="spellEnd"/>
      <w:r w:rsidRPr="00C37311">
        <w:rPr>
          <w:b w:val="0"/>
          <w:bCs w:val="0"/>
          <w:sz w:val="22"/>
          <w:szCs w:val="22"/>
          <w:lang w:val="cs-CZ"/>
        </w:rPr>
        <w:t xml:space="preserve"> krmiva by teplota neměla přesáhnout 55° C.</w:t>
      </w:r>
    </w:p>
    <w:p w:rsidR="00287260" w:rsidRPr="00C37311" w:rsidRDefault="00287260" w:rsidP="00E83872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</w:p>
    <w:p w:rsidR="00287260" w:rsidRPr="00E83872" w:rsidRDefault="004A0E2E" w:rsidP="00E83872">
      <w:pPr>
        <w:numPr>
          <w:ilvl w:val="0"/>
          <w:numId w:val="6"/>
        </w:numPr>
        <w:spacing w:line="276" w:lineRule="auto"/>
        <w:ind w:hanging="720"/>
        <w:jc w:val="both"/>
        <w:rPr>
          <w:b/>
          <w:bCs/>
          <w:sz w:val="22"/>
          <w:szCs w:val="22"/>
          <w:lang w:val="cs-CZ"/>
        </w:rPr>
      </w:pPr>
      <w:r w:rsidRPr="00C37311">
        <w:rPr>
          <w:b/>
          <w:bCs/>
          <w:sz w:val="22"/>
          <w:szCs w:val="22"/>
          <w:lang w:val="cs-CZ"/>
        </w:rPr>
        <w:t>OCHRANNÁ</w:t>
      </w:r>
      <w:r w:rsidR="00A31AD8" w:rsidRPr="00C37311">
        <w:rPr>
          <w:b/>
          <w:bCs/>
          <w:sz w:val="22"/>
          <w:szCs w:val="22"/>
          <w:lang w:val="cs-CZ"/>
        </w:rPr>
        <w:t>(É)</w:t>
      </w:r>
      <w:r w:rsidRPr="00C37311">
        <w:rPr>
          <w:b/>
          <w:bCs/>
          <w:sz w:val="22"/>
          <w:szCs w:val="22"/>
          <w:lang w:val="cs-CZ"/>
        </w:rPr>
        <w:t xml:space="preserve"> </w:t>
      </w:r>
      <w:proofErr w:type="gramStart"/>
      <w:r w:rsidRPr="00C37311">
        <w:rPr>
          <w:b/>
          <w:bCs/>
          <w:sz w:val="22"/>
          <w:szCs w:val="22"/>
          <w:lang w:val="cs-CZ"/>
        </w:rPr>
        <w:t>LHŮTA</w:t>
      </w:r>
      <w:r w:rsidR="00A31AD8" w:rsidRPr="00C37311">
        <w:rPr>
          <w:b/>
          <w:bCs/>
          <w:sz w:val="22"/>
          <w:szCs w:val="22"/>
          <w:lang w:val="cs-CZ"/>
        </w:rPr>
        <w:t>(Y)</w:t>
      </w:r>
      <w:proofErr w:type="gramEnd"/>
    </w:p>
    <w:p w:rsidR="00287260" w:rsidRPr="00E83872" w:rsidRDefault="004A0E2E" w:rsidP="00E83872">
      <w:pPr>
        <w:spacing w:line="276" w:lineRule="auto"/>
        <w:jc w:val="both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>Maso:</w:t>
      </w:r>
      <w:r w:rsidRPr="00E83872">
        <w:rPr>
          <w:sz w:val="22"/>
          <w:szCs w:val="22"/>
          <w:lang w:val="cs-CZ"/>
        </w:rPr>
        <w:t xml:space="preserve"> </w:t>
      </w:r>
      <w:r w:rsidRPr="00C37311">
        <w:rPr>
          <w:sz w:val="22"/>
          <w:szCs w:val="22"/>
          <w:lang w:val="cs-CZ"/>
        </w:rPr>
        <w:t>7 dní</w:t>
      </w:r>
    </w:p>
    <w:p w:rsidR="00287260" w:rsidRPr="00E83872" w:rsidRDefault="00287260" w:rsidP="00E83872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</w:p>
    <w:p w:rsidR="00287260" w:rsidRPr="00E83872" w:rsidRDefault="004A0E2E" w:rsidP="00E83872">
      <w:pPr>
        <w:numPr>
          <w:ilvl w:val="0"/>
          <w:numId w:val="6"/>
        </w:numPr>
        <w:spacing w:line="276" w:lineRule="auto"/>
        <w:ind w:hanging="720"/>
        <w:jc w:val="both"/>
        <w:rPr>
          <w:b/>
          <w:bCs/>
          <w:sz w:val="22"/>
          <w:szCs w:val="22"/>
          <w:lang w:val="cs-CZ"/>
        </w:rPr>
      </w:pPr>
      <w:r w:rsidRPr="00C37311">
        <w:rPr>
          <w:b/>
          <w:bCs/>
          <w:sz w:val="22"/>
          <w:szCs w:val="22"/>
          <w:lang w:val="cs-CZ"/>
        </w:rPr>
        <w:t xml:space="preserve">ZVLÁŠTNÍ </w:t>
      </w:r>
      <w:r w:rsidR="00770F79" w:rsidRPr="00C37311">
        <w:rPr>
          <w:b/>
          <w:bCs/>
          <w:sz w:val="22"/>
          <w:szCs w:val="22"/>
          <w:lang w:val="cs-CZ"/>
        </w:rPr>
        <w:t xml:space="preserve">OPATŘENÍ </w:t>
      </w:r>
      <w:r w:rsidR="00E30835" w:rsidRPr="00C37311">
        <w:rPr>
          <w:b/>
          <w:bCs/>
          <w:sz w:val="22"/>
          <w:szCs w:val="22"/>
          <w:lang w:val="cs-CZ"/>
        </w:rPr>
        <w:t>PRO UCHOVÁVÁNÍ</w:t>
      </w:r>
    </w:p>
    <w:p w:rsidR="00287260" w:rsidRPr="00E83872" w:rsidRDefault="004A0E2E" w:rsidP="00E83872">
      <w:pPr>
        <w:pStyle w:val="Zkladntext"/>
        <w:spacing w:line="276" w:lineRule="auto"/>
        <w:rPr>
          <w:b w:val="0"/>
          <w:bCs w:val="0"/>
          <w:sz w:val="22"/>
          <w:szCs w:val="22"/>
          <w:lang w:val="cs-CZ"/>
        </w:rPr>
      </w:pPr>
      <w:r w:rsidRPr="00C37311">
        <w:rPr>
          <w:b w:val="0"/>
          <w:bCs w:val="0"/>
          <w:sz w:val="22"/>
          <w:szCs w:val="22"/>
          <w:lang w:val="cs-CZ"/>
        </w:rPr>
        <w:t xml:space="preserve">Uchovávat mimo </w:t>
      </w:r>
      <w:r w:rsidR="00842631" w:rsidRPr="00C37311">
        <w:rPr>
          <w:b w:val="0"/>
          <w:bCs w:val="0"/>
          <w:sz w:val="22"/>
          <w:szCs w:val="22"/>
          <w:lang w:val="cs-CZ"/>
        </w:rPr>
        <w:t xml:space="preserve">dohled a </w:t>
      </w:r>
      <w:r w:rsidRPr="00C37311">
        <w:rPr>
          <w:b w:val="0"/>
          <w:bCs w:val="0"/>
          <w:sz w:val="22"/>
          <w:szCs w:val="22"/>
          <w:lang w:val="cs-CZ"/>
        </w:rPr>
        <w:t>dosah dětí.</w:t>
      </w:r>
    </w:p>
    <w:p w:rsidR="00287260" w:rsidRPr="00C37311" w:rsidRDefault="004A0E2E" w:rsidP="00E83872">
      <w:pPr>
        <w:pStyle w:val="Zkladntext"/>
        <w:spacing w:line="276" w:lineRule="auto"/>
        <w:rPr>
          <w:b w:val="0"/>
          <w:bCs w:val="0"/>
          <w:sz w:val="22"/>
          <w:szCs w:val="22"/>
          <w:lang w:val="cs-CZ"/>
        </w:rPr>
      </w:pPr>
      <w:r w:rsidRPr="00C37311">
        <w:rPr>
          <w:b w:val="0"/>
          <w:bCs w:val="0"/>
          <w:sz w:val="22"/>
          <w:szCs w:val="22"/>
          <w:lang w:val="cs-CZ"/>
        </w:rPr>
        <w:t>Uchovávejte při teplotě do 30</w:t>
      </w:r>
      <w:r w:rsidR="00E30835" w:rsidRPr="00C37311">
        <w:rPr>
          <w:b w:val="0"/>
          <w:bCs w:val="0"/>
          <w:sz w:val="22"/>
          <w:szCs w:val="22"/>
          <w:lang w:val="cs-CZ"/>
        </w:rPr>
        <w:t xml:space="preserve"> °</w:t>
      </w:r>
      <w:r w:rsidRPr="00C37311">
        <w:rPr>
          <w:b w:val="0"/>
          <w:bCs w:val="0"/>
          <w:sz w:val="22"/>
          <w:szCs w:val="22"/>
          <w:lang w:val="cs-CZ"/>
        </w:rPr>
        <w:t>C.</w:t>
      </w:r>
    </w:p>
    <w:p w:rsidR="00287260" w:rsidRPr="00C37311" w:rsidRDefault="004A0E2E" w:rsidP="00E83872">
      <w:pPr>
        <w:spacing w:line="276" w:lineRule="auto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>Doba použit</w:t>
      </w:r>
      <w:r w:rsidR="00E30835" w:rsidRPr="00C37311">
        <w:rPr>
          <w:sz w:val="22"/>
          <w:szCs w:val="22"/>
          <w:lang w:val="cs-CZ"/>
        </w:rPr>
        <w:t>elnosti</w:t>
      </w:r>
      <w:r w:rsidRPr="00C37311">
        <w:rPr>
          <w:sz w:val="22"/>
          <w:szCs w:val="22"/>
          <w:lang w:val="cs-CZ"/>
        </w:rPr>
        <w:t xml:space="preserve"> po zamíchání do potravy nebo </w:t>
      </w:r>
      <w:proofErr w:type="spellStart"/>
      <w:r w:rsidRPr="00C37311">
        <w:rPr>
          <w:sz w:val="22"/>
          <w:szCs w:val="22"/>
          <w:lang w:val="cs-CZ"/>
        </w:rPr>
        <w:t>peletovaného</w:t>
      </w:r>
      <w:proofErr w:type="spellEnd"/>
      <w:r w:rsidRPr="00C37311">
        <w:rPr>
          <w:sz w:val="22"/>
          <w:szCs w:val="22"/>
          <w:lang w:val="cs-CZ"/>
        </w:rPr>
        <w:t xml:space="preserve"> krmiva: 3 měsíce </w:t>
      </w:r>
    </w:p>
    <w:p w:rsidR="00F87FDA" w:rsidRPr="00C37311" w:rsidRDefault="00F87FDA" w:rsidP="00E83872">
      <w:pPr>
        <w:spacing w:line="276" w:lineRule="auto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>Doba použitelnosti po prvním otevření vnitřního obalu:</w:t>
      </w:r>
      <w:r w:rsidRPr="00C37311">
        <w:rPr>
          <w:bCs/>
          <w:sz w:val="22"/>
          <w:szCs w:val="22"/>
          <w:lang w:val="cs-CZ"/>
        </w:rPr>
        <w:t xml:space="preserve"> 6 </w:t>
      </w:r>
      <w:r w:rsidRPr="00C37311">
        <w:rPr>
          <w:sz w:val="22"/>
          <w:szCs w:val="22"/>
          <w:lang w:val="cs-CZ"/>
        </w:rPr>
        <w:t>měsíc</w:t>
      </w:r>
      <w:r w:rsidR="00E30835" w:rsidRPr="00C37311">
        <w:rPr>
          <w:sz w:val="22"/>
          <w:szCs w:val="22"/>
          <w:lang w:val="cs-CZ"/>
        </w:rPr>
        <w:t>ů</w:t>
      </w:r>
    </w:p>
    <w:p w:rsidR="00ED1828" w:rsidRPr="00E83872" w:rsidRDefault="00ED1828" w:rsidP="00E83872">
      <w:pPr>
        <w:spacing w:line="276" w:lineRule="auto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>Nepoužívejte tento veterinární léčivý přípravek po uplynutí doby použitelnost</w:t>
      </w:r>
      <w:r w:rsidR="00E30835" w:rsidRPr="00C37311">
        <w:rPr>
          <w:sz w:val="22"/>
          <w:szCs w:val="22"/>
          <w:lang w:val="cs-CZ"/>
        </w:rPr>
        <w:t>i</w:t>
      </w:r>
      <w:r w:rsidRPr="00C37311">
        <w:rPr>
          <w:sz w:val="22"/>
          <w:szCs w:val="22"/>
          <w:lang w:val="cs-CZ"/>
        </w:rPr>
        <w:t xml:space="preserve"> uvedené na etiketě po </w:t>
      </w:r>
      <w:r w:rsidRPr="00E83872">
        <w:rPr>
          <w:sz w:val="22"/>
          <w:szCs w:val="22"/>
          <w:lang w:val="cs-CZ"/>
        </w:rPr>
        <w:t>EXP.</w:t>
      </w:r>
    </w:p>
    <w:p w:rsidR="00287260" w:rsidRPr="00C37311" w:rsidRDefault="00287260" w:rsidP="00E83872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</w:p>
    <w:p w:rsidR="00287260" w:rsidRPr="00E83872" w:rsidRDefault="004A0E2E" w:rsidP="00E83872">
      <w:pPr>
        <w:numPr>
          <w:ilvl w:val="0"/>
          <w:numId w:val="6"/>
        </w:numPr>
        <w:spacing w:line="276" w:lineRule="auto"/>
        <w:ind w:hanging="720"/>
        <w:jc w:val="both"/>
        <w:rPr>
          <w:b/>
          <w:bCs/>
          <w:sz w:val="22"/>
          <w:szCs w:val="22"/>
          <w:lang w:val="cs-CZ"/>
        </w:rPr>
      </w:pPr>
      <w:r w:rsidRPr="00C37311">
        <w:rPr>
          <w:b/>
          <w:bCs/>
          <w:sz w:val="22"/>
          <w:szCs w:val="22"/>
          <w:lang w:val="cs-CZ"/>
        </w:rPr>
        <w:t xml:space="preserve">ZVLÁŠTNÍ </w:t>
      </w:r>
      <w:r w:rsidR="00770F79" w:rsidRPr="00C37311">
        <w:rPr>
          <w:b/>
          <w:bCs/>
          <w:sz w:val="22"/>
          <w:szCs w:val="22"/>
          <w:lang w:val="cs-CZ"/>
        </w:rPr>
        <w:t>UPOZORNĚNÍ</w:t>
      </w:r>
    </w:p>
    <w:p w:rsidR="00F74AFC" w:rsidRPr="00C37311" w:rsidRDefault="00F74AFC" w:rsidP="00E83872">
      <w:pPr>
        <w:spacing w:line="276" w:lineRule="auto"/>
        <w:jc w:val="both"/>
        <w:rPr>
          <w:sz w:val="22"/>
          <w:szCs w:val="22"/>
          <w:u w:val="single"/>
          <w:lang w:val="cs-CZ"/>
        </w:rPr>
      </w:pPr>
      <w:r w:rsidRPr="00C37311">
        <w:rPr>
          <w:sz w:val="22"/>
          <w:szCs w:val="22"/>
          <w:u w:val="single"/>
          <w:lang w:val="cs-CZ"/>
        </w:rPr>
        <w:lastRenderedPageBreak/>
        <w:t>Zvláštní upozornění pro každý cílový druh</w:t>
      </w:r>
      <w:r w:rsidR="00770F79" w:rsidRPr="00C37311">
        <w:rPr>
          <w:sz w:val="22"/>
          <w:szCs w:val="22"/>
          <w:u w:val="single"/>
          <w:lang w:val="cs-CZ"/>
        </w:rPr>
        <w:t>:</w:t>
      </w:r>
    </w:p>
    <w:p w:rsidR="00287260" w:rsidRPr="00C37311" w:rsidRDefault="004A0E2E" w:rsidP="00E83872">
      <w:pPr>
        <w:spacing w:line="276" w:lineRule="auto"/>
        <w:jc w:val="both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 xml:space="preserve">V případě alergické reakce musí být léčba přerušena. </w:t>
      </w:r>
    </w:p>
    <w:p w:rsidR="00FC7A54" w:rsidRPr="00E83872" w:rsidRDefault="00FC7A54" w:rsidP="00E83872">
      <w:pPr>
        <w:pStyle w:val="Zkladntextodsazen"/>
        <w:spacing w:line="276" w:lineRule="auto"/>
        <w:rPr>
          <w:sz w:val="22"/>
          <w:szCs w:val="22"/>
          <w:lang w:val="cs-CZ"/>
        </w:rPr>
      </w:pPr>
      <w:r w:rsidRPr="00E83872">
        <w:rPr>
          <w:color w:val="222222"/>
          <w:sz w:val="22"/>
          <w:szCs w:val="22"/>
          <w:lang w:val="cs-CZ"/>
        </w:rPr>
        <w:t xml:space="preserve">Zvířata se sníženým příjmem krmiva a / nebo se zhoršeným celkovým stavem musí být léčena parenterálně. Pro léčbu první volby by měla být použita </w:t>
      </w:r>
      <w:proofErr w:type="spellStart"/>
      <w:r w:rsidRPr="00E83872">
        <w:rPr>
          <w:color w:val="222222"/>
          <w:sz w:val="22"/>
          <w:szCs w:val="22"/>
          <w:lang w:val="cs-CZ"/>
        </w:rPr>
        <w:t>úzkospektrá</w:t>
      </w:r>
      <w:proofErr w:type="spellEnd"/>
      <w:r w:rsidRPr="00E83872">
        <w:rPr>
          <w:color w:val="222222"/>
          <w:sz w:val="22"/>
          <w:szCs w:val="22"/>
          <w:lang w:val="cs-CZ"/>
        </w:rPr>
        <w:t xml:space="preserve"> antibakteriální</w:t>
      </w:r>
      <w:r w:rsidR="008141BC">
        <w:rPr>
          <w:color w:val="222222"/>
          <w:sz w:val="22"/>
          <w:szCs w:val="22"/>
          <w:lang w:val="cs-CZ"/>
        </w:rPr>
        <w:t xml:space="preserve"> léčiva</w:t>
      </w:r>
      <w:r w:rsidRPr="00E83872">
        <w:rPr>
          <w:color w:val="222222"/>
          <w:sz w:val="22"/>
          <w:szCs w:val="22"/>
          <w:lang w:val="cs-CZ"/>
        </w:rPr>
        <w:t xml:space="preserve">, kde testování citlivosti </w:t>
      </w:r>
      <w:r w:rsidR="008141BC">
        <w:rPr>
          <w:color w:val="222222"/>
          <w:sz w:val="22"/>
          <w:szCs w:val="22"/>
          <w:lang w:val="cs-CZ"/>
        </w:rPr>
        <w:t xml:space="preserve">indikuje </w:t>
      </w:r>
      <w:r w:rsidRPr="00E83872">
        <w:rPr>
          <w:color w:val="222222"/>
          <w:sz w:val="22"/>
          <w:szCs w:val="22"/>
          <w:lang w:val="cs-CZ"/>
        </w:rPr>
        <w:t>pravděpodobnou účinnost tohoto postupu.</w:t>
      </w:r>
    </w:p>
    <w:p w:rsidR="002E4ADC" w:rsidRPr="00E83872" w:rsidRDefault="002E4ADC" w:rsidP="00E83872">
      <w:pPr>
        <w:pStyle w:val="Zkladntextodsazen"/>
        <w:spacing w:line="276" w:lineRule="auto"/>
        <w:rPr>
          <w:sz w:val="22"/>
          <w:szCs w:val="22"/>
          <w:lang w:val="cs-CZ"/>
        </w:rPr>
      </w:pPr>
    </w:p>
    <w:p w:rsidR="002E4ADC" w:rsidRPr="00C37311" w:rsidRDefault="002E4ADC" w:rsidP="00E83872">
      <w:pPr>
        <w:pStyle w:val="Zkladntextodsazen"/>
        <w:spacing w:line="276" w:lineRule="auto"/>
        <w:rPr>
          <w:sz w:val="22"/>
          <w:szCs w:val="22"/>
          <w:u w:val="single"/>
          <w:lang w:val="cs-CZ"/>
        </w:rPr>
      </w:pPr>
      <w:r w:rsidRPr="00C37311">
        <w:rPr>
          <w:sz w:val="22"/>
          <w:szCs w:val="22"/>
          <w:u w:val="single"/>
          <w:lang w:val="cs-CZ"/>
        </w:rPr>
        <w:t>Zvláštní opatření pro použití u zvířat:</w:t>
      </w:r>
    </w:p>
    <w:p w:rsidR="00C26770" w:rsidRPr="00E83872" w:rsidRDefault="00C26770" w:rsidP="00E83872">
      <w:pPr>
        <w:pStyle w:val="Zkladntextodsazen"/>
        <w:spacing w:line="276" w:lineRule="auto"/>
        <w:rPr>
          <w:sz w:val="22"/>
          <w:szCs w:val="22"/>
          <w:lang w:val="cs-CZ"/>
        </w:rPr>
      </w:pPr>
      <w:bookmarkStart w:id="0" w:name="OLE_LINK25"/>
      <w:r w:rsidRPr="00E83872">
        <w:rPr>
          <w:sz w:val="22"/>
          <w:szCs w:val="22"/>
          <w:lang w:val="cs-CZ"/>
        </w:rPr>
        <w:t>Použití přípravku by mělo být založeno na výsledku testu citlivosti bakterií i</w:t>
      </w:r>
      <w:r w:rsidR="008141BC">
        <w:rPr>
          <w:sz w:val="22"/>
          <w:szCs w:val="22"/>
          <w:lang w:val="cs-CZ"/>
        </w:rPr>
        <w:t>z</w:t>
      </w:r>
      <w:r w:rsidRPr="00E83872">
        <w:rPr>
          <w:sz w:val="22"/>
          <w:szCs w:val="22"/>
          <w:lang w:val="cs-CZ"/>
        </w:rPr>
        <w:t xml:space="preserve">olovaných ze zvířat. Pokud to není možné, měla by být léčba založena na místní (na úrovni regionů nebo farem) epidemiologické informaci o citlivosti cílových bakterií.  </w:t>
      </w:r>
    </w:p>
    <w:p w:rsidR="00C26770" w:rsidRPr="00E83872" w:rsidRDefault="00C26770" w:rsidP="00E83872">
      <w:pPr>
        <w:pStyle w:val="Zkladntextodsazen"/>
        <w:spacing w:line="276" w:lineRule="auto"/>
        <w:rPr>
          <w:sz w:val="22"/>
          <w:szCs w:val="22"/>
          <w:lang w:val="cs-CZ"/>
        </w:rPr>
      </w:pPr>
      <w:r w:rsidRPr="00E83872">
        <w:rPr>
          <w:sz w:val="22"/>
          <w:szCs w:val="22"/>
          <w:lang w:val="cs-CZ"/>
        </w:rPr>
        <w:t xml:space="preserve">Nesprávné použití veterinárního léčivého přípravku může zvýšit prevalenci bakterií rezistentních na penicilin. Dlouhodobému nebo opakovanému použití by se mělo zabránit zlepšením praxe řízení na farmě, zejména v oblasti hygieny, větrání a péče o selata a opatřeními k vyloučení stresových situací.  </w:t>
      </w:r>
    </w:p>
    <w:bookmarkEnd w:id="0"/>
    <w:p w:rsidR="001D07C2" w:rsidRPr="00E83872" w:rsidRDefault="001D07C2" w:rsidP="00E83872">
      <w:pPr>
        <w:pStyle w:val="Zkladntextodsazen"/>
        <w:tabs>
          <w:tab w:val="left" w:pos="-1440"/>
          <w:tab w:val="left" w:pos="-720"/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176"/>
          <w:tab w:val="left" w:pos="4320"/>
          <w:tab w:val="left" w:pos="5040"/>
          <w:tab w:val="left" w:pos="5760"/>
          <w:tab w:val="left" w:pos="5904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76" w:lineRule="auto"/>
        <w:rPr>
          <w:sz w:val="22"/>
          <w:szCs w:val="22"/>
          <w:lang w:val="cs-CZ"/>
        </w:rPr>
      </w:pPr>
    </w:p>
    <w:p w:rsidR="00B92DAA" w:rsidRPr="00C37311" w:rsidRDefault="00F54441" w:rsidP="00E83872">
      <w:pPr>
        <w:pStyle w:val="Zkladntextodsazen"/>
        <w:keepNext/>
        <w:tabs>
          <w:tab w:val="left" w:pos="-1440"/>
          <w:tab w:val="left" w:pos="-720"/>
          <w:tab w:val="left" w:pos="0"/>
          <w:tab w:val="left" w:pos="864"/>
          <w:tab w:val="left" w:pos="1008"/>
          <w:tab w:val="left" w:pos="1440"/>
          <w:tab w:val="left" w:pos="2160"/>
          <w:tab w:val="left" w:pos="2880"/>
          <w:tab w:val="left" w:pos="3600"/>
          <w:tab w:val="left" w:pos="4176"/>
          <w:tab w:val="left" w:pos="4320"/>
          <w:tab w:val="left" w:pos="5040"/>
          <w:tab w:val="left" w:pos="5760"/>
          <w:tab w:val="left" w:pos="5904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276" w:lineRule="auto"/>
        <w:rPr>
          <w:sz w:val="22"/>
          <w:szCs w:val="22"/>
          <w:u w:val="single"/>
          <w:lang w:val="cs-CZ"/>
        </w:rPr>
      </w:pPr>
      <w:r w:rsidRPr="00C37311">
        <w:rPr>
          <w:sz w:val="22"/>
          <w:szCs w:val="22"/>
          <w:u w:val="single"/>
          <w:lang w:val="cs-CZ"/>
        </w:rPr>
        <w:t>Zvláštní opatření určené osobám, které podávají veterinární léčivý přípravek zvířatům</w:t>
      </w:r>
      <w:r w:rsidR="00770F79" w:rsidRPr="00C37311">
        <w:rPr>
          <w:sz w:val="22"/>
          <w:szCs w:val="22"/>
          <w:u w:val="single"/>
          <w:lang w:val="cs-CZ"/>
        </w:rPr>
        <w:t>:</w:t>
      </w:r>
    </w:p>
    <w:p w:rsidR="00770F79" w:rsidRPr="00C37311" w:rsidRDefault="00770F79" w:rsidP="00E83872">
      <w:pPr>
        <w:spacing w:line="276" w:lineRule="auto"/>
        <w:jc w:val="both"/>
        <w:rPr>
          <w:sz w:val="22"/>
          <w:szCs w:val="22"/>
          <w:lang w:val="cs-CZ"/>
        </w:rPr>
      </w:pPr>
      <w:bookmarkStart w:id="1" w:name="OLE_LINK26"/>
      <w:r w:rsidRPr="00C37311">
        <w:rPr>
          <w:sz w:val="22"/>
          <w:szCs w:val="22"/>
          <w:lang w:val="cs-CZ"/>
        </w:rPr>
        <w:t xml:space="preserve">Peniciliny a cefalosporiny mohou po injekci, inhalaci, požití nebo po kontaktu s kůží vyvolat hypersensitivitu (alergii). Hypersensitivita na peniciliny může vést ke zkříženým reakcím s cefalosporiny a naopak. Alergické reakce na tyto látky mohou být </w:t>
      </w:r>
      <w:r w:rsidRPr="00C37311">
        <w:rPr>
          <w:sz w:val="22"/>
          <w:szCs w:val="22"/>
          <w:lang w:val="cs-CZ"/>
        </w:rPr>
        <w:br/>
        <w:t xml:space="preserve">v některých případech vážné. </w:t>
      </w:r>
    </w:p>
    <w:p w:rsidR="00770F79" w:rsidRPr="00C37311" w:rsidRDefault="00770F79" w:rsidP="00E83872">
      <w:pPr>
        <w:spacing w:line="276" w:lineRule="auto"/>
        <w:jc w:val="both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 xml:space="preserve">Lidé se známou přecitlivělostí na peniciliny a/nebo cefalosporiny by se měli vyhnout kontaktu s veterinárním léčivým přípravkem. </w:t>
      </w:r>
    </w:p>
    <w:p w:rsidR="00770F79" w:rsidRPr="00C37311" w:rsidRDefault="00770F79" w:rsidP="00E83872">
      <w:pPr>
        <w:spacing w:line="276" w:lineRule="auto"/>
        <w:jc w:val="both"/>
        <w:rPr>
          <w:sz w:val="22"/>
          <w:szCs w:val="22"/>
          <w:lang w:val="cs-CZ"/>
        </w:rPr>
      </w:pPr>
      <w:r w:rsidRPr="00E83872">
        <w:rPr>
          <w:sz w:val="22"/>
          <w:szCs w:val="22"/>
          <w:lang w:val="cs-CZ"/>
        </w:rPr>
        <w:t xml:space="preserve">Při zapracování </w:t>
      </w:r>
      <w:proofErr w:type="spellStart"/>
      <w:r w:rsidRPr="00E83872">
        <w:rPr>
          <w:sz w:val="22"/>
          <w:szCs w:val="22"/>
          <w:lang w:val="cs-CZ"/>
        </w:rPr>
        <w:t>premixu</w:t>
      </w:r>
      <w:proofErr w:type="spellEnd"/>
      <w:r w:rsidRPr="00E83872">
        <w:rPr>
          <w:sz w:val="22"/>
          <w:szCs w:val="22"/>
          <w:lang w:val="cs-CZ"/>
        </w:rPr>
        <w:t xml:space="preserve"> do krmiva zabraňte vdechování prachových částic, kontaktu přípravku s pokožkou a očima a dodržujte následující zvláštní opatření: </w:t>
      </w:r>
      <w:r w:rsidRPr="00C37311">
        <w:rPr>
          <w:sz w:val="22"/>
          <w:szCs w:val="22"/>
          <w:lang w:val="cs-CZ"/>
        </w:rPr>
        <w:t xml:space="preserve"> </w:t>
      </w:r>
    </w:p>
    <w:p w:rsidR="00770F79" w:rsidRPr="00C37311" w:rsidRDefault="00770F79" w:rsidP="00E83872">
      <w:pPr>
        <w:spacing w:line="276" w:lineRule="auto"/>
        <w:jc w:val="both"/>
        <w:rPr>
          <w:sz w:val="22"/>
          <w:szCs w:val="22"/>
          <w:lang w:val="cs-CZ"/>
        </w:rPr>
      </w:pPr>
    </w:p>
    <w:p w:rsidR="00770F79" w:rsidRPr="00C37311" w:rsidRDefault="00770F79" w:rsidP="00E83872">
      <w:pPr>
        <w:widowControl w:val="0"/>
        <w:numPr>
          <w:ilvl w:val="0"/>
          <w:numId w:val="3"/>
        </w:numPr>
        <w:tabs>
          <w:tab w:val="clear" w:pos="1158"/>
          <w:tab w:val="left" w:pos="0"/>
          <w:tab w:val="num" w:pos="426"/>
        </w:tabs>
        <w:suppressAutoHyphens/>
        <w:spacing w:line="276" w:lineRule="auto"/>
        <w:ind w:left="426" w:hanging="284"/>
        <w:jc w:val="both"/>
        <w:rPr>
          <w:snapToGrid/>
          <w:spacing w:val="-2"/>
          <w:sz w:val="22"/>
          <w:szCs w:val="22"/>
          <w:lang w:val="cs-CZ"/>
        </w:rPr>
      </w:pPr>
      <w:r w:rsidRPr="00C37311">
        <w:rPr>
          <w:snapToGrid/>
          <w:spacing w:val="-2"/>
          <w:sz w:val="22"/>
          <w:szCs w:val="22"/>
          <w:lang w:val="cs-CZ"/>
        </w:rPr>
        <w:t xml:space="preserve">Při zapracování </w:t>
      </w:r>
      <w:proofErr w:type="spellStart"/>
      <w:r w:rsidRPr="00C37311">
        <w:rPr>
          <w:snapToGrid/>
          <w:spacing w:val="-2"/>
          <w:sz w:val="22"/>
          <w:szCs w:val="22"/>
          <w:lang w:val="cs-CZ"/>
        </w:rPr>
        <w:t>premixu</w:t>
      </w:r>
      <w:proofErr w:type="spellEnd"/>
      <w:r w:rsidRPr="00C37311">
        <w:rPr>
          <w:snapToGrid/>
          <w:spacing w:val="-2"/>
          <w:sz w:val="22"/>
          <w:szCs w:val="22"/>
          <w:lang w:val="cs-CZ"/>
        </w:rPr>
        <w:t xml:space="preserve"> do krmiva</w:t>
      </w:r>
      <w:r w:rsidRPr="00C37311" w:rsidDel="00177834">
        <w:rPr>
          <w:snapToGrid/>
          <w:spacing w:val="-2"/>
          <w:sz w:val="22"/>
          <w:szCs w:val="22"/>
          <w:lang w:val="cs-CZ"/>
        </w:rPr>
        <w:t xml:space="preserve"> </w:t>
      </w:r>
      <w:r w:rsidRPr="00C37311">
        <w:rPr>
          <w:snapToGrid/>
          <w:spacing w:val="-2"/>
          <w:sz w:val="22"/>
          <w:szCs w:val="22"/>
          <w:lang w:val="cs-CZ"/>
        </w:rPr>
        <w:t xml:space="preserve">zabraňte víření prachu. </w:t>
      </w:r>
    </w:p>
    <w:p w:rsidR="00770F79" w:rsidRPr="00C37311" w:rsidRDefault="00770F79" w:rsidP="00E83872">
      <w:pPr>
        <w:widowControl w:val="0"/>
        <w:numPr>
          <w:ilvl w:val="0"/>
          <w:numId w:val="3"/>
        </w:numPr>
        <w:tabs>
          <w:tab w:val="clear" w:pos="1158"/>
          <w:tab w:val="left" w:pos="0"/>
          <w:tab w:val="num" w:pos="426"/>
        </w:tabs>
        <w:suppressAutoHyphens/>
        <w:spacing w:line="276" w:lineRule="auto"/>
        <w:ind w:left="426" w:hanging="284"/>
        <w:jc w:val="both"/>
        <w:rPr>
          <w:snapToGrid/>
          <w:spacing w:val="-2"/>
          <w:sz w:val="22"/>
          <w:szCs w:val="22"/>
          <w:lang w:val="cs-CZ"/>
        </w:rPr>
      </w:pPr>
      <w:r w:rsidRPr="00C37311">
        <w:rPr>
          <w:snapToGrid/>
          <w:spacing w:val="-2"/>
          <w:sz w:val="22"/>
          <w:szCs w:val="22"/>
          <w:lang w:val="cs-CZ"/>
        </w:rPr>
        <w:t xml:space="preserve">Používejte respirátor (podle evropské normy EN140FFP1), rukavice, ochranný oděv a schválené bezpečnostní brýle. </w:t>
      </w:r>
    </w:p>
    <w:p w:rsidR="00770F79" w:rsidRPr="00C37311" w:rsidRDefault="00770F79" w:rsidP="00E83872">
      <w:pPr>
        <w:numPr>
          <w:ilvl w:val="0"/>
          <w:numId w:val="3"/>
        </w:numPr>
        <w:tabs>
          <w:tab w:val="clear" w:pos="1158"/>
          <w:tab w:val="num" w:pos="426"/>
        </w:tabs>
        <w:spacing w:line="276" w:lineRule="auto"/>
        <w:ind w:left="426" w:hanging="284"/>
        <w:jc w:val="both"/>
        <w:rPr>
          <w:sz w:val="22"/>
          <w:szCs w:val="22"/>
          <w:lang w:val="cs-CZ"/>
        </w:rPr>
      </w:pPr>
      <w:r w:rsidRPr="00E83872">
        <w:rPr>
          <w:sz w:val="22"/>
          <w:szCs w:val="22"/>
          <w:lang w:val="cs-CZ"/>
        </w:rPr>
        <w:t>Zabraňte kontaktu přípravku s pokožkou a očima. V případě zasažení důkladně vypláchněte vodou.</w:t>
      </w:r>
      <w:r w:rsidRPr="00C37311">
        <w:rPr>
          <w:sz w:val="22"/>
          <w:szCs w:val="22"/>
          <w:lang w:val="cs-CZ"/>
        </w:rPr>
        <w:t xml:space="preserve"> </w:t>
      </w:r>
    </w:p>
    <w:p w:rsidR="00770F79" w:rsidRPr="00E83872" w:rsidRDefault="00770F79" w:rsidP="00E83872">
      <w:pPr>
        <w:numPr>
          <w:ilvl w:val="0"/>
          <w:numId w:val="3"/>
        </w:numPr>
        <w:tabs>
          <w:tab w:val="clear" w:pos="1158"/>
          <w:tab w:val="num" w:pos="426"/>
        </w:tabs>
        <w:spacing w:line="276" w:lineRule="auto"/>
        <w:ind w:left="426" w:hanging="284"/>
        <w:jc w:val="both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>Při manipulaci s přípravkem nekuřte, nepijte a nejezte.</w:t>
      </w:r>
    </w:p>
    <w:p w:rsidR="00770F79" w:rsidRPr="00E83872" w:rsidRDefault="00770F79" w:rsidP="00E83872">
      <w:pPr>
        <w:spacing w:line="276" w:lineRule="auto"/>
        <w:ind w:left="570"/>
        <w:jc w:val="both"/>
        <w:rPr>
          <w:sz w:val="22"/>
          <w:szCs w:val="22"/>
          <w:lang w:val="cs-CZ"/>
        </w:rPr>
      </w:pPr>
    </w:p>
    <w:p w:rsidR="00770F79" w:rsidRPr="00E83872" w:rsidRDefault="00770F79" w:rsidP="00E83872">
      <w:pPr>
        <w:tabs>
          <w:tab w:val="left" w:pos="432"/>
          <w:tab w:val="left" w:pos="720"/>
          <w:tab w:val="left" w:pos="851"/>
          <w:tab w:val="left" w:pos="992"/>
          <w:tab w:val="left" w:pos="1440"/>
          <w:tab w:val="left" w:pos="1701"/>
          <w:tab w:val="left" w:pos="2268"/>
          <w:tab w:val="left" w:pos="3260"/>
        </w:tabs>
        <w:spacing w:line="276" w:lineRule="auto"/>
        <w:jc w:val="both"/>
        <w:rPr>
          <w:b/>
          <w:bCs/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>Pokud se po přímém kontaktu s přípravkem objeví příznaky jako například kožní vyrážka, vyhledejte lékařskou pomoc a ukažte lékaři toto upozornění.</w:t>
      </w:r>
      <w:r w:rsidRPr="00E83872">
        <w:rPr>
          <w:sz w:val="22"/>
          <w:szCs w:val="22"/>
          <w:lang w:val="cs-CZ"/>
        </w:rPr>
        <w:t xml:space="preserve"> </w:t>
      </w:r>
      <w:r w:rsidRPr="00C37311">
        <w:rPr>
          <w:sz w:val="22"/>
          <w:szCs w:val="22"/>
          <w:lang w:val="cs-CZ"/>
        </w:rPr>
        <w:t>Otok obličeje, rtů či očí nebo potíže s dýcháním jsou vážné příznaky a vyžadují okamžité lékařské ošetření.</w:t>
      </w:r>
    </w:p>
    <w:p w:rsidR="00770F79" w:rsidRPr="00C37311" w:rsidRDefault="00770F79" w:rsidP="00E83872">
      <w:pPr>
        <w:tabs>
          <w:tab w:val="left" w:pos="432"/>
          <w:tab w:val="left" w:pos="720"/>
          <w:tab w:val="left" w:pos="851"/>
          <w:tab w:val="left" w:pos="992"/>
          <w:tab w:val="left" w:pos="1440"/>
          <w:tab w:val="left" w:pos="1701"/>
          <w:tab w:val="left" w:pos="2268"/>
          <w:tab w:val="left" w:pos="3260"/>
        </w:tabs>
        <w:spacing w:line="276" w:lineRule="auto"/>
        <w:jc w:val="both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>Po použití přípravku si umyjte ruce.</w:t>
      </w:r>
    </w:p>
    <w:bookmarkEnd w:id="1"/>
    <w:p w:rsidR="009E7A94" w:rsidRPr="00E83872" w:rsidRDefault="009E7A94" w:rsidP="00E83872">
      <w:pPr>
        <w:pStyle w:val="Zkladntextodsazen3"/>
        <w:tabs>
          <w:tab w:val="clear" w:pos="284"/>
          <w:tab w:val="clear" w:pos="576"/>
        </w:tabs>
        <w:spacing w:line="276" w:lineRule="auto"/>
        <w:ind w:left="0"/>
        <w:rPr>
          <w:rFonts w:ascii="Arial" w:hAnsi="Arial" w:cs="Arial"/>
          <w:sz w:val="22"/>
          <w:szCs w:val="22"/>
          <w:lang w:val="cs-CZ"/>
        </w:rPr>
      </w:pPr>
    </w:p>
    <w:p w:rsidR="00287260" w:rsidRPr="00E83872" w:rsidRDefault="009E7A94" w:rsidP="00E83872">
      <w:pPr>
        <w:spacing w:line="276" w:lineRule="auto"/>
        <w:jc w:val="both"/>
        <w:rPr>
          <w:sz w:val="22"/>
          <w:szCs w:val="22"/>
          <w:u w:val="single"/>
          <w:lang w:val="cs-CZ"/>
        </w:rPr>
      </w:pPr>
      <w:r w:rsidRPr="00E83872">
        <w:rPr>
          <w:sz w:val="22"/>
          <w:szCs w:val="22"/>
          <w:u w:val="single"/>
          <w:lang w:val="cs-CZ"/>
        </w:rPr>
        <w:t>Interakce s dalšími léčivými přípravky a další formy interakce</w:t>
      </w:r>
    </w:p>
    <w:p w:rsidR="00E84918" w:rsidRPr="00C37311" w:rsidRDefault="00E84918" w:rsidP="00E83872">
      <w:pPr>
        <w:spacing w:line="276" w:lineRule="auto"/>
        <w:jc w:val="both"/>
        <w:rPr>
          <w:sz w:val="22"/>
          <w:szCs w:val="22"/>
          <w:lang w:val="cs-CZ"/>
        </w:rPr>
      </w:pPr>
      <w:r w:rsidRPr="00C37311">
        <w:rPr>
          <w:spacing w:val="-2"/>
          <w:sz w:val="22"/>
          <w:szCs w:val="22"/>
          <w:lang w:val="cs-CZ"/>
        </w:rPr>
        <w:t>Nepoužívejte spolu s neomycinem, který blokuje absorpci perorálně podávaných penicilinů.</w:t>
      </w:r>
    </w:p>
    <w:p w:rsidR="00677A65" w:rsidRPr="00E83872" w:rsidRDefault="00677A65" w:rsidP="00E83872">
      <w:pPr>
        <w:pStyle w:val="Zkladntextodsazen"/>
        <w:spacing w:line="276" w:lineRule="auto"/>
        <w:rPr>
          <w:sz w:val="22"/>
          <w:szCs w:val="22"/>
          <w:lang w:val="cs-CZ"/>
        </w:rPr>
      </w:pPr>
      <w:r w:rsidRPr="00E83872">
        <w:rPr>
          <w:sz w:val="22"/>
          <w:szCs w:val="22"/>
          <w:lang w:val="cs-CZ"/>
        </w:rPr>
        <w:lastRenderedPageBreak/>
        <w:t xml:space="preserve">Nepoužívejte spolu s antimikrobiálními látkami s bakteriostatickým účinkem (jako jsou </w:t>
      </w:r>
      <w:proofErr w:type="spellStart"/>
      <w:r w:rsidRPr="00E83872">
        <w:rPr>
          <w:sz w:val="22"/>
          <w:szCs w:val="22"/>
          <w:lang w:val="cs-CZ"/>
        </w:rPr>
        <w:t>makrolidy</w:t>
      </w:r>
      <w:proofErr w:type="spellEnd"/>
      <w:r w:rsidRPr="00E83872">
        <w:rPr>
          <w:sz w:val="22"/>
          <w:szCs w:val="22"/>
          <w:lang w:val="cs-CZ"/>
        </w:rPr>
        <w:t>, sulfonamidy a tetracykliny), protože mohou antagonizovat baktericidní účinek penicilinů.</w:t>
      </w:r>
    </w:p>
    <w:p w:rsidR="00C628C3" w:rsidRPr="00C37311" w:rsidRDefault="00C628C3" w:rsidP="00E83872">
      <w:pPr>
        <w:spacing w:line="276" w:lineRule="auto"/>
        <w:jc w:val="both"/>
        <w:rPr>
          <w:spacing w:val="-2"/>
          <w:sz w:val="22"/>
          <w:szCs w:val="22"/>
          <w:lang w:val="cs-CZ"/>
        </w:rPr>
      </w:pPr>
    </w:p>
    <w:p w:rsidR="005926BA" w:rsidRPr="00C37311" w:rsidRDefault="005926BA" w:rsidP="00E83872">
      <w:pPr>
        <w:spacing w:line="276" w:lineRule="auto"/>
        <w:jc w:val="both"/>
        <w:rPr>
          <w:sz w:val="22"/>
          <w:szCs w:val="22"/>
          <w:u w:val="single"/>
          <w:lang w:val="cs-CZ"/>
        </w:rPr>
      </w:pPr>
      <w:r w:rsidRPr="00C37311">
        <w:rPr>
          <w:sz w:val="22"/>
          <w:szCs w:val="22"/>
          <w:u w:val="single"/>
          <w:lang w:val="cs-CZ"/>
        </w:rPr>
        <w:t xml:space="preserve">Předávkování (symptomy, první pomoc, </w:t>
      </w:r>
      <w:proofErr w:type="spellStart"/>
      <w:r w:rsidRPr="00C37311">
        <w:rPr>
          <w:sz w:val="22"/>
          <w:szCs w:val="22"/>
          <w:u w:val="single"/>
          <w:lang w:val="cs-CZ"/>
        </w:rPr>
        <w:t>antidota</w:t>
      </w:r>
      <w:proofErr w:type="spellEnd"/>
      <w:r w:rsidRPr="00C37311">
        <w:rPr>
          <w:sz w:val="22"/>
          <w:szCs w:val="22"/>
          <w:u w:val="single"/>
          <w:lang w:val="cs-CZ"/>
        </w:rPr>
        <w:t>):</w:t>
      </w:r>
    </w:p>
    <w:p w:rsidR="00287260" w:rsidRPr="00E83872" w:rsidRDefault="004A0E2E" w:rsidP="00E83872">
      <w:pPr>
        <w:pStyle w:val="Zkladntext"/>
        <w:spacing w:line="276" w:lineRule="auto"/>
        <w:rPr>
          <w:b w:val="0"/>
          <w:bCs w:val="0"/>
          <w:sz w:val="22"/>
          <w:szCs w:val="22"/>
          <w:lang w:val="cs-CZ"/>
        </w:rPr>
      </w:pPr>
      <w:r w:rsidRPr="00C37311">
        <w:rPr>
          <w:b w:val="0"/>
          <w:bCs w:val="0"/>
          <w:sz w:val="22"/>
          <w:szCs w:val="22"/>
          <w:lang w:val="cs-CZ"/>
        </w:rPr>
        <w:t>Nebyly pozorovány žádné vedlejší účinky ani při pětinásobné dávce. V případě výskytu vážných alergických reakcí léčbu ukončete a podejte kortikoidy a adrenalin. V ostatních případech aplikujte symptomatickou léčbu.</w:t>
      </w:r>
    </w:p>
    <w:p w:rsidR="00EB6A35" w:rsidRPr="00C37311" w:rsidRDefault="00EB6A35" w:rsidP="00E83872">
      <w:pPr>
        <w:spacing w:line="276" w:lineRule="auto"/>
        <w:jc w:val="both"/>
        <w:rPr>
          <w:sz w:val="22"/>
          <w:szCs w:val="22"/>
          <w:lang w:val="cs-CZ"/>
        </w:rPr>
      </w:pPr>
    </w:p>
    <w:p w:rsidR="00EB6A35" w:rsidRPr="00C37311" w:rsidRDefault="00EB6A35" w:rsidP="00E83872">
      <w:pPr>
        <w:spacing w:line="276" w:lineRule="auto"/>
        <w:jc w:val="both"/>
        <w:rPr>
          <w:sz w:val="22"/>
          <w:szCs w:val="22"/>
          <w:u w:val="single"/>
          <w:lang w:val="cs-CZ"/>
        </w:rPr>
      </w:pPr>
      <w:r w:rsidRPr="00C37311">
        <w:rPr>
          <w:sz w:val="22"/>
          <w:szCs w:val="22"/>
          <w:u w:val="single"/>
          <w:lang w:val="cs-CZ"/>
        </w:rPr>
        <w:t>Inkompatibility</w:t>
      </w:r>
      <w:r w:rsidR="00E30835" w:rsidRPr="00C37311">
        <w:rPr>
          <w:sz w:val="22"/>
          <w:szCs w:val="22"/>
          <w:u w:val="single"/>
          <w:lang w:val="cs-CZ"/>
        </w:rPr>
        <w:t>:</w:t>
      </w:r>
    </w:p>
    <w:p w:rsidR="00EB6A35" w:rsidRPr="00C37311" w:rsidRDefault="00EB6A35" w:rsidP="00E83872">
      <w:pPr>
        <w:spacing w:line="276" w:lineRule="auto"/>
        <w:jc w:val="both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>Studie kompatibility nejsou k dispozici, a proto tento veterinární léčivý přípravek nesmí být mísen s žádnými dalšími veterinárními léčivými přípravky.</w:t>
      </w:r>
    </w:p>
    <w:p w:rsidR="00EB6A35" w:rsidRPr="00C37311" w:rsidRDefault="00EB6A35" w:rsidP="00E83872">
      <w:pPr>
        <w:spacing w:line="276" w:lineRule="auto"/>
        <w:jc w:val="both"/>
        <w:rPr>
          <w:sz w:val="22"/>
          <w:szCs w:val="22"/>
          <w:lang w:val="cs-CZ"/>
        </w:rPr>
      </w:pPr>
    </w:p>
    <w:p w:rsidR="00287260" w:rsidRPr="00C37311" w:rsidRDefault="004A0E2E" w:rsidP="00E83872">
      <w:pPr>
        <w:keepNext/>
        <w:numPr>
          <w:ilvl w:val="0"/>
          <w:numId w:val="6"/>
        </w:numPr>
        <w:spacing w:line="276" w:lineRule="auto"/>
        <w:ind w:hanging="720"/>
        <w:jc w:val="both"/>
        <w:rPr>
          <w:b/>
          <w:bCs/>
          <w:sz w:val="22"/>
          <w:szCs w:val="22"/>
          <w:lang w:val="cs-CZ"/>
        </w:rPr>
      </w:pPr>
      <w:r w:rsidRPr="00C37311">
        <w:rPr>
          <w:b/>
          <w:bCs/>
          <w:sz w:val="22"/>
          <w:szCs w:val="22"/>
          <w:lang w:val="cs-CZ"/>
        </w:rPr>
        <w:t xml:space="preserve">ZVLÁŠTNÍ OPATŘENÍ PRO </w:t>
      </w:r>
      <w:r w:rsidR="00D83DA0" w:rsidRPr="00C37311">
        <w:rPr>
          <w:b/>
          <w:bCs/>
          <w:sz w:val="22"/>
          <w:szCs w:val="22"/>
          <w:lang w:val="cs-CZ"/>
        </w:rPr>
        <w:t>ZNEŠKODŇOVÁNÍ NEPOUŽITÝCH PŘÍPRAVKŮ</w:t>
      </w:r>
      <w:r w:rsidRPr="00C37311">
        <w:rPr>
          <w:b/>
          <w:bCs/>
          <w:sz w:val="22"/>
          <w:szCs w:val="22"/>
          <w:lang w:val="cs-CZ"/>
        </w:rPr>
        <w:t xml:space="preserve"> NEBO </w:t>
      </w:r>
      <w:proofErr w:type="gramStart"/>
      <w:r w:rsidR="00D83DA0" w:rsidRPr="00C37311">
        <w:rPr>
          <w:b/>
          <w:bCs/>
          <w:sz w:val="22"/>
          <w:szCs w:val="22"/>
          <w:lang w:val="cs-CZ"/>
        </w:rPr>
        <w:t>ODPADU , POKUD</w:t>
      </w:r>
      <w:proofErr w:type="gramEnd"/>
      <w:r w:rsidR="00D83DA0" w:rsidRPr="00C37311">
        <w:rPr>
          <w:b/>
          <w:bCs/>
          <w:sz w:val="22"/>
          <w:szCs w:val="22"/>
          <w:lang w:val="cs-CZ"/>
        </w:rPr>
        <w:t xml:space="preserve"> JE JICH TŘEBA</w:t>
      </w:r>
    </w:p>
    <w:p w:rsidR="00287260" w:rsidRPr="00C37311" w:rsidRDefault="004A0E2E" w:rsidP="00E83872">
      <w:pPr>
        <w:pStyle w:val="Zkladntext2"/>
        <w:spacing w:line="276" w:lineRule="auto"/>
        <w:rPr>
          <w:sz w:val="22"/>
          <w:szCs w:val="22"/>
        </w:rPr>
      </w:pPr>
      <w:r w:rsidRPr="00C37311">
        <w:rPr>
          <w:sz w:val="22"/>
          <w:szCs w:val="22"/>
        </w:rPr>
        <w:t>Všechen nepoužitý veterinární léčivý přípravek nebo odpad, který pochází z tohoto přípravku, musí být likvidován podle místních právních předpisů.</w:t>
      </w:r>
    </w:p>
    <w:p w:rsidR="00287260" w:rsidRPr="00C37311" w:rsidRDefault="00287260" w:rsidP="00E83872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</w:p>
    <w:p w:rsidR="00287260" w:rsidRPr="00C37311" w:rsidRDefault="004A0E2E" w:rsidP="00E83872">
      <w:pPr>
        <w:numPr>
          <w:ilvl w:val="0"/>
          <w:numId w:val="6"/>
        </w:numPr>
        <w:spacing w:line="276" w:lineRule="auto"/>
        <w:ind w:hanging="720"/>
        <w:jc w:val="both"/>
        <w:rPr>
          <w:b/>
          <w:bCs/>
          <w:sz w:val="22"/>
          <w:szCs w:val="22"/>
          <w:lang w:val="cs-CZ"/>
        </w:rPr>
      </w:pPr>
      <w:r w:rsidRPr="00C37311">
        <w:rPr>
          <w:b/>
          <w:bCs/>
          <w:sz w:val="22"/>
          <w:szCs w:val="22"/>
          <w:lang w:val="cs-CZ"/>
        </w:rPr>
        <w:t xml:space="preserve">DATUM POSLEDNÍ REVIZE PŘÍBALOVÉ </w:t>
      </w:r>
      <w:r w:rsidR="00E30835" w:rsidRPr="00C37311">
        <w:rPr>
          <w:b/>
          <w:bCs/>
          <w:sz w:val="22"/>
          <w:szCs w:val="22"/>
          <w:lang w:val="cs-CZ"/>
        </w:rPr>
        <w:t>INFORMACE</w:t>
      </w:r>
    </w:p>
    <w:p w:rsidR="00287260" w:rsidRPr="00E83872" w:rsidRDefault="007535B6" w:rsidP="00E83872">
      <w:pPr>
        <w:spacing w:line="276" w:lineRule="auto"/>
        <w:jc w:val="both"/>
        <w:rPr>
          <w:bCs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Srpen 2018</w:t>
      </w:r>
      <w:bookmarkStart w:id="2" w:name="_GoBack"/>
      <w:bookmarkEnd w:id="2"/>
    </w:p>
    <w:p w:rsidR="001221F3" w:rsidRPr="00C37311" w:rsidRDefault="001221F3" w:rsidP="00E83872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</w:p>
    <w:p w:rsidR="00287260" w:rsidRPr="00C37311" w:rsidRDefault="00E30835" w:rsidP="00E83872">
      <w:pPr>
        <w:numPr>
          <w:ilvl w:val="0"/>
          <w:numId w:val="6"/>
        </w:numPr>
        <w:spacing w:line="276" w:lineRule="auto"/>
        <w:ind w:hanging="720"/>
        <w:jc w:val="both"/>
        <w:rPr>
          <w:b/>
          <w:bCs/>
          <w:sz w:val="22"/>
          <w:szCs w:val="22"/>
          <w:lang w:val="cs-CZ"/>
        </w:rPr>
      </w:pPr>
      <w:r w:rsidRPr="00C37311">
        <w:rPr>
          <w:b/>
          <w:bCs/>
          <w:sz w:val="22"/>
          <w:szCs w:val="22"/>
          <w:lang w:val="cs-CZ"/>
        </w:rPr>
        <w:t>DALŠÍ INFORMACE</w:t>
      </w:r>
    </w:p>
    <w:p w:rsidR="00287260" w:rsidRDefault="004A0E2E" w:rsidP="00E83872">
      <w:pPr>
        <w:pStyle w:val="Zkladntext"/>
        <w:spacing w:line="276" w:lineRule="auto"/>
        <w:rPr>
          <w:b w:val="0"/>
          <w:bCs w:val="0"/>
          <w:sz w:val="22"/>
          <w:szCs w:val="22"/>
          <w:lang w:val="cs-CZ"/>
        </w:rPr>
      </w:pPr>
      <w:r w:rsidRPr="00C37311">
        <w:rPr>
          <w:b w:val="0"/>
          <w:bCs w:val="0"/>
          <w:sz w:val="22"/>
          <w:szCs w:val="22"/>
          <w:lang w:val="cs-CZ"/>
        </w:rPr>
        <w:t>Veškeré jiné informace o tomto veterinárním léku získáte u místního zástupce držitele registrace.</w:t>
      </w:r>
    </w:p>
    <w:p w:rsidR="008141BC" w:rsidRPr="00C37311" w:rsidRDefault="008141BC" w:rsidP="00E83872">
      <w:pPr>
        <w:pStyle w:val="Zkladntext"/>
        <w:spacing w:line="276" w:lineRule="auto"/>
        <w:rPr>
          <w:b w:val="0"/>
          <w:bCs w:val="0"/>
          <w:sz w:val="22"/>
          <w:szCs w:val="22"/>
          <w:lang w:val="cs-CZ"/>
        </w:rPr>
      </w:pPr>
      <w:r>
        <w:rPr>
          <w:b w:val="0"/>
          <w:bCs w:val="0"/>
          <w:sz w:val="22"/>
          <w:szCs w:val="22"/>
          <w:lang w:val="cs-CZ"/>
        </w:rPr>
        <w:t>Registrační číslo:</w:t>
      </w:r>
      <w:r w:rsidRPr="008141BC">
        <w:rPr>
          <w:b w:val="0"/>
          <w:bCs w:val="0"/>
          <w:sz w:val="22"/>
          <w:szCs w:val="22"/>
          <w:lang w:val="cs-CZ"/>
        </w:rPr>
        <w:t xml:space="preserve"> </w:t>
      </w:r>
      <w:r w:rsidRPr="004D4CC0">
        <w:rPr>
          <w:b w:val="0"/>
          <w:bCs w:val="0"/>
          <w:sz w:val="22"/>
          <w:szCs w:val="22"/>
          <w:lang w:val="cs-CZ"/>
        </w:rPr>
        <w:t>96/046/10 - C</w:t>
      </w:r>
    </w:p>
    <w:p w:rsidR="00287260" w:rsidRPr="00C37311" w:rsidRDefault="004A0E2E" w:rsidP="00E83872">
      <w:pPr>
        <w:pStyle w:val="Zkladntext"/>
        <w:spacing w:line="276" w:lineRule="auto"/>
        <w:rPr>
          <w:b w:val="0"/>
          <w:bCs w:val="0"/>
          <w:sz w:val="22"/>
          <w:szCs w:val="22"/>
          <w:lang w:val="cs-CZ"/>
        </w:rPr>
      </w:pPr>
      <w:r w:rsidRPr="00C37311">
        <w:rPr>
          <w:b w:val="0"/>
          <w:bCs w:val="0"/>
          <w:sz w:val="22"/>
          <w:szCs w:val="22"/>
          <w:lang w:val="cs-CZ"/>
        </w:rPr>
        <w:t xml:space="preserve">Vaky o </w:t>
      </w:r>
      <w:r w:rsidR="002F3D4A" w:rsidRPr="00C37311">
        <w:rPr>
          <w:b w:val="0"/>
          <w:bCs w:val="0"/>
          <w:sz w:val="22"/>
          <w:szCs w:val="22"/>
          <w:lang w:val="cs-CZ"/>
        </w:rPr>
        <w:t xml:space="preserve">obsahu </w:t>
      </w:r>
      <w:r w:rsidRPr="00C37311">
        <w:rPr>
          <w:b w:val="0"/>
          <w:bCs w:val="0"/>
          <w:sz w:val="22"/>
          <w:szCs w:val="22"/>
          <w:lang w:val="cs-CZ"/>
        </w:rPr>
        <w:t>25 kg</w:t>
      </w:r>
    </w:p>
    <w:p w:rsidR="00287260" w:rsidRPr="00E83872" w:rsidRDefault="004A0E2E" w:rsidP="00E83872">
      <w:pPr>
        <w:pStyle w:val="Zkladntext"/>
        <w:spacing w:line="276" w:lineRule="auto"/>
        <w:rPr>
          <w:b w:val="0"/>
          <w:bCs w:val="0"/>
          <w:sz w:val="22"/>
          <w:szCs w:val="22"/>
          <w:lang w:val="cs-CZ"/>
        </w:rPr>
      </w:pPr>
      <w:r w:rsidRPr="00C37311">
        <w:rPr>
          <w:b w:val="0"/>
          <w:bCs w:val="0"/>
          <w:sz w:val="22"/>
          <w:szCs w:val="22"/>
          <w:lang w:val="cs-CZ"/>
        </w:rPr>
        <w:t xml:space="preserve">Pouze pro zvířata. </w:t>
      </w:r>
      <w:r w:rsidR="008141BC" w:rsidRPr="00C37311">
        <w:rPr>
          <w:b w:val="0"/>
          <w:bCs w:val="0"/>
          <w:sz w:val="22"/>
          <w:szCs w:val="22"/>
          <w:lang w:val="cs-CZ"/>
        </w:rPr>
        <w:t>Veterinární</w:t>
      </w:r>
      <w:r w:rsidRPr="00C37311">
        <w:rPr>
          <w:b w:val="0"/>
          <w:bCs w:val="0"/>
          <w:sz w:val="22"/>
          <w:szCs w:val="22"/>
          <w:lang w:val="cs-CZ"/>
        </w:rPr>
        <w:t xml:space="preserve"> léčivý přípravek je vydáván pouze na předpis.</w:t>
      </w:r>
    </w:p>
    <w:p w:rsidR="00287260" w:rsidRPr="00C37311" w:rsidRDefault="008141BC" w:rsidP="00E83872">
      <w:pPr>
        <w:pStyle w:val="Zkladntext"/>
        <w:spacing w:line="276" w:lineRule="auto"/>
        <w:rPr>
          <w:b w:val="0"/>
          <w:bCs w:val="0"/>
          <w:sz w:val="22"/>
          <w:szCs w:val="22"/>
          <w:lang w:val="cs-CZ"/>
        </w:rPr>
      </w:pPr>
      <w:r>
        <w:rPr>
          <w:b w:val="0"/>
          <w:bCs w:val="0"/>
          <w:sz w:val="22"/>
          <w:szCs w:val="22"/>
          <w:lang w:val="cs-CZ"/>
        </w:rPr>
        <w:t>Musí být respektována ú</w:t>
      </w:r>
      <w:r w:rsidR="004A0E2E" w:rsidRPr="00C37311">
        <w:rPr>
          <w:b w:val="0"/>
          <w:bCs w:val="0"/>
          <w:sz w:val="22"/>
          <w:szCs w:val="22"/>
          <w:lang w:val="cs-CZ"/>
        </w:rPr>
        <w:t xml:space="preserve">řední pravidla pro míchání </w:t>
      </w:r>
      <w:proofErr w:type="spellStart"/>
      <w:r w:rsidR="004A0E2E" w:rsidRPr="00C37311">
        <w:rPr>
          <w:b w:val="0"/>
          <w:bCs w:val="0"/>
          <w:sz w:val="22"/>
          <w:szCs w:val="22"/>
          <w:lang w:val="cs-CZ"/>
        </w:rPr>
        <w:t>medikovaných</w:t>
      </w:r>
      <w:proofErr w:type="spellEnd"/>
      <w:r w:rsidR="004A0E2E" w:rsidRPr="00C37311">
        <w:rPr>
          <w:b w:val="0"/>
          <w:bCs w:val="0"/>
          <w:sz w:val="22"/>
          <w:szCs w:val="22"/>
          <w:lang w:val="cs-CZ"/>
        </w:rPr>
        <w:t xml:space="preserve"> </w:t>
      </w:r>
      <w:proofErr w:type="spellStart"/>
      <w:r w:rsidR="004A0E2E" w:rsidRPr="00C37311">
        <w:rPr>
          <w:b w:val="0"/>
          <w:bCs w:val="0"/>
          <w:sz w:val="22"/>
          <w:szCs w:val="22"/>
          <w:lang w:val="cs-CZ"/>
        </w:rPr>
        <w:t>premixů</w:t>
      </w:r>
      <w:proofErr w:type="spellEnd"/>
      <w:r w:rsidR="004A0E2E" w:rsidRPr="00C37311">
        <w:rPr>
          <w:b w:val="0"/>
          <w:bCs w:val="0"/>
          <w:sz w:val="22"/>
          <w:szCs w:val="22"/>
          <w:lang w:val="cs-CZ"/>
        </w:rPr>
        <w:t xml:space="preserve"> do koncových krmiv. </w:t>
      </w:r>
    </w:p>
    <w:p w:rsidR="00287260" w:rsidRPr="00E83872" w:rsidRDefault="00E30835" w:rsidP="00E83872">
      <w:pPr>
        <w:pStyle w:val="Zkladntext"/>
        <w:spacing w:line="276" w:lineRule="auto"/>
        <w:rPr>
          <w:b w:val="0"/>
          <w:bCs w:val="0"/>
          <w:sz w:val="22"/>
          <w:szCs w:val="22"/>
          <w:lang w:val="cs-CZ"/>
        </w:rPr>
      </w:pPr>
      <w:r w:rsidRPr="00C37311">
        <w:rPr>
          <w:b w:val="0"/>
          <w:bCs w:val="0"/>
          <w:sz w:val="22"/>
          <w:szCs w:val="22"/>
          <w:lang w:val="cs-CZ"/>
        </w:rPr>
        <w:t>Š</w:t>
      </w:r>
      <w:r w:rsidR="004A0E2E" w:rsidRPr="00C37311">
        <w:rPr>
          <w:b w:val="0"/>
          <w:bCs w:val="0"/>
          <w:sz w:val="22"/>
          <w:szCs w:val="22"/>
          <w:lang w:val="cs-CZ"/>
        </w:rPr>
        <w:t>arže:</w:t>
      </w:r>
      <w:r w:rsidRPr="00C37311">
        <w:rPr>
          <w:b w:val="0"/>
          <w:bCs w:val="0"/>
          <w:sz w:val="22"/>
          <w:szCs w:val="22"/>
          <w:lang w:val="cs-CZ"/>
        </w:rPr>
        <w:t xml:space="preserve"> {číslo}</w:t>
      </w:r>
      <w:r w:rsidR="004A0E2E" w:rsidRPr="00E83872">
        <w:rPr>
          <w:b w:val="0"/>
          <w:bCs w:val="0"/>
          <w:sz w:val="22"/>
          <w:szCs w:val="22"/>
          <w:lang w:val="cs-CZ"/>
        </w:rPr>
        <w:t xml:space="preserve"> </w:t>
      </w:r>
    </w:p>
    <w:p w:rsidR="00287260" w:rsidRPr="00E83872" w:rsidRDefault="004A0E2E" w:rsidP="00E83872">
      <w:pPr>
        <w:tabs>
          <w:tab w:val="right" w:pos="7638"/>
        </w:tabs>
        <w:spacing w:line="276" w:lineRule="auto"/>
        <w:jc w:val="both"/>
        <w:rPr>
          <w:sz w:val="22"/>
          <w:szCs w:val="22"/>
          <w:lang w:val="cs-CZ"/>
        </w:rPr>
      </w:pPr>
      <w:r w:rsidRPr="00C37311">
        <w:rPr>
          <w:sz w:val="22"/>
          <w:szCs w:val="22"/>
          <w:lang w:val="cs-CZ"/>
        </w:rPr>
        <w:t xml:space="preserve">EXP: </w:t>
      </w:r>
      <w:r w:rsidR="00E30835" w:rsidRPr="00C37311">
        <w:rPr>
          <w:sz w:val="22"/>
          <w:szCs w:val="22"/>
          <w:lang w:val="cs-CZ"/>
        </w:rPr>
        <w:t>{</w:t>
      </w:r>
      <w:r w:rsidRPr="00C37311">
        <w:rPr>
          <w:sz w:val="22"/>
          <w:szCs w:val="22"/>
          <w:lang w:val="cs-CZ"/>
        </w:rPr>
        <w:t>měsíc/rok</w:t>
      </w:r>
      <w:r w:rsidR="00E30835" w:rsidRPr="00C37311">
        <w:rPr>
          <w:sz w:val="22"/>
          <w:szCs w:val="22"/>
          <w:lang w:val="cs-CZ"/>
        </w:rPr>
        <w:t>}</w:t>
      </w:r>
    </w:p>
    <w:sectPr w:rsidR="00287260" w:rsidRPr="00E83872">
      <w:headerReference w:type="default" r:id="rId8"/>
      <w:pgSz w:w="11906" w:h="16838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6A" w:rsidRDefault="006B596A" w:rsidP="004E055F">
      <w:r>
        <w:separator/>
      </w:r>
    </w:p>
  </w:endnote>
  <w:endnote w:type="continuationSeparator" w:id="0">
    <w:p w:rsidR="006B596A" w:rsidRDefault="006B596A" w:rsidP="004E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6A" w:rsidRDefault="006B596A" w:rsidP="004E055F">
      <w:r>
        <w:separator/>
      </w:r>
    </w:p>
  </w:footnote>
  <w:footnote w:type="continuationSeparator" w:id="0">
    <w:p w:rsidR="006B596A" w:rsidRDefault="006B596A" w:rsidP="004E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5F" w:rsidRDefault="004E055F" w:rsidP="00C37311">
    <w:pPr>
      <w:pStyle w:val="Zhlav"/>
      <w:rPr>
        <w:lang w:val="cs-CZ"/>
      </w:rPr>
    </w:pPr>
    <w:r>
      <w:rPr>
        <w:lang w:val="cs-CZ"/>
      </w:rPr>
      <w:t xml:space="preserve">     </w:t>
    </w:r>
  </w:p>
  <w:p w:rsidR="004E055F" w:rsidRDefault="004E05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9F6"/>
    <w:multiLevelType w:val="hybridMultilevel"/>
    <w:tmpl w:val="77C2C1BC"/>
    <w:lvl w:ilvl="0" w:tplc="024A3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28A0EB00">
      <w:start w:val="1"/>
      <w:numFmt w:val="bullet"/>
      <w:lvlText w:val="­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D7A6E"/>
    <w:multiLevelType w:val="multilevel"/>
    <w:tmpl w:val="F1A6091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D2529"/>
    <w:multiLevelType w:val="hybridMultilevel"/>
    <w:tmpl w:val="BEC289E8"/>
    <w:lvl w:ilvl="0" w:tplc="ADA656AA">
      <w:start w:val="9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A5DE2"/>
    <w:multiLevelType w:val="hybridMultilevel"/>
    <w:tmpl w:val="0136EA5C"/>
    <w:lvl w:ilvl="0" w:tplc="C150AC6A">
      <w:start w:val="2"/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cs="Wingdings" w:hint="default"/>
      </w:rPr>
    </w:lvl>
  </w:abstractNum>
  <w:abstractNum w:abstractNumId="4">
    <w:nsid w:val="26FD7D7B"/>
    <w:multiLevelType w:val="multilevel"/>
    <w:tmpl w:val="F1A6091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452D0B"/>
    <w:multiLevelType w:val="multilevel"/>
    <w:tmpl w:val="F1A6091C"/>
    <w:lvl w:ilvl="0">
      <w:start w:val="1"/>
      <w:numFmt w:val="bullet"/>
      <w:lvlText w:val=""/>
      <w:lvlJc w:val="left"/>
      <w:pPr>
        <w:tabs>
          <w:tab w:val="num" w:pos="1195"/>
        </w:tabs>
        <w:ind w:left="1195" w:hanging="39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CF5DC5"/>
    <w:multiLevelType w:val="multilevel"/>
    <w:tmpl w:val="3FE00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7">
    <w:nsid w:val="2D401B79"/>
    <w:multiLevelType w:val="multilevel"/>
    <w:tmpl w:val="F1A6091C"/>
    <w:lvl w:ilvl="0">
      <w:start w:val="4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7C5382"/>
    <w:multiLevelType w:val="hybridMultilevel"/>
    <w:tmpl w:val="DD80325E"/>
    <w:lvl w:ilvl="0" w:tplc="C150AC6A">
      <w:start w:val="2"/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cs="Wingdings" w:hint="default"/>
      </w:rPr>
    </w:lvl>
  </w:abstractNum>
  <w:abstractNum w:abstractNumId="9">
    <w:nsid w:val="482B5EC9"/>
    <w:multiLevelType w:val="hybridMultilevel"/>
    <w:tmpl w:val="3148FC36"/>
    <w:lvl w:ilvl="0" w:tplc="565A3A0E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93B49CB"/>
    <w:multiLevelType w:val="multilevel"/>
    <w:tmpl w:val="F1A6091C"/>
    <w:lvl w:ilvl="0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4C21FD"/>
    <w:multiLevelType w:val="multilevel"/>
    <w:tmpl w:val="34DA20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>
    <w:nsid w:val="7FE828B4"/>
    <w:multiLevelType w:val="multilevel"/>
    <w:tmpl w:val="F1A6091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a Gatell Ruiz">
    <w15:presenceInfo w15:providerId="AD" w15:userId="S-1-5-21-3780779554-2323075558-772334030-2519"/>
  </w15:person>
  <w15:person w15:author="Xenia Mercader">
    <w15:presenceInfo w15:providerId="AD" w15:userId="S-1-5-21-3780779554-2323075558-772334030-1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31"/>
    <w:rsid w:val="00027289"/>
    <w:rsid w:val="00043155"/>
    <w:rsid w:val="00057500"/>
    <w:rsid w:val="0006045D"/>
    <w:rsid w:val="00083597"/>
    <w:rsid w:val="000B0760"/>
    <w:rsid w:val="000C0887"/>
    <w:rsid w:val="000D4399"/>
    <w:rsid w:val="000F6C02"/>
    <w:rsid w:val="001056FB"/>
    <w:rsid w:val="001221F3"/>
    <w:rsid w:val="00157ECB"/>
    <w:rsid w:val="00176DBF"/>
    <w:rsid w:val="001842BF"/>
    <w:rsid w:val="001852C2"/>
    <w:rsid w:val="001D07C2"/>
    <w:rsid w:val="00252366"/>
    <w:rsid w:val="002735E3"/>
    <w:rsid w:val="00286CCA"/>
    <w:rsid w:val="00287260"/>
    <w:rsid w:val="00290AC3"/>
    <w:rsid w:val="002C5763"/>
    <w:rsid w:val="002E4ADC"/>
    <w:rsid w:val="002F3D4A"/>
    <w:rsid w:val="003D7AAE"/>
    <w:rsid w:val="004763AB"/>
    <w:rsid w:val="004A0E2E"/>
    <w:rsid w:val="004A5F07"/>
    <w:rsid w:val="004E055F"/>
    <w:rsid w:val="00515BCC"/>
    <w:rsid w:val="00562DD3"/>
    <w:rsid w:val="005926BA"/>
    <w:rsid w:val="006060BB"/>
    <w:rsid w:val="0062255E"/>
    <w:rsid w:val="0065273A"/>
    <w:rsid w:val="00663631"/>
    <w:rsid w:val="00667C53"/>
    <w:rsid w:val="00677A65"/>
    <w:rsid w:val="006B596A"/>
    <w:rsid w:val="006C1A17"/>
    <w:rsid w:val="006E1A2B"/>
    <w:rsid w:val="006E36B7"/>
    <w:rsid w:val="007535B6"/>
    <w:rsid w:val="00770F79"/>
    <w:rsid w:val="00790322"/>
    <w:rsid w:val="00794C50"/>
    <w:rsid w:val="007B586C"/>
    <w:rsid w:val="007D3FF5"/>
    <w:rsid w:val="007F6988"/>
    <w:rsid w:val="008141BC"/>
    <w:rsid w:val="008334F2"/>
    <w:rsid w:val="00842631"/>
    <w:rsid w:val="00850D0B"/>
    <w:rsid w:val="008B32A4"/>
    <w:rsid w:val="008D01F6"/>
    <w:rsid w:val="009D7DF5"/>
    <w:rsid w:val="009E7A94"/>
    <w:rsid w:val="009F242C"/>
    <w:rsid w:val="00A017F1"/>
    <w:rsid w:val="00A31AD8"/>
    <w:rsid w:val="00AB0E86"/>
    <w:rsid w:val="00AB3800"/>
    <w:rsid w:val="00AE34D5"/>
    <w:rsid w:val="00B0222D"/>
    <w:rsid w:val="00B0480E"/>
    <w:rsid w:val="00B04A58"/>
    <w:rsid w:val="00B16583"/>
    <w:rsid w:val="00B23705"/>
    <w:rsid w:val="00B24CE0"/>
    <w:rsid w:val="00B60773"/>
    <w:rsid w:val="00B92DAA"/>
    <w:rsid w:val="00BC6A62"/>
    <w:rsid w:val="00BD0615"/>
    <w:rsid w:val="00BD21CC"/>
    <w:rsid w:val="00BD2F03"/>
    <w:rsid w:val="00C10AF1"/>
    <w:rsid w:val="00C26770"/>
    <w:rsid w:val="00C37311"/>
    <w:rsid w:val="00C5211E"/>
    <w:rsid w:val="00C628C3"/>
    <w:rsid w:val="00C7024E"/>
    <w:rsid w:val="00CC7BEE"/>
    <w:rsid w:val="00D12842"/>
    <w:rsid w:val="00D35A27"/>
    <w:rsid w:val="00D83DA0"/>
    <w:rsid w:val="00D91A17"/>
    <w:rsid w:val="00D923D7"/>
    <w:rsid w:val="00DC56BB"/>
    <w:rsid w:val="00DC58BB"/>
    <w:rsid w:val="00DE7AA8"/>
    <w:rsid w:val="00DF2660"/>
    <w:rsid w:val="00DF4407"/>
    <w:rsid w:val="00E17BE2"/>
    <w:rsid w:val="00E30835"/>
    <w:rsid w:val="00E62261"/>
    <w:rsid w:val="00E8140A"/>
    <w:rsid w:val="00E82E2B"/>
    <w:rsid w:val="00E83872"/>
    <w:rsid w:val="00E84918"/>
    <w:rsid w:val="00EB6A35"/>
    <w:rsid w:val="00ED1828"/>
    <w:rsid w:val="00ED7145"/>
    <w:rsid w:val="00F16B93"/>
    <w:rsid w:val="00F54441"/>
    <w:rsid w:val="00F661AE"/>
    <w:rsid w:val="00F74AFC"/>
    <w:rsid w:val="00F87FDA"/>
    <w:rsid w:val="00F930CF"/>
    <w:rsid w:val="00F94265"/>
    <w:rsid w:val="00FA285D"/>
    <w:rsid w:val="00FC6CA3"/>
    <w:rsid w:val="00FC75BB"/>
    <w:rsid w:val="00FC7A54"/>
    <w:rsid w:val="00F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napToGrid w:val="0"/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bCs/>
    </w:rPr>
  </w:style>
  <w:style w:type="paragraph" w:styleId="Zkladntextodsazen3">
    <w:name w:val="Body Text Indent 3"/>
    <w:basedOn w:val="Normln"/>
    <w:semiHidden/>
    <w:pPr>
      <w:tabs>
        <w:tab w:val="left" w:pos="284"/>
        <w:tab w:val="left" w:pos="432"/>
        <w:tab w:val="left" w:pos="576"/>
        <w:tab w:val="left" w:pos="720"/>
        <w:tab w:val="left" w:pos="851"/>
        <w:tab w:val="left" w:pos="992"/>
        <w:tab w:val="left" w:pos="1440"/>
        <w:tab w:val="left" w:pos="1701"/>
        <w:tab w:val="left" w:pos="2268"/>
        <w:tab w:val="left" w:pos="3260"/>
      </w:tabs>
      <w:ind w:left="284"/>
      <w:jc w:val="both"/>
    </w:pPr>
    <w:rPr>
      <w:rFonts w:ascii="Times New Roman" w:hAnsi="Times New Roman" w:cs="Times New Roman"/>
    </w:rPr>
  </w:style>
  <w:style w:type="paragraph" w:styleId="Zkladntext3">
    <w:name w:val="Body Text 3"/>
    <w:basedOn w:val="Normln"/>
    <w:semiHidden/>
    <w:pPr>
      <w:jc w:val="both"/>
    </w:pPr>
    <w:rPr>
      <w:b/>
      <w:bCs/>
      <w:lang w:val="es-ES_tradnl"/>
    </w:rPr>
  </w:style>
  <w:style w:type="paragraph" w:styleId="Zkladntextodsazen">
    <w:name w:val="Body Text Indent"/>
    <w:basedOn w:val="Normln"/>
    <w:semiHidden/>
    <w:pPr>
      <w:jc w:val="both"/>
    </w:pPr>
    <w:rPr>
      <w:sz w:val="20"/>
      <w:szCs w:val="20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sz w:val="20"/>
      <w:szCs w:val="20"/>
      <w:lang w:val="es-ES"/>
    </w:rPr>
  </w:style>
  <w:style w:type="paragraph" w:customStyle="1" w:styleId="Textodeglobo1">
    <w:name w:val="Texto de globo1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pPr>
      <w:spacing w:line="36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73A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73A"/>
    <w:rPr>
      <w:rFonts w:ascii="Segoe UI" w:hAnsi="Segoe UI" w:cs="Arial"/>
      <w:snapToGrid w:val="0"/>
      <w:sz w:val="18"/>
      <w:szCs w:val="18"/>
      <w:lang w:val="en-GB"/>
    </w:rPr>
  </w:style>
  <w:style w:type="paragraph" w:styleId="Zhlav">
    <w:name w:val="header"/>
    <w:basedOn w:val="Normln"/>
    <w:link w:val="ZhlavChar"/>
    <w:unhideWhenUsed/>
    <w:rsid w:val="004E0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055F"/>
    <w:rPr>
      <w:rFonts w:ascii="Arial" w:hAnsi="Arial" w:cs="Arial"/>
      <w:snapToGrid w:val="0"/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4E0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55F"/>
    <w:rPr>
      <w:rFonts w:ascii="Arial" w:hAnsi="Arial" w:cs="Arial"/>
      <w:snapToGrid w:val="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napToGrid w:val="0"/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bCs/>
    </w:rPr>
  </w:style>
  <w:style w:type="paragraph" w:styleId="Zkladntextodsazen3">
    <w:name w:val="Body Text Indent 3"/>
    <w:basedOn w:val="Normln"/>
    <w:semiHidden/>
    <w:pPr>
      <w:tabs>
        <w:tab w:val="left" w:pos="284"/>
        <w:tab w:val="left" w:pos="432"/>
        <w:tab w:val="left" w:pos="576"/>
        <w:tab w:val="left" w:pos="720"/>
        <w:tab w:val="left" w:pos="851"/>
        <w:tab w:val="left" w:pos="992"/>
        <w:tab w:val="left" w:pos="1440"/>
        <w:tab w:val="left" w:pos="1701"/>
        <w:tab w:val="left" w:pos="2268"/>
        <w:tab w:val="left" w:pos="3260"/>
      </w:tabs>
      <w:ind w:left="284"/>
      <w:jc w:val="both"/>
    </w:pPr>
    <w:rPr>
      <w:rFonts w:ascii="Times New Roman" w:hAnsi="Times New Roman" w:cs="Times New Roman"/>
    </w:rPr>
  </w:style>
  <w:style w:type="paragraph" w:styleId="Zkladntext3">
    <w:name w:val="Body Text 3"/>
    <w:basedOn w:val="Normln"/>
    <w:semiHidden/>
    <w:pPr>
      <w:jc w:val="both"/>
    </w:pPr>
    <w:rPr>
      <w:b/>
      <w:bCs/>
      <w:lang w:val="es-ES_tradnl"/>
    </w:rPr>
  </w:style>
  <w:style w:type="paragraph" w:styleId="Zkladntextodsazen">
    <w:name w:val="Body Text Indent"/>
    <w:basedOn w:val="Normln"/>
    <w:semiHidden/>
    <w:pPr>
      <w:jc w:val="both"/>
    </w:pPr>
    <w:rPr>
      <w:sz w:val="20"/>
      <w:szCs w:val="20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sz w:val="20"/>
      <w:szCs w:val="20"/>
      <w:lang w:val="es-ES"/>
    </w:rPr>
  </w:style>
  <w:style w:type="paragraph" w:customStyle="1" w:styleId="Textodeglobo1">
    <w:name w:val="Texto de globo1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pPr>
      <w:spacing w:line="36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73A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73A"/>
    <w:rPr>
      <w:rFonts w:ascii="Segoe UI" w:hAnsi="Segoe UI" w:cs="Arial"/>
      <w:snapToGrid w:val="0"/>
      <w:sz w:val="18"/>
      <w:szCs w:val="18"/>
      <w:lang w:val="en-GB"/>
    </w:rPr>
  </w:style>
  <w:style w:type="paragraph" w:styleId="Zhlav">
    <w:name w:val="header"/>
    <w:basedOn w:val="Normln"/>
    <w:link w:val="ZhlavChar"/>
    <w:unhideWhenUsed/>
    <w:rsid w:val="004E0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055F"/>
    <w:rPr>
      <w:rFonts w:ascii="Arial" w:hAnsi="Arial" w:cs="Arial"/>
      <w:snapToGrid w:val="0"/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4E0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55F"/>
    <w:rPr>
      <w:rFonts w:ascii="Arial" w:hAnsi="Arial" w:cs="Arial"/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994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LABEL PROPOSAL</vt:lpstr>
      <vt:lpstr>LABEL PROPOSAL</vt:lpstr>
    </vt:vector>
  </TitlesOfParts>
  <Company>Laboratorios Calier, S.A.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 PROPOSAL</dc:title>
  <dc:creator>F.Fernández</dc:creator>
  <cp:lastModifiedBy>Šťastná Hana</cp:lastModifiedBy>
  <cp:revision>96</cp:revision>
  <cp:lastPrinted>2018-08-22T08:44:00Z</cp:lastPrinted>
  <dcterms:created xsi:type="dcterms:W3CDTF">2014-04-01T10:30:00Z</dcterms:created>
  <dcterms:modified xsi:type="dcterms:W3CDTF">2018-08-22T08:44:00Z</dcterms:modified>
</cp:coreProperties>
</file>