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0DEB" w14:textId="77777777" w:rsidR="00B92130" w:rsidRDefault="00B92130">
      <w:pPr>
        <w:jc w:val="center"/>
        <w:rPr>
          <w:b/>
        </w:rPr>
      </w:pPr>
    </w:p>
    <w:p w14:paraId="1E23DA9F" w14:textId="77777777" w:rsidR="00B92130" w:rsidRDefault="00B92130">
      <w:pPr>
        <w:jc w:val="center"/>
        <w:rPr>
          <w:b/>
        </w:rPr>
      </w:pPr>
    </w:p>
    <w:p w14:paraId="6086CEF7" w14:textId="77777777" w:rsidR="00B92130" w:rsidRDefault="00B92130">
      <w:pPr>
        <w:jc w:val="center"/>
        <w:rPr>
          <w:b/>
        </w:rPr>
      </w:pPr>
    </w:p>
    <w:p w14:paraId="2EBEC554" w14:textId="77777777" w:rsidR="00B92130" w:rsidRDefault="00B92130">
      <w:pPr>
        <w:jc w:val="center"/>
        <w:rPr>
          <w:b/>
        </w:rPr>
      </w:pPr>
    </w:p>
    <w:p w14:paraId="67A4FB0F" w14:textId="77777777" w:rsidR="00B92130" w:rsidRDefault="00B92130">
      <w:pPr>
        <w:jc w:val="center"/>
        <w:rPr>
          <w:b/>
        </w:rPr>
      </w:pPr>
    </w:p>
    <w:p w14:paraId="3F405C98" w14:textId="77777777" w:rsidR="00B92130" w:rsidRDefault="00B92130">
      <w:pPr>
        <w:jc w:val="center"/>
        <w:rPr>
          <w:b/>
        </w:rPr>
      </w:pPr>
    </w:p>
    <w:p w14:paraId="232D0D82" w14:textId="77777777" w:rsidR="00B92130" w:rsidRDefault="00B92130">
      <w:pPr>
        <w:jc w:val="center"/>
        <w:rPr>
          <w:b/>
        </w:rPr>
      </w:pPr>
    </w:p>
    <w:p w14:paraId="126C0959" w14:textId="77777777" w:rsidR="00B92130" w:rsidRDefault="00B92130">
      <w:pPr>
        <w:jc w:val="center"/>
        <w:rPr>
          <w:b/>
        </w:rPr>
      </w:pPr>
    </w:p>
    <w:p w14:paraId="55AF5BFF" w14:textId="77777777" w:rsidR="00B92130" w:rsidRDefault="00B92130">
      <w:pPr>
        <w:jc w:val="center"/>
        <w:rPr>
          <w:b/>
        </w:rPr>
      </w:pPr>
    </w:p>
    <w:p w14:paraId="4369161C" w14:textId="793FFB98" w:rsidR="00B92130" w:rsidRDefault="00E1457F" w:rsidP="00E1457F">
      <w:pPr>
        <w:tabs>
          <w:tab w:val="left" w:pos="830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1820D29" w14:textId="77777777" w:rsidR="00B92130" w:rsidRDefault="00B92130">
      <w:pPr>
        <w:jc w:val="center"/>
        <w:rPr>
          <w:b/>
        </w:rPr>
      </w:pPr>
    </w:p>
    <w:p w14:paraId="653FA154" w14:textId="77777777" w:rsidR="00B92130" w:rsidRDefault="00B92130">
      <w:pPr>
        <w:jc w:val="center"/>
        <w:rPr>
          <w:b/>
        </w:rPr>
      </w:pPr>
    </w:p>
    <w:p w14:paraId="551CFFA3" w14:textId="77777777" w:rsidR="00B92130" w:rsidRDefault="00B92130">
      <w:pPr>
        <w:jc w:val="center"/>
        <w:rPr>
          <w:b/>
        </w:rPr>
      </w:pPr>
    </w:p>
    <w:p w14:paraId="5487EE2D" w14:textId="77777777" w:rsidR="00B92130" w:rsidRDefault="00B92130">
      <w:pPr>
        <w:jc w:val="center"/>
        <w:rPr>
          <w:b/>
        </w:rPr>
      </w:pPr>
    </w:p>
    <w:p w14:paraId="7DC905A4" w14:textId="77777777" w:rsidR="00B92130" w:rsidRDefault="00B92130">
      <w:pPr>
        <w:jc w:val="center"/>
        <w:rPr>
          <w:b/>
        </w:rPr>
      </w:pPr>
    </w:p>
    <w:p w14:paraId="23EA67DB" w14:textId="77777777" w:rsidR="00B92130" w:rsidRDefault="00B92130">
      <w:pPr>
        <w:jc w:val="center"/>
        <w:rPr>
          <w:b/>
        </w:rPr>
      </w:pPr>
    </w:p>
    <w:p w14:paraId="729EF906" w14:textId="77777777" w:rsidR="00B92130" w:rsidRDefault="00B92130">
      <w:pPr>
        <w:jc w:val="center"/>
        <w:rPr>
          <w:b/>
        </w:rPr>
      </w:pPr>
    </w:p>
    <w:p w14:paraId="57C44B6C" w14:textId="77777777" w:rsidR="00B92130" w:rsidRDefault="00B92130">
      <w:pPr>
        <w:jc w:val="center"/>
        <w:rPr>
          <w:b/>
        </w:rPr>
      </w:pPr>
    </w:p>
    <w:p w14:paraId="208E4BF9" w14:textId="77777777" w:rsidR="00B92130" w:rsidRDefault="00B92130">
      <w:pPr>
        <w:jc w:val="center"/>
        <w:rPr>
          <w:b/>
        </w:rPr>
      </w:pPr>
    </w:p>
    <w:p w14:paraId="0E054BDA" w14:textId="77777777" w:rsidR="00B92130" w:rsidRDefault="00B92130">
      <w:pPr>
        <w:jc w:val="center"/>
        <w:rPr>
          <w:b/>
        </w:rPr>
      </w:pPr>
    </w:p>
    <w:p w14:paraId="20088A66" w14:textId="77777777" w:rsidR="00B92130" w:rsidRDefault="00B92130">
      <w:pPr>
        <w:jc w:val="center"/>
        <w:rPr>
          <w:b/>
        </w:rPr>
      </w:pPr>
    </w:p>
    <w:p w14:paraId="02B239BC" w14:textId="77777777" w:rsidR="00B92130" w:rsidRDefault="00B92130">
      <w:pPr>
        <w:jc w:val="center"/>
        <w:rPr>
          <w:b/>
        </w:rPr>
      </w:pPr>
    </w:p>
    <w:p w14:paraId="0A5D8A23" w14:textId="77777777" w:rsidR="00B92130" w:rsidRDefault="00F8046F">
      <w:pPr>
        <w:jc w:val="center"/>
        <w:rPr>
          <w:b/>
        </w:rPr>
      </w:pPr>
      <w:r>
        <w:rPr>
          <w:b/>
        </w:rPr>
        <w:t>PŘÍLOHA I</w:t>
      </w:r>
    </w:p>
    <w:p w14:paraId="418913F8" w14:textId="77777777" w:rsidR="00B92130" w:rsidRDefault="00B92130">
      <w:pPr>
        <w:jc w:val="center"/>
        <w:rPr>
          <w:b/>
        </w:rPr>
      </w:pPr>
    </w:p>
    <w:p w14:paraId="42CFE4DB" w14:textId="77777777" w:rsidR="00B92130" w:rsidRDefault="00F8046F">
      <w:pPr>
        <w:jc w:val="center"/>
        <w:rPr>
          <w:b/>
        </w:rPr>
      </w:pPr>
      <w:r>
        <w:rPr>
          <w:b/>
        </w:rPr>
        <w:t>SOUHRN ÚDAJŮ O PŘÍPRAVKU</w:t>
      </w:r>
    </w:p>
    <w:p w14:paraId="3C8B72F6" w14:textId="77777777" w:rsidR="00B92130" w:rsidRDefault="00B92130">
      <w:pPr>
        <w:jc w:val="center"/>
      </w:pPr>
    </w:p>
    <w:p w14:paraId="4CC61332" w14:textId="77777777" w:rsidR="00B92130" w:rsidRDefault="00F8046F">
      <w:pPr>
        <w:jc w:val="both"/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65DB381C" w14:textId="77777777" w:rsidR="00B92130" w:rsidRDefault="00B92130">
      <w:pPr>
        <w:jc w:val="both"/>
      </w:pPr>
    </w:p>
    <w:p w14:paraId="260466EF" w14:textId="77777777" w:rsidR="00B92130" w:rsidRDefault="00F8046F">
      <w:pPr>
        <w:ind w:left="0" w:firstLine="0"/>
        <w:jc w:val="both"/>
      </w:pPr>
      <w:r>
        <w:t>RELOSYL 50 µg/ml injekční roztok pro skot</w:t>
      </w:r>
    </w:p>
    <w:p w14:paraId="11EDB3B9" w14:textId="77777777" w:rsidR="00B92130" w:rsidRDefault="00B92130">
      <w:pPr>
        <w:jc w:val="both"/>
      </w:pPr>
    </w:p>
    <w:p w14:paraId="67146BF7" w14:textId="77777777" w:rsidR="00B92130" w:rsidRDefault="00B92130">
      <w:pPr>
        <w:jc w:val="both"/>
      </w:pPr>
    </w:p>
    <w:p w14:paraId="157EBF92" w14:textId="77777777" w:rsidR="00B92130" w:rsidRDefault="00F8046F">
      <w:pPr>
        <w:jc w:val="both"/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3A87F98A" w14:textId="77777777" w:rsidR="00B92130" w:rsidRDefault="00B92130">
      <w:pPr>
        <w:jc w:val="both"/>
      </w:pPr>
    </w:p>
    <w:p w14:paraId="0D7CF123" w14:textId="77777777" w:rsidR="00B92130" w:rsidRDefault="00F8046F">
      <w:pPr>
        <w:jc w:val="both"/>
      </w:pPr>
      <w:r>
        <w:t>1 ml obsahuje:</w:t>
      </w:r>
    </w:p>
    <w:p w14:paraId="0D3B8291" w14:textId="77777777" w:rsidR="00B92130" w:rsidRDefault="00B92130">
      <w:pPr>
        <w:jc w:val="both"/>
        <w:rPr>
          <w:b/>
        </w:rPr>
      </w:pPr>
    </w:p>
    <w:p w14:paraId="3F0CA6A7" w14:textId="77777777" w:rsidR="00B92130" w:rsidRDefault="00F8046F">
      <w:pPr>
        <w:ind w:left="0" w:firstLine="0"/>
        <w:jc w:val="both"/>
        <w:rPr>
          <w:b/>
        </w:rPr>
      </w:pPr>
      <w:r>
        <w:rPr>
          <w:b/>
        </w:rPr>
        <w:t>Léčivá látka:</w:t>
      </w:r>
    </w:p>
    <w:p w14:paraId="6362346D" w14:textId="10CD186E" w:rsidR="00B92130" w:rsidRDefault="00F8046F">
      <w:pPr>
        <w:tabs>
          <w:tab w:val="left" w:pos="1701"/>
        </w:tabs>
        <w:ind w:left="0" w:firstLine="0"/>
        <w:jc w:val="both"/>
        <w:rPr>
          <w:iCs/>
        </w:rPr>
      </w:pPr>
      <w:proofErr w:type="spellStart"/>
      <w:r>
        <w:rPr>
          <w:iCs/>
        </w:rPr>
        <w:t>Gonadorelinum</w:t>
      </w:r>
      <w:proofErr w:type="spellEnd"/>
      <w:r>
        <w:rPr>
          <w:iCs/>
        </w:rPr>
        <w:t xml:space="preserve"> (</w:t>
      </w:r>
      <w:r w:rsidR="00CA16A2">
        <w:rPr>
          <w:iCs/>
        </w:rPr>
        <w:t>jako</w:t>
      </w:r>
      <w:r>
        <w:rPr>
          <w:iCs/>
        </w:rPr>
        <w:t xml:space="preserve"> </w:t>
      </w:r>
      <w:proofErr w:type="spellStart"/>
      <w:r>
        <w:rPr>
          <w:iCs/>
        </w:rPr>
        <w:t>gonadorelini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acetas</w:t>
      </w:r>
      <w:proofErr w:type="spellEnd"/>
      <w:r>
        <w:rPr>
          <w:iCs/>
        </w:rPr>
        <w:t>)</w:t>
      </w:r>
      <w:r>
        <w:rPr>
          <w:iCs/>
        </w:rPr>
        <w:tab/>
        <w:t>50 µg</w:t>
      </w:r>
    </w:p>
    <w:p w14:paraId="498218AE" w14:textId="77777777" w:rsidR="00B92130" w:rsidRDefault="00B92130">
      <w:pPr>
        <w:tabs>
          <w:tab w:val="left" w:pos="1701"/>
        </w:tabs>
        <w:ind w:left="0" w:firstLine="0"/>
        <w:jc w:val="both"/>
        <w:rPr>
          <w:iCs/>
        </w:rPr>
      </w:pPr>
    </w:p>
    <w:p w14:paraId="1EF9B84F" w14:textId="272EEA70" w:rsidR="00B92130" w:rsidRDefault="00F8046F">
      <w:pPr>
        <w:ind w:left="0" w:firstLine="0"/>
        <w:jc w:val="both"/>
        <w:rPr>
          <w:b/>
        </w:rPr>
      </w:pPr>
      <w:r>
        <w:rPr>
          <w:b/>
          <w:bCs/>
        </w:rPr>
        <w:t>Pomocné látky</w:t>
      </w:r>
      <w:r>
        <w:rPr>
          <w:b/>
        </w:rPr>
        <w:t>:</w:t>
      </w:r>
    </w:p>
    <w:p w14:paraId="6D207428" w14:textId="77777777" w:rsidR="00B92130" w:rsidRDefault="00B92130">
      <w:pPr>
        <w:ind w:left="0"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92130" w14:paraId="632A3EE2" w14:textId="77777777">
        <w:trPr>
          <w:trHeight w:val="9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0AFC" w14:textId="77777777" w:rsidR="00B92130" w:rsidRDefault="00F8046F">
            <w:pPr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Cs/>
              </w:rPr>
              <w:t>Kvalitativní složení pomocných látek a dalších složek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211D" w14:textId="77777777" w:rsidR="00B92130" w:rsidRDefault="00F8046F">
            <w:pPr>
              <w:ind w:left="31" w:hanging="31"/>
              <w:rPr>
                <w:rFonts w:asciiTheme="majorBidi" w:hAnsiTheme="majorBidi" w:cstheme="majorBidi"/>
                <w:b/>
                <w:bCs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Cs/>
              </w:rPr>
              <w:t>Kvantitativní složení, pokud je tato informace nezbytná pro řádné podání veterinárního léčivého přípravku</w:t>
            </w:r>
          </w:p>
        </w:tc>
      </w:tr>
      <w:tr w:rsidR="00B92130" w14:paraId="4E64D63B" w14:textId="77777777">
        <w:trPr>
          <w:trHeight w:val="4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4CED" w14:textId="77777777" w:rsidR="00B92130" w:rsidRDefault="00F8046F">
            <w:pPr>
              <w:rPr>
                <w:rFonts w:asciiTheme="majorBidi" w:hAnsiTheme="majorBidi" w:cstheme="majorBidi"/>
                <w:iCs/>
              </w:rPr>
            </w:pPr>
            <w:r>
              <w:t>Benzylalkohol (E 1519)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FE5C" w14:textId="77777777" w:rsidR="00B92130" w:rsidRDefault="00F8046F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9 mg</w:t>
            </w:r>
          </w:p>
        </w:tc>
      </w:tr>
      <w:tr w:rsidR="00B92130" w14:paraId="54E38E68" w14:textId="77777777">
        <w:trPr>
          <w:trHeight w:val="4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61DD" w14:textId="77777777" w:rsidR="00B92130" w:rsidRDefault="00F8046F">
            <w:pPr>
              <w:rPr>
                <w:rFonts w:asciiTheme="majorBidi" w:hAnsiTheme="majorBidi" w:cstheme="majorBidi"/>
                <w:iCs/>
              </w:rPr>
            </w:pPr>
            <w:r>
              <w:t>Dihydrogenfosforečnan draselný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1940" w14:textId="77777777" w:rsidR="00B92130" w:rsidRDefault="00B92130">
            <w:pPr>
              <w:rPr>
                <w:rFonts w:asciiTheme="majorBidi" w:hAnsiTheme="majorBidi" w:cstheme="majorBidi"/>
                <w:iCs/>
              </w:rPr>
            </w:pPr>
          </w:p>
        </w:tc>
      </w:tr>
      <w:tr w:rsidR="00B92130" w14:paraId="466C988E" w14:textId="77777777">
        <w:trPr>
          <w:trHeight w:val="39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03AC" w14:textId="77777777" w:rsidR="00B92130" w:rsidRDefault="00F8046F">
            <w:pPr>
              <w:rPr>
                <w:rFonts w:asciiTheme="majorBidi" w:hAnsiTheme="majorBidi" w:cstheme="majorBidi"/>
                <w:iCs/>
              </w:rPr>
            </w:pPr>
            <w:r>
              <w:t>Hydrogenfosforečnan draselný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B9CC" w14:textId="77777777" w:rsidR="00B92130" w:rsidRDefault="00B92130">
            <w:pPr>
              <w:rPr>
                <w:rFonts w:asciiTheme="majorBidi" w:hAnsiTheme="majorBidi" w:cstheme="majorBidi"/>
                <w:iCs/>
              </w:rPr>
            </w:pPr>
          </w:p>
        </w:tc>
      </w:tr>
      <w:tr w:rsidR="00B92130" w14:paraId="2EF021A3" w14:textId="77777777">
        <w:trPr>
          <w:trHeight w:val="4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6A6F" w14:textId="77777777" w:rsidR="00B92130" w:rsidRDefault="00F8046F">
            <w:pPr>
              <w:rPr>
                <w:rFonts w:asciiTheme="majorBidi" w:hAnsiTheme="majorBidi" w:cstheme="majorBidi"/>
                <w:b/>
                <w:bCs/>
                <w:iCs/>
              </w:rPr>
            </w:pPr>
            <w:r>
              <w:t>Chlorid sodný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FEE9" w14:textId="77777777" w:rsidR="00B92130" w:rsidRDefault="00B92130">
            <w:pPr>
              <w:rPr>
                <w:rFonts w:asciiTheme="majorBidi" w:hAnsiTheme="majorBidi" w:cstheme="majorBidi"/>
                <w:iCs/>
              </w:rPr>
            </w:pPr>
          </w:p>
        </w:tc>
      </w:tr>
      <w:tr w:rsidR="00B92130" w14:paraId="385F1EAD" w14:textId="77777777">
        <w:trPr>
          <w:trHeight w:val="41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40C2" w14:textId="77777777" w:rsidR="00B92130" w:rsidRDefault="00F8046F">
            <w:pPr>
              <w:rPr>
                <w:rFonts w:asciiTheme="majorBidi" w:hAnsiTheme="majorBidi" w:cstheme="majorBidi"/>
                <w:iCs/>
              </w:rPr>
            </w:pPr>
            <w:r>
              <w:t>Voda pro injekci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2473" w14:textId="77777777" w:rsidR="00B92130" w:rsidRDefault="00B92130">
            <w:pPr>
              <w:rPr>
                <w:rFonts w:asciiTheme="majorBidi" w:hAnsiTheme="majorBidi" w:cstheme="majorBidi"/>
                <w:iCs/>
              </w:rPr>
            </w:pPr>
          </w:p>
        </w:tc>
      </w:tr>
    </w:tbl>
    <w:p w14:paraId="18FF7BE5" w14:textId="77777777" w:rsidR="00B92130" w:rsidRDefault="00B92130">
      <w:pPr>
        <w:ind w:left="0" w:firstLine="0"/>
        <w:jc w:val="both"/>
      </w:pPr>
    </w:p>
    <w:p w14:paraId="61F4324F" w14:textId="77777777" w:rsidR="00B92130" w:rsidRDefault="00F8046F">
      <w:pPr>
        <w:ind w:left="0" w:firstLine="0"/>
        <w:jc w:val="both"/>
      </w:pPr>
      <w:r>
        <w:t>Čirý, bezbarvý nebo téměř bezbarvý roztok bez viditelných částic.</w:t>
      </w:r>
    </w:p>
    <w:p w14:paraId="703AD969" w14:textId="77777777" w:rsidR="00B92130" w:rsidRDefault="00B92130">
      <w:pPr>
        <w:jc w:val="both"/>
      </w:pPr>
    </w:p>
    <w:p w14:paraId="1CB393BF" w14:textId="77777777" w:rsidR="00B92130" w:rsidRDefault="00B92130">
      <w:pPr>
        <w:jc w:val="both"/>
      </w:pPr>
    </w:p>
    <w:p w14:paraId="3037D0F1" w14:textId="7558689B" w:rsidR="00B92130" w:rsidRDefault="00F8046F">
      <w:pPr>
        <w:jc w:val="both"/>
      </w:pPr>
      <w:r>
        <w:rPr>
          <w:b/>
        </w:rPr>
        <w:t>3.</w:t>
      </w:r>
      <w:r>
        <w:rPr>
          <w:b/>
        </w:rPr>
        <w:tab/>
        <w:t>KLINICKÉ ÚDAJE</w:t>
      </w:r>
    </w:p>
    <w:p w14:paraId="68577D1F" w14:textId="77777777" w:rsidR="00B92130" w:rsidRDefault="00B92130">
      <w:pPr>
        <w:jc w:val="both"/>
      </w:pPr>
    </w:p>
    <w:p w14:paraId="7F680AB7" w14:textId="5BB20701" w:rsidR="00B92130" w:rsidRDefault="00F8046F">
      <w:pPr>
        <w:jc w:val="both"/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5570035E" w14:textId="77777777" w:rsidR="00B92130" w:rsidRDefault="00B92130">
      <w:pPr>
        <w:ind w:left="0" w:firstLine="0"/>
        <w:jc w:val="both"/>
      </w:pPr>
    </w:p>
    <w:p w14:paraId="453E14C6" w14:textId="23D8EBF4" w:rsidR="00B92130" w:rsidRDefault="00F8046F">
      <w:pPr>
        <w:ind w:left="0" w:firstLine="0"/>
        <w:jc w:val="both"/>
      </w:pPr>
      <w:r>
        <w:t>Skot (krávy, jalovice).</w:t>
      </w:r>
    </w:p>
    <w:p w14:paraId="79AFD1C8" w14:textId="77777777" w:rsidR="00B92130" w:rsidRDefault="00B92130">
      <w:pPr>
        <w:jc w:val="both"/>
      </w:pPr>
    </w:p>
    <w:p w14:paraId="690FEE66" w14:textId="57C3A593" w:rsidR="00B92130" w:rsidRDefault="00F8046F">
      <w:pPr>
        <w:jc w:val="both"/>
        <w:rPr>
          <w:b/>
        </w:rPr>
      </w:pPr>
      <w:r>
        <w:rPr>
          <w:b/>
        </w:rPr>
        <w:t>3.2</w:t>
      </w:r>
      <w:r>
        <w:rPr>
          <w:b/>
        </w:rPr>
        <w:tab/>
        <w:t xml:space="preserve">Indikace s upřesněním pro cílový druh zvířat </w:t>
      </w:r>
    </w:p>
    <w:p w14:paraId="2339ABED" w14:textId="77777777" w:rsidR="00B92130" w:rsidRDefault="00B92130">
      <w:pPr>
        <w:jc w:val="both"/>
      </w:pPr>
    </w:p>
    <w:p w14:paraId="0C36B3A7" w14:textId="77777777" w:rsidR="00B92130" w:rsidRDefault="00F8046F">
      <w:pPr>
        <w:ind w:left="0" w:firstLine="0"/>
        <w:jc w:val="both"/>
      </w:pPr>
      <w:r>
        <w:t>Léčba folikulárních ovariálních cyst.</w:t>
      </w:r>
    </w:p>
    <w:p w14:paraId="2996D454" w14:textId="77777777" w:rsidR="00B92130" w:rsidRDefault="00F8046F">
      <w:pPr>
        <w:ind w:left="0" w:firstLine="0"/>
        <w:jc w:val="both"/>
      </w:pPr>
      <w:r>
        <w:t>Optimalizace času ovulace v souvislosti s umělou inseminací.</w:t>
      </w:r>
    </w:p>
    <w:p w14:paraId="1A5C5902" w14:textId="77777777" w:rsidR="00B92130" w:rsidRDefault="00B92130">
      <w:pPr>
        <w:tabs>
          <w:tab w:val="left" w:pos="885"/>
        </w:tabs>
        <w:jc w:val="both"/>
        <w:rPr>
          <w:szCs w:val="22"/>
        </w:rPr>
      </w:pPr>
    </w:p>
    <w:p w14:paraId="63CF67EF" w14:textId="77777777" w:rsidR="00B92130" w:rsidRDefault="00F8046F">
      <w:pPr>
        <w:ind w:left="0" w:firstLine="0"/>
        <w:jc w:val="both"/>
        <w:rPr>
          <w:bCs/>
        </w:rPr>
      </w:pPr>
      <w:r>
        <w:t>Indukce a synchronizace říje a ovulace v kombinaci s prostaglandinem F</w:t>
      </w:r>
      <w:r>
        <w:rPr>
          <w:vertAlign w:val="subscript"/>
        </w:rPr>
        <w:t>2</w:t>
      </w:r>
      <w:r>
        <w:rPr>
          <w:vertAlign w:val="subscript"/>
          <w:lang w:val="en-GB"/>
        </w:rPr>
        <w:sym w:font="Symbol" w:char="F061"/>
      </w:r>
      <w:r>
        <w:t xml:space="preserve"> </w:t>
      </w:r>
      <w:r>
        <w:rPr>
          <w:bCs/>
        </w:rPr>
        <w:t>(PGF</w:t>
      </w:r>
      <w:r>
        <w:rPr>
          <w:bCs/>
          <w:vertAlign w:val="subscript"/>
        </w:rPr>
        <w:t>2</w:t>
      </w:r>
      <w:r>
        <w:rPr>
          <w:bCs/>
          <w:vertAlign w:val="subscript"/>
          <w:lang w:val="en-GB"/>
        </w:rPr>
        <w:t>α</w:t>
      </w:r>
      <w:r>
        <w:rPr>
          <w:bCs/>
        </w:rPr>
        <w:t>) s nebo bez použití progesteronu jako součást programů pro načasovanou inseminaci:</w:t>
      </w:r>
    </w:p>
    <w:p w14:paraId="26D31D3C" w14:textId="77777777" w:rsidR="00B92130" w:rsidRDefault="00F8046F">
      <w:pPr>
        <w:numPr>
          <w:ilvl w:val="0"/>
          <w:numId w:val="43"/>
        </w:numPr>
        <w:jc w:val="both"/>
      </w:pPr>
      <w:r>
        <w:t xml:space="preserve">U cyklujících krav používejte v kombinaci s </w:t>
      </w:r>
      <w:r>
        <w:rPr>
          <w:bCs/>
        </w:rPr>
        <w:t>PGF</w:t>
      </w:r>
      <w:r>
        <w:rPr>
          <w:bCs/>
          <w:vertAlign w:val="subscript"/>
        </w:rPr>
        <w:t>2</w:t>
      </w:r>
      <w:r>
        <w:rPr>
          <w:bCs/>
          <w:vertAlign w:val="subscript"/>
          <w:lang w:val="en-GB"/>
        </w:rPr>
        <w:t>α</w:t>
      </w:r>
      <w:r>
        <w:rPr>
          <w:bCs/>
        </w:rPr>
        <w:t xml:space="preserve"> nebo analogem.</w:t>
      </w:r>
    </w:p>
    <w:p w14:paraId="0C153F5F" w14:textId="6CA7BE84" w:rsidR="00B92130" w:rsidRDefault="00F8046F">
      <w:pPr>
        <w:numPr>
          <w:ilvl w:val="0"/>
          <w:numId w:val="43"/>
        </w:numPr>
        <w:jc w:val="both"/>
      </w:pPr>
      <w:r>
        <w:rPr>
          <w:bCs/>
        </w:rPr>
        <w:t>U cyklujících a necyklujících krav a jalovic používejte v kombinaci s PGF</w:t>
      </w:r>
      <w:r>
        <w:rPr>
          <w:bCs/>
          <w:vertAlign w:val="subscript"/>
        </w:rPr>
        <w:t>2</w:t>
      </w:r>
      <w:r>
        <w:rPr>
          <w:bCs/>
          <w:vertAlign w:val="subscript"/>
          <w:lang w:val="en-GB"/>
        </w:rPr>
        <w:t>α</w:t>
      </w:r>
      <w:r>
        <w:rPr>
          <w:bCs/>
        </w:rPr>
        <w:t xml:space="preserve"> nebo analogem </w:t>
      </w:r>
      <w:r w:rsidR="00EC1EFE">
        <w:rPr>
          <w:bCs/>
        </w:rPr>
        <w:t>a </w:t>
      </w:r>
      <w:r>
        <w:rPr>
          <w:bCs/>
        </w:rPr>
        <w:t>inzertem uvolňujícím progesteron.</w:t>
      </w:r>
    </w:p>
    <w:p w14:paraId="262CD84F" w14:textId="77777777" w:rsidR="00B92130" w:rsidRDefault="00B92130">
      <w:pPr>
        <w:tabs>
          <w:tab w:val="left" w:pos="885"/>
        </w:tabs>
        <w:jc w:val="both"/>
        <w:rPr>
          <w:szCs w:val="22"/>
        </w:rPr>
      </w:pPr>
    </w:p>
    <w:p w14:paraId="21731C67" w14:textId="07B3EE0B" w:rsidR="00B92130" w:rsidRDefault="00F8046F">
      <w:pPr>
        <w:jc w:val="both"/>
      </w:pPr>
      <w:r>
        <w:rPr>
          <w:b/>
        </w:rPr>
        <w:t>3.3</w:t>
      </w:r>
      <w:r>
        <w:rPr>
          <w:b/>
        </w:rPr>
        <w:tab/>
        <w:t>Kontraindikace</w:t>
      </w:r>
    </w:p>
    <w:p w14:paraId="58155CC1" w14:textId="77777777" w:rsidR="00B92130" w:rsidRDefault="00B92130">
      <w:pPr>
        <w:jc w:val="both"/>
      </w:pPr>
    </w:p>
    <w:p w14:paraId="469440F0" w14:textId="32C094FE" w:rsidR="00B92130" w:rsidRDefault="00F8046F">
      <w:pPr>
        <w:ind w:left="0" w:firstLine="0"/>
        <w:jc w:val="both"/>
      </w:pPr>
      <w:r>
        <w:t xml:space="preserve">Nepoužívat v případech přecitlivělosti na </w:t>
      </w:r>
      <w:r>
        <w:rPr>
          <w:iCs/>
        </w:rPr>
        <w:t>léčivou látku</w:t>
      </w:r>
      <w:r>
        <w:t xml:space="preserve"> nebo na některou z pomocných látek.</w:t>
      </w:r>
    </w:p>
    <w:p w14:paraId="408C1573" w14:textId="77777777" w:rsidR="00B92130" w:rsidRDefault="00B92130">
      <w:pPr>
        <w:jc w:val="both"/>
      </w:pPr>
    </w:p>
    <w:p w14:paraId="591FA395" w14:textId="0689DAFE" w:rsidR="00B92130" w:rsidRDefault="00F8046F">
      <w:pPr>
        <w:jc w:val="both"/>
        <w:rPr>
          <w:b/>
        </w:rPr>
      </w:pPr>
      <w:r>
        <w:rPr>
          <w:b/>
        </w:rPr>
        <w:t>3.4</w:t>
      </w:r>
      <w:r>
        <w:rPr>
          <w:b/>
        </w:rPr>
        <w:tab/>
        <w:t>Zvláštní upozornění</w:t>
      </w:r>
    </w:p>
    <w:p w14:paraId="2DD37DEC" w14:textId="77777777" w:rsidR="00B92130" w:rsidRDefault="00B92130">
      <w:pPr>
        <w:jc w:val="both"/>
      </w:pPr>
    </w:p>
    <w:p w14:paraId="259284B4" w14:textId="77777777" w:rsidR="00B92130" w:rsidRDefault="00F8046F">
      <w:pPr>
        <w:ind w:left="0" w:firstLine="0"/>
        <w:jc w:val="both"/>
      </w:pPr>
      <w:r>
        <w:t xml:space="preserve">Při léčbě cystických ovarií by měl být diagnostikován stav folikulárních ovariálních cyst pomocí rektální palpace odhalující přítomnost přetrvávajících folikulárních struktur o průměru více než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 a měly by být potvrzeny testem na progesteron v plazmě nebo mléku.</w:t>
      </w:r>
    </w:p>
    <w:p w14:paraId="00F9A930" w14:textId="77777777" w:rsidR="00B92130" w:rsidRDefault="00B92130">
      <w:pPr>
        <w:ind w:left="0" w:firstLine="0"/>
        <w:jc w:val="both"/>
      </w:pPr>
    </w:p>
    <w:p w14:paraId="04DC47F8" w14:textId="21209B15" w:rsidR="00B92130" w:rsidRDefault="00F8046F">
      <w:pPr>
        <w:ind w:left="0" w:firstLine="0"/>
        <w:jc w:val="both"/>
      </w:pPr>
      <w:r>
        <w:lastRenderedPageBreak/>
        <w:t>Veterinární léčivý přípravek by měl být podáván nejméně 14 dní po otelení vzhledem k absenci vnímavosti hypofýzy před uplynutím této lhůty.</w:t>
      </w:r>
    </w:p>
    <w:p w14:paraId="11C1AB0C" w14:textId="77777777" w:rsidR="00B92130" w:rsidRDefault="00B92130">
      <w:pPr>
        <w:ind w:left="0" w:firstLine="0"/>
        <w:jc w:val="both"/>
      </w:pPr>
    </w:p>
    <w:p w14:paraId="4DCBA1F0" w14:textId="77777777" w:rsidR="00B92130" w:rsidRDefault="00F8046F">
      <w:pPr>
        <w:ind w:left="0" w:firstLine="0"/>
        <w:jc w:val="both"/>
      </w:pPr>
      <w:r>
        <w:t>K indukci a synchronizaci říje a ovulace v programech pro načasovanou inseminaci by měl být veterinární léčivý přípravek podáván nejméně 35 dnů po otelení. Odezva krav a jalovic na synchronizační protokoly založené na použití progesteronu je ovlivněna jejich fyziologickým stavem v době léčby. Odezva na léčbu se může lišit jak mezi stády, tak mezi zvířaty v jednom stádě. Procento zvířat vykazujících říji je nicméně v daném období obvykle vyšší než u neošetřených zvířat a následná luteální fáze má obvyklou dobu trvání.</w:t>
      </w:r>
    </w:p>
    <w:p w14:paraId="18106610" w14:textId="77777777" w:rsidR="00B92130" w:rsidRDefault="00B92130">
      <w:pPr>
        <w:ind w:left="0" w:firstLine="0"/>
        <w:jc w:val="both"/>
      </w:pPr>
    </w:p>
    <w:p w14:paraId="482832C1" w14:textId="77777777" w:rsidR="00B92130" w:rsidRDefault="00F8046F">
      <w:pPr>
        <w:ind w:left="0" w:firstLine="0"/>
        <w:jc w:val="both"/>
      </w:pPr>
      <w:r>
        <w:t xml:space="preserve">Pro program, který zahrnuje pouze </w:t>
      </w:r>
      <w:r>
        <w:rPr>
          <w:szCs w:val="22"/>
        </w:rPr>
        <w:t>PGF</w:t>
      </w:r>
      <w:r>
        <w:rPr>
          <w:szCs w:val="22"/>
          <w:vertAlign w:val="subscript"/>
        </w:rPr>
        <w:t>2</w:t>
      </w:r>
      <w:r>
        <w:rPr>
          <w:szCs w:val="22"/>
          <w:vertAlign w:val="subscript"/>
          <w:lang w:val="en-US"/>
        </w:rPr>
        <w:sym w:font="Symbol" w:char="F061"/>
      </w:r>
      <w:r>
        <w:rPr>
          <w:szCs w:val="22"/>
        </w:rPr>
        <w:t xml:space="preserve"> u cyklujících krav: Kvůli zvýšení pravděpodobnosti zabřeznutí zvířete by měl být zjištěn stav vaječníků a potvrzena jejich cyklická aktivita. Nejlepších výsledků je dosaženo u zdravých normálně cyklujících zvířat.</w:t>
      </w:r>
    </w:p>
    <w:p w14:paraId="492FDFC4" w14:textId="77777777" w:rsidR="00B92130" w:rsidRDefault="00B92130">
      <w:pPr>
        <w:ind w:left="0" w:firstLine="0"/>
        <w:jc w:val="both"/>
      </w:pPr>
    </w:p>
    <w:p w14:paraId="4CA8513F" w14:textId="71A30209" w:rsidR="00B92130" w:rsidRDefault="00F8046F">
      <w:pPr>
        <w:jc w:val="both"/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7041BF11" w14:textId="77777777" w:rsidR="00B92130" w:rsidRDefault="00B92130">
      <w:pPr>
        <w:jc w:val="both"/>
      </w:pPr>
    </w:p>
    <w:p w14:paraId="254BDF92" w14:textId="15920337" w:rsidR="00B92130" w:rsidRDefault="00F8046F">
      <w:pPr>
        <w:jc w:val="both"/>
        <w:rPr>
          <w:u w:val="single"/>
        </w:rPr>
      </w:pPr>
      <w:r>
        <w:rPr>
          <w:u w:val="single"/>
        </w:rPr>
        <w:t xml:space="preserve">Zvláštní opatření pro </w:t>
      </w:r>
      <w:r>
        <w:rPr>
          <w:rFonts w:asciiTheme="majorBidi" w:hAnsiTheme="majorBidi" w:cstheme="majorBidi"/>
          <w:u w:val="single"/>
        </w:rPr>
        <w:t>bezpečné použití u cílových druhů zvířat:</w:t>
      </w:r>
    </w:p>
    <w:p w14:paraId="6ACCA932" w14:textId="77777777" w:rsidR="00B92130" w:rsidRDefault="00B92130">
      <w:pPr>
        <w:jc w:val="both"/>
      </w:pPr>
    </w:p>
    <w:p w14:paraId="4883D61B" w14:textId="77777777" w:rsidR="00B92130" w:rsidRDefault="00F8046F">
      <w:pPr>
        <w:ind w:left="0" w:firstLine="0"/>
        <w:jc w:val="both"/>
      </w:pPr>
      <w:r>
        <w:t>Zvířata, která nejsou v dobrém stavu, ať kvůli nemoci, nevhodné stravě, nebo jiným faktorům, mohou mít slabou odezvu na léčbu.</w:t>
      </w:r>
    </w:p>
    <w:p w14:paraId="04B995DD" w14:textId="77777777" w:rsidR="00B92130" w:rsidRDefault="00B92130">
      <w:pPr>
        <w:jc w:val="both"/>
      </w:pPr>
    </w:p>
    <w:p w14:paraId="5EB700C5" w14:textId="77777777" w:rsidR="00B92130" w:rsidRDefault="00F8046F">
      <w:pPr>
        <w:tabs>
          <w:tab w:val="left" w:pos="720"/>
        </w:tabs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14:paraId="409F7889" w14:textId="77777777" w:rsidR="00B92130" w:rsidRDefault="00B92130">
      <w:pPr>
        <w:jc w:val="both"/>
      </w:pPr>
    </w:p>
    <w:p w14:paraId="0DBE9CC4" w14:textId="77777777" w:rsidR="00E1457F" w:rsidRDefault="00E1457F" w:rsidP="00E1457F">
      <w:pPr>
        <w:ind w:left="0" w:firstLine="0"/>
        <w:jc w:val="both"/>
      </w:pPr>
      <w:r>
        <w:t>Gonadorelin je analog hormonu uvolňujícího gonadotropin (GnRH), který stimuluje uvolňování pohlavních hormonů. Účinky náhodného vystavení analogům GnRH u těhotných žen nebo u žen s normálním reprodukčním cyklem nejsou známy, proto se doporučuje, aby těhotné ženy přípravek nepodávaly a ženy v plodném věku podávaly přípravek obezřetně.</w:t>
      </w:r>
    </w:p>
    <w:p w14:paraId="6490C44C" w14:textId="77777777" w:rsidR="00E1457F" w:rsidRDefault="00E1457F" w:rsidP="00E1457F">
      <w:pPr>
        <w:ind w:left="0" w:firstLine="0"/>
        <w:jc w:val="both"/>
      </w:pPr>
    </w:p>
    <w:p w14:paraId="7C668A2B" w14:textId="56007982" w:rsidR="00B92130" w:rsidRDefault="00F8046F">
      <w:pPr>
        <w:ind w:left="0" w:firstLine="0"/>
        <w:jc w:val="both"/>
      </w:pPr>
      <w:r>
        <w:t xml:space="preserve">Při manipulaci s veterinárním léčivým přípravkem </w:t>
      </w:r>
      <w:r w:rsidR="00FE769C">
        <w:t xml:space="preserve">zabraňte </w:t>
      </w:r>
      <w:r>
        <w:t>náhodnému samopodání injekce. V</w:t>
      </w:r>
      <w:r w:rsidR="00FE769C">
        <w:t> </w:t>
      </w:r>
      <w:r>
        <w:t xml:space="preserve">případě náhodného sebepoškození injekčně aplikovaným přípravkem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14:paraId="04CF9507" w14:textId="77777777" w:rsidR="00B92130" w:rsidRDefault="00B92130">
      <w:pPr>
        <w:ind w:left="0" w:firstLine="0"/>
        <w:jc w:val="both"/>
      </w:pPr>
    </w:p>
    <w:p w14:paraId="2A94D555" w14:textId="7DCFFEFE" w:rsidR="00B92130" w:rsidRDefault="00F8046F">
      <w:pPr>
        <w:ind w:left="0" w:firstLine="0"/>
        <w:jc w:val="both"/>
      </w:pPr>
      <w:r>
        <w:t xml:space="preserve">Vzhledem k tomu, že analogy GnRH se mohou vstřebávat kůží a benzylalkohol může způsobit mírné lokální podráždění, je třeba dbát na to, aby nedošlo ke kontaktu s kůží a očima. V případě kontaktu s kůží a/nebo očima je </w:t>
      </w:r>
      <w:r w:rsidR="00FE769C">
        <w:t>ihned</w:t>
      </w:r>
      <w:r>
        <w:t xml:space="preserve"> důkladně vypláchněte velkým množstvím vody.</w:t>
      </w:r>
    </w:p>
    <w:p w14:paraId="77AC63DA" w14:textId="17AAFE18" w:rsidR="00B92130" w:rsidRDefault="00B92130">
      <w:pPr>
        <w:ind w:left="0" w:firstLine="0"/>
        <w:jc w:val="both"/>
      </w:pPr>
    </w:p>
    <w:p w14:paraId="7FCD53FE" w14:textId="77777777" w:rsidR="00E1457F" w:rsidRDefault="00E1457F">
      <w:pPr>
        <w:ind w:left="0" w:firstLine="0"/>
        <w:jc w:val="both"/>
      </w:pPr>
    </w:p>
    <w:p w14:paraId="36852D3B" w14:textId="4C2D1C57" w:rsidR="00B92130" w:rsidRDefault="00F8046F">
      <w:pPr>
        <w:ind w:left="0" w:firstLine="0"/>
        <w:jc w:val="both"/>
      </w:pPr>
      <w:r>
        <w:t xml:space="preserve">GnRH analogy a benzylalkohol mohou způsobit přecitlivělost (alergii). Lidé se známou přecitlivělostí na analogy </w:t>
      </w:r>
      <w:proofErr w:type="spellStart"/>
      <w:r>
        <w:t>GnRH</w:t>
      </w:r>
      <w:proofErr w:type="spellEnd"/>
      <w:r>
        <w:t xml:space="preserve"> nebo </w:t>
      </w:r>
      <w:proofErr w:type="spellStart"/>
      <w:r>
        <w:t>benzylalkohol</w:t>
      </w:r>
      <w:proofErr w:type="spellEnd"/>
      <w:r>
        <w:t xml:space="preserve"> by se měli vyhnout kontaktu s veterinárním léčivým přípravkem.</w:t>
      </w:r>
    </w:p>
    <w:p w14:paraId="2E24F9A4" w14:textId="77777777" w:rsidR="00B92130" w:rsidRDefault="00B92130">
      <w:pPr>
        <w:jc w:val="both"/>
      </w:pPr>
    </w:p>
    <w:p w14:paraId="5B89CDCF" w14:textId="77777777" w:rsidR="00B92130" w:rsidRDefault="00F8046F">
      <w:pPr>
        <w:tabs>
          <w:tab w:val="left" w:pos="720"/>
        </w:tabs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Zvláštní opatření pro ochranu životního prostředí:</w:t>
      </w:r>
    </w:p>
    <w:p w14:paraId="50A9781B" w14:textId="77777777" w:rsidR="00B92130" w:rsidRDefault="00B92130">
      <w:pPr>
        <w:tabs>
          <w:tab w:val="left" w:pos="720"/>
        </w:tabs>
        <w:rPr>
          <w:rFonts w:asciiTheme="majorBidi" w:hAnsiTheme="majorBidi" w:cstheme="majorBidi"/>
        </w:rPr>
      </w:pPr>
    </w:p>
    <w:p w14:paraId="107191F5" w14:textId="77777777" w:rsidR="00B92130" w:rsidRDefault="00F8046F">
      <w:pPr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Neuplatňuje se.</w:t>
      </w:r>
    </w:p>
    <w:p w14:paraId="6FF917ED" w14:textId="77777777" w:rsidR="00B92130" w:rsidRDefault="00B92130">
      <w:pPr>
        <w:tabs>
          <w:tab w:val="left" w:pos="720"/>
        </w:tabs>
        <w:rPr>
          <w:rFonts w:asciiTheme="majorBidi" w:hAnsiTheme="majorBidi" w:cstheme="majorBidi"/>
        </w:rPr>
      </w:pPr>
    </w:p>
    <w:p w14:paraId="4217DA94" w14:textId="4E5F1C9E" w:rsidR="00B92130" w:rsidRDefault="00F8046F">
      <w:pPr>
        <w:jc w:val="both"/>
      </w:pPr>
      <w:r>
        <w:rPr>
          <w:b/>
        </w:rPr>
        <w:t>3.6</w:t>
      </w:r>
      <w:r>
        <w:rPr>
          <w:b/>
        </w:rPr>
        <w:tab/>
        <w:t>Nežádoucí účinky</w:t>
      </w:r>
    </w:p>
    <w:p w14:paraId="282946CB" w14:textId="77777777" w:rsidR="00B92130" w:rsidRDefault="00B92130">
      <w:pPr>
        <w:jc w:val="both"/>
        <w:rPr>
          <w:b/>
        </w:rPr>
      </w:pPr>
    </w:p>
    <w:p w14:paraId="528DAA38" w14:textId="77777777" w:rsidR="00B92130" w:rsidRDefault="00F8046F">
      <w:pPr>
        <w:jc w:val="both"/>
        <w:rPr>
          <w:szCs w:val="22"/>
        </w:rPr>
      </w:pPr>
      <w:r>
        <w:rPr>
          <w:szCs w:val="22"/>
        </w:rPr>
        <w:t>Nejsou známy.</w:t>
      </w:r>
    </w:p>
    <w:p w14:paraId="1FC80355" w14:textId="77777777" w:rsidR="00B92130" w:rsidRDefault="00B92130">
      <w:pPr>
        <w:jc w:val="both"/>
        <w:rPr>
          <w:szCs w:val="22"/>
        </w:rPr>
      </w:pPr>
    </w:p>
    <w:p w14:paraId="57349750" w14:textId="77777777" w:rsidR="00B92130" w:rsidRDefault="00F8046F">
      <w:pPr>
        <w:ind w:left="0" w:firstLine="0"/>
        <w:jc w:val="both"/>
        <w:rPr>
          <w:szCs w:val="22"/>
        </w:rPr>
      </w:pPr>
      <w:bookmarkStart w:id="0" w:name="_Hlk66891708"/>
      <w:r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0"/>
    <w:p w14:paraId="179DC430" w14:textId="77777777" w:rsidR="00B92130" w:rsidRDefault="00B92130">
      <w:pPr>
        <w:ind w:left="0" w:firstLine="0"/>
        <w:jc w:val="both"/>
        <w:rPr>
          <w:szCs w:val="22"/>
        </w:rPr>
      </w:pPr>
    </w:p>
    <w:p w14:paraId="1A7C1D09" w14:textId="3E87546B" w:rsidR="00B92130" w:rsidRDefault="00F8046F" w:rsidP="00EC1EFE">
      <w:pPr>
        <w:keepNext/>
        <w:jc w:val="both"/>
      </w:pPr>
      <w:r>
        <w:rPr>
          <w:b/>
        </w:rPr>
        <w:lastRenderedPageBreak/>
        <w:t>3.7</w:t>
      </w:r>
      <w:r>
        <w:rPr>
          <w:b/>
        </w:rPr>
        <w:tab/>
        <w:t>Použití v průběhu březosti, laktace nebo snášky</w:t>
      </w:r>
    </w:p>
    <w:p w14:paraId="2672B392" w14:textId="77777777" w:rsidR="00B92130" w:rsidRDefault="00B92130" w:rsidP="00EC1EFE">
      <w:pPr>
        <w:keepNext/>
        <w:jc w:val="both"/>
      </w:pPr>
    </w:p>
    <w:p w14:paraId="195F9E97" w14:textId="77777777" w:rsidR="00B92130" w:rsidRDefault="00F8046F" w:rsidP="00EC1EFE">
      <w:pPr>
        <w:keepNext/>
        <w:ind w:left="0" w:firstLine="0"/>
        <w:jc w:val="both"/>
      </w:pPr>
      <w:r>
        <w:t>Březost:</w:t>
      </w:r>
    </w:p>
    <w:p w14:paraId="0453C354" w14:textId="77777777" w:rsidR="00B92130" w:rsidRDefault="00B92130" w:rsidP="00EC1EFE">
      <w:pPr>
        <w:keepNext/>
        <w:ind w:left="0" w:firstLine="0"/>
        <w:jc w:val="both"/>
      </w:pPr>
    </w:p>
    <w:p w14:paraId="1C791109" w14:textId="7624E3EC" w:rsidR="00B92130" w:rsidRDefault="00F8046F">
      <w:pPr>
        <w:ind w:left="0" w:firstLine="0"/>
        <w:jc w:val="both"/>
      </w:pPr>
      <w:r>
        <w:t>Použití není doporučováno během březosti.</w:t>
      </w:r>
    </w:p>
    <w:p w14:paraId="6B8F3D7D" w14:textId="77777777" w:rsidR="00B92130" w:rsidRDefault="00B92130">
      <w:pPr>
        <w:ind w:left="0" w:firstLine="0"/>
        <w:jc w:val="both"/>
      </w:pPr>
    </w:p>
    <w:p w14:paraId="7136DF97" w14:textId="77777777" w:rsidR="00B92130" w:rsidRDefault="00F8046F">
      <w:pPr>
        <w:ind w:left="0" w:firstLine="0"/>
        <w:jc w:val="both"/>
      </w:pPr>
      <w:r>
        <w:rPr>
          <w:rFonts w:asciiTheme="majorBidi" w:hAnsiTheme="majorBidi" w:cstheme="majorBidi"/>
          <w:u w:val="single"/>
        </w:rPr>
        <w:t>Laktace</w:t>
      </w:r>
      <w:r>
        <w:rPr>
          <w:rFonts w:asciiTheme="majorBidi" w:hAnsiTheme="majorBidi" w:cstheme="majorBidi"/>
        </w:rPr>
        <w:t>:</w:t>
      </w:r>
    </w:p>
    <w:p w14:paraId="612C955F" w14:textId="0048B938" w:rsidR="00B92130" w:rsidRDefault="00F8046F">
      <w:pPr>
        <w:ind w:left="0" w:firstLine="0"/>
        <w:jc w:val="both"/>
      </w:pPr>
      <w:r>
        <w:t>Lze použít během laktace.</w:t>
      </w:r>
    </w:p>
    <w:p w14:paraId="066B3E8C" w14:textId="77777777" w:rsidR="00B92130" w:rsidRDefault="00B92130">
      <w:pPr>
        <w:jc w:val="both"/>
      </w:pPr>
    </w:p>
    <w:p w14:paraId="5B4B3CF3" w14:textId="68BE5939" w:rsidR="00B92130" w:rsidRDefault="00F8046F">
      <w:pPr>
        <w:jc w:val="both"/>
      </w:pPr>
      <w:r>
        <w:rPr>
          <w:b/>
        </w:rPr>
        <w:t>3.8</w:t>
      </w:r>
      <w:r>
        <w:rPr>
          <w:b/>
        </w:rPr>
        <w:tab/>
        <w:t>Interakce s dalšími léčivými přípravky a další formy interakce</w:t>
      </w:r>
    </w:p>
    <w:p w14:paraId="706E2A0A" w14:textId="77777777" w:rsidR="00B92130" w:rsidRDefault="00B92130">
      <w:pPr>
        <w:jc w:val="both"/>
      </w:pPr>
    </w:p>
    <w:p w14:paraId="4D4FB3D3" w14:textId="77777777" w:rsidR="00B92130" w:rsidRDefault="00F8046F">
      <w:pPr>
        <w:jc w:val="both"/>
      </w:pPr>
      <w:r>
        <w:t>Nejsou známy.</w:t>
      </w:r>
    </w:p>
    <w:p w14:paraId="05B2789A" w14:textId="77777777" w:rsidR="00B92130" w:rsidRDefault="00B92130">
      <w:pPr>
        <w:jc w:val="both"/>
      </w:pPr>
    </w:p>
    <w:p w14:paraId="2AC96258" w14:textId="4B6F1B74" w:rsidR="00B92130" w:rsidRDefault="00F8046F">
      <w:pPr>
        <w:jc w:val="both"/>
        <w:rPr>
          <w:b/>
        </w:rPr>
      </w:pPr>
      <w:r>
        <w:rPr>
          <w:b/>
        </w:rPr>
        <w:t>3.9</w:t>
      </w:r>
      <w:r>
        <w:rPr>
          <w:b/>
        </w:rPr>
        <w:tab/>
        <w:t>Cesty podání a dávkování</w:t>
      </w:r>
    </w:p>
    <w:p w14:paraId="0ACE9EDE" w14:textId="77777777" w:rsidR="00B92130" w:rsidRDefault="00B92130">
      <w:pPr>
        <w:jc w:val="both"/>
      </w:pPr>
    </w:p>
    <w:p w14:paraId="33B15668" w14:textId="77777777" w:rsidR="00B92130" w:rsidRDefault="00F8046F">
      <w:pPr>
        <w:ind w:left="0" w:firstLine="0"/>
        <w:jc w:val="both"/>
      </w:pPr>
      <w:r>
        <w:t>Intramuskulární podání.</w:t>
      </w:r>
    </w:p>
    <w:p w14:paraId="354CB09E" w14:textId="77777777" w:rsidR="00B92130" w:rsidRDefault="00B92130">
      <w:pPr>
        <w:ind w:left="0" w:firstLine="0"/>
        <w:jc w:val="both"/>
      </w:pPr>
    </w:p>
    <w:p w14:paraId="5A207942" w14:textId="00F63CCA" w:rsidR="00B92130" w:rsidRDefault="00F8046F">
      <w:pPr>
        <w:numPr>
          <w:ilvl w:val="0"/>
          <w:numId w:val="44"/>
        </w:numPr>
        <w:ind w:left="0" w:firstLine="567"/>
        <w:jc w:val="both"/>
      </w:pPr>
      <w:r>
        <w:rPr>
          <w:b/>
        </w:rPr>
        <w:t>Léčba folikulárních ovariálních cyst:</w:t>
      </w:r>
      <w:r>
        <w:t xml:space="preserve"> 100-150 µg gonadorelinu (ve formě acetátu) </w:t>
      </w:r>
      <w:r>
        <w:rPr>
          <w:i/>
        </w:rPr>
        <w:t>pro toto</w:t>
      </w:r>
      <w:r>
        <w:t xml:space="preserve"> (tj. 2–3 ml veterinárního léčivého přípravku </w:t>
      </w:r>
      <w:r>
        <w:rPr>
          <w:i/>
        </w:rPr>
        <w:t>pro toto</w:t>
      </w:r>
      <w:r>
        <w:t>). Pokud je to nutné, léčba může být opakována v intervalech 1-2 týdnů.</w:t>
      </w:r>
    </w:p>
    <w:p w14:paraId="2AD8CD58" w14:textId="0186C1A4" w:rsidR="00B92130" w:rsidRDefault="00F8046F">
      <w:pPr>
        <w:numPr>
          <w:ilvl w:val="0"/>
          <w:numId w:val="44"/>
        </w:numPr>
        <w:ind w:left="0" w:firstLine="567"/>
        <w:jc w:val="both"/>
      </w:pPr>
      <w:r>
        <w:rPr>
          <w:b/>
        </w:rPr>
        <w:t>Optimalizace času ovulace, zvýšení šance na zabřeznutí v souvislosti s umělou inseminací:</w:t>
      </w:r>
      <w:r>
        <w:t xml:space="preserve"> 100 µg gonadorelinu (ve formě acetátu) </w:t>
      </w:r>
      <w:r>
        <w:rPr>
          <w:i/>
        </w:rPr>
        <w:t>pro toto</w:t>
      </w:r>
      <w:r>
        <w:t xml:space="preserve"> (tj. 2 ml veterinárního léčivého přípravku </w:t>
      </w:r>
      <w:r>
        <w:rPr>
          <w:i/>
        </w:rPr>
        <w:t>pro toto</w:t>
      </w:r>
      <w:r>
        <w:t>). Veterinární léčivý přípravek musí být podán současně s umělou inseminaci nebo 12 dní poté.</w:t>
      </w:r>
    </w:p>
    <w:p w14:paraId="5A4A5FD1" w14:textId="77777777" w:rsidR="00B92130" w:rsidRDefault="00B92130">
      <w:pPr>
        <w:ind w:left="0" w:firstLine="0"/>
        <w:jc w:val="both"/>
      </w:pPr>
    </w:p>
    <w:p w14:paraId="724AAD43" w14:textId="77777777" w:rsidR="00B92130" w:rsidRDefault="00F8046F">
      <w:pPr>
        <w:ind w:left="0" w:firstLine="0"/>
        <w:jc w:val="both"/>
      </w:pPr>
      <w:r>
        <w:t>Pro podání přípravku a inseminaci by mělo být použito následující časové schéma:</w:t>
      </w:r>
    </w:p>
    <w:p w14:paraId="35E5E976" w14:textId="77777777" w:rsidR="00B92130" w:rsidRDefault="00F8046F">
      <w:pPr>
        <w:numPr>
          <w:ilvl w:val="0"/>
          <w:numId w:val="45"/>
        </w:numPr>
        <w:jc w:val="both"/>
      </w:pPr>
      <w:r>
        <w:t>Podání přípravku mezi 4. až 10. hodinou po zjištění říje.</w:t>
      </w:r>
    </w:p>
    <w:p w14:paraId="503A331A" w14:textId="77777777" w:rsidR="00B92130" w:rsidRDefault="00F8046F">
      <w:pPr>
        <w:numPr>
          <w:ilvl w:val="0"/>
          <w:numId w:val="45"/>
        </w:numPr>
        <w:jc w:val="both"/>
      </w:pPr>
      <w:r>
        <w:t>Mezi injekčním podáním GnRH a umělou inseminací se doporučuje dodržet interval nejméně 2 hodiny.</w:t>
      </w:r>
    </w:p>
    <w:p w14:paraId="63C7411D" w14:textId="77777777" w:rsidR="00B92130" w:rsidRDefault="00F8046F">
      <w:pPr>
        <w:numPr>
          <w:ilvl w:val="0"/>
          <w:numId w:val="45"/>
        </w:numPr>
        <w:jc w:val="both"/>
      </w:pPr>
      <w:r>
        <w:t>Umělá inseminace by měla být provedena v souladu s obvyklými doporučeními, tj. 12 až 24 hodin po zjištění říje.</w:t>
      </w:r>
    </w:p>
    <w:p w14:paraId="6E19D91D" w14:textId="77777777" w:rsidR="00B92130" w:rsidRDefault="00B92130">
      <w:pPr>
        <w:ind w:firstLine="0"/>
        <w:jc w:val="both"/>
      </w:pPr>
    </w:p>
    <w:p w14:paraId="70AB16BB" w14:textId="29BF7188" w:rsidR="00B92130" w:rsidRDefault="00F8046F">
      <w:pPr>
        <w:pStyle w:val="Odstavecseseznamem"/>
        <w:numPr>
          <w:ilvl w:val="0"/>
          <w:numId w:val="48"/>
        </w:numPr>
        <w:ind w:left="0" w:firstLine="567"/>
        <w:jc w:val="both"/>
        <w:rPr>
          <w:b/>
          <w:bCs/>
        </w:rPr>
      </w:pPr>
      <w:r>
        <w:rPr>
          <w:b/>
        </w:rPr>
        <w:t>Indukce a synchronizace říje a ovulace v kombinaci s prostaglandinem F</w:t>
      </w:r>
      <w:r>
        <w:rPr>
          <w:b/>
          <w:vertAlign w:val="subscript"/>
        </w:rPr>
        <w:t>2</w:t>
      </w:r>
      <w:r>
        <w:rPr>
          <w:vertAlign w:val="subscript"/>
          <w:lang w:val="en-GB"/>
        </w:rPr>
        <w:sym w:font="Symbol" w:char="F061"/>
      </w:r>
      <w:r>
        <w:rPr>
          <w:b/>
        </w:rPr>
        <w:t xml:space="preserve"> </w:t>
      </w:r>
      <w:r>
        <w:rPr>
          <w:b/>
          <w:bCs/>
        </w:rPr>
        <w:t>(PGF</w:t>
      </w:r>
      <w:r>
        <w:rPr>
          <w:b/>
          <w:bCs/>
          <w:vertAlign w:val="subscript"/>
        </w:rPr>
        <w:t>2</w:t>
      </w:r>
      <w:r>
        <w:rPr>
          <w:b/>
          <w:bCs/>
          <w:vertAlign w:val="subscript"/>
          <w:lang w:val="en-GB"/>
        </w:rPr>
        <w:t>α</w:t>
      </w:r>
      <w:r>
        <w:rPr>
          <w:b/>
          <w:bCs/>
        </w:rPr>
        <w:t xml:space="preserve">) </w:t>
      </w:r>
      <w:r w:rsidR="006C4756">
        <w:rPr>
          <w:b/>
          <w:bCs/>
        </w:rPr>
        <w:t>s </w:t>
      </w:r>
      <w:r>
        <w:rPr>
          <w:b/>
          <w:bCs/>
        </w:rPr>
        <w:t>nebo bez použití progesteronu jako součást programů pro načasovanou inseminaci:</w:t>
      </w:r>
    </w:p>
    <w:p w14:paraId="6E940508" w14:textId="77777777" w:rsidR="00B92130" w:rsidRDefault="00B92130">
      <w:pPr>
        <w:ind w:left="0" w:firstLine="0"/>
        <w:jc w:val="both"/>
      </w:pPr>
    </w:p>
    <w:p w14:paraId="3F9202E9" w14:textId="77777777" w:rsidR="00B92130" w:rsidRDefault="00F8046F">
      <w:pPr>
        <w:ind w:left="0" w:firstLine="0"/>
        <w:jc w:val="both"/>
      </w:pPr>
      <w:r>
        <w:t>Následující program pro načasovanou inseminaci je obvykle uváděn v literatuře:</w:t>
      </w:r>
    </w:p>
    <w:p w14:paraId="5F8679FC" w14:textId="77777777" w:rsidR="00B92130" w:rsidRDefault="00B92130">
      <w:pPr>
        <w:ind w:left="0" w:firstLine="0"/>
        <w:jc w:val="both"/>
      </w:pPr>
    </w:p>
    <w:p w14:paraId="4502B47A" w14:textId="77777777" w:rsidR="00B92130" w:rsidRDefault="00F8046F">
      <w:pPr>
        <w:ind w:left="0" w:firstLine="0"/>
        <w:jc w:val="both"/>
      </w:pPr>
      <w:r>
        <w:t>u cyklujících krav:</w:t>
      </w:r>
    </w:p>
    <w:p w14:paraId="13D296CC" w14:textId="77777777" w:rsidR="00B92130" w:rsidRDefault="00F8046F">
      <w:pPr>
        <w:pStyle w:val="Odstavecseseznamem"/>
        <w:numPr>
          <w:ilvl w:val="0"/>
          <w:numId w:val="46"/>
        </w:numPr>
        <w:jc w:val="both"/>
      </w:pPr>
      <w:r>
        <w:t>den 0</w:t>
      </w:r>
      <w:r>
        <w:tab/>
        <w:t xml:space="preserve">Injekčně podejte 100 µg gonadorelinu (ve formě acetátu) </w:t>
      </w:r>
      <w:r>
        <w:rPr>
          <w:i/>
        </w:rPr>
        <w:t>pro toto</w:t>
      </w:r>
      <w:r>
        <w:t xml:space="preserve"> (2 ml veterinárního léčivého přípravku).</w:t>
      </w:r>
    </w:p>
    <w:p w14:paraId="10EFC7DC" w14:textId="77777777" w:rsidR="00B92130" w:rsidRDefault="00F8046F">
      <w:pPr>
        <w:pStyle w:val="Odstavecseseznamem"/>
        <w:numPr>
          <w:ilvl w:val="0"/>
          <w:numId w:val="46"/>
        </w:numPr>
        <w:jc w:val="both"/>
      </w:pPr>
      <w:r>
        <w:t>den 7</w:t>
      </w:r>
      <w:r>
        <w:tab/>
        <w:t xml:space="preserve">Injekčně podejte </w:t>
      </w:r>
      <w:r>
        <w:rPr>
          <w:bCs/>
        </w:rPr>
        <w:t>PGF</w:t>
      </w:r>
      <w:r>
        <w:rPr>
          <w:bCs/>
          <w:vertAlign w:val="subscript"/>
        </w:rPr>
        <w:t>2</w:t>
      </w:r>
      <w:r>
        <w:rPr>
          <w:bCs/>
          <w:vertAlign w:val="subscript"/>
          <w:lang w:val="en-GB"/>
        </w:rPr>
        <w:t>α</w:t>
      </w:r>
      <w:r>
        <w:rPr>
          <w:bCs/>
        </w:rPr>
        <w:t xml:space="preserve"> nebo analog (luteolytická dávka).</w:t>
      </w:r>
    </w:p>
    <w:p w14:paraId="59D2FBCB" w14:textId="77777777" w:rsidR="00B92130" w:rsidRDefault="00F8046F">
      <w:pPr>
        <w:pStyle w:val="Odstavecseseznamem"/>
        <w:numPr>
          <w:ilvl w:val="0"/>
          <w:numId w:val="46"/>
        </w:numPr>
        <w:jc w:val="both"/>
      </w:pPr>
      <w:r>
        <w:rPr>
          <w:bCs/>
        </w:rPr>
        <w:t xml:space="preserve">den 9 </w:t>
      </w:r>
      <w:r>
        <w:rPr>
          <w:bCs/>
        </w:rPr>
        <w:tab/>
        <w:t xml:space="preserve">Injekčně podejte </w:t>
      </w:r>
      <w:r>
        <w:t xml:space="preserve">100 µg gonadorelinu (ve formě acetátu) </w:t>
      </w:r>
      <w:r>
        <w:rPr>
          <w:i/>
        </w:rPr>
        <w:t>pro toto</w:t>
      </w:r>
      <w:r>
        <w:t xml:space="preserve"> (2 ml veterinárního léčivého přípravku).</w:t>
      </w:r>
    </w:p>
    <w:p w14:paraId="0E126F6B" w14:textId="77777777" w:rsidR="00B92130" w:rsidRDefault="00F8046F">
      <w:pPr>
        <w:pStyle w:val="Odstavecseseznamem"/>
        <w:numPr>
          <w:ilvl w:val="0"/>
          <w:numId w:val="46"/>
        </w:numPr>
        <w:jc w:val="both"/>
      </w:pPr>
      <w:r>
        <w:t>Umělá inseminace o 16-20 h později nebo dříve, pokud se objeví projevy říje.</w:t>
      </w:r>
    </w:p>
    <w:p w14:paraId="74491916" w14:textId="77777777" w:rsidR="00B92130" w:rsidRDefault="00B92130">
      <w:pPr>
        <w:jc w:val="both"/>
      </w:pPr>
    </w:p>
    <w:p w14:paraId="33544A31" w14:textId="77777777" w:rsidR="00B92130" w:rsidRDefault="00F8046F">
      <w:pPr>
        <w:ind w:left="927"/>
        <w:jc w:val="both"/>
      </w:pPr>
      <w:r>
        <w:t>Alternativní protokol:</w:t>
      </w:r>
    </w:p>
    <w:p w14:paraId="43AF148A" w14:textId="77777777" w:rsidR="00B92130" w:rsidRDefault="00F8046F">
      <w:pPr>
        <w:pStyle w:val="Odstavecseseznamem"/>
        <w:numPr>
          <w:ilvl w:val="0"/>
          <w:numId w:val="46"/>
        </w:numPr>
        <w:jc w:val="both"/>
      </w:pPr>
      <w:r>
        <w:t>den 0</w:t>
      </w:r>
      <w:r>
        <w:tab/>
        <w:t xml:space="preserve">Injekčně podejte 100 µg gonadorelinu (ve formě acetátu) </w:t>
      </w:r>
      <w:r>
        <w:rPr>
          <w:i/>
        </w:rPr>
        <w:t>pro toto</w:t>
      </w:r>
      <w:r>
        <w:t xml:space="preserve"> (2 ml veterinárního léčivého přípravku)</w:t>
      </w:r>
    </w:p>
    <w:p w14:paraId="2EB3CAB3" w14:textId="77777777" w:rsidR="00B92130" w:rsidRDefault="00F8046F">
      <w:pPr>
        <w:pStyle w:val="Odstavecseseznamem"/>
        <w:numPr>
          <w:ilvl w:val="0"/>
          <w:numId w:val="46"/>
        </w:numPr>
        <w:jc w:val="both"/>
      </w:pPr>
      <w:r>
        <w:t>den 7</w:t>
      </w:r>
      <w:r>
        <w:tab/>
        <w:t xml:space="preserve">Injekčně podejte </w:t>
      </w:r>
      <w:r>
        <w:rPr>
          <w:bCs/>
        </w:rPr>
        <w:t>PGF</w:t>
      </w:r>
      <w:r>
        <w:rPr>
          <w:bCs/>
          <w:vertAlign w:val="subscript"/>
        </w:rPr>
        <w:t>2</w:t>
      </w:r>
      <w:r>
        <w:rPr>
          <w:bCs/>
          <w:vertAlign w:val="subscript"/>
          <w:lang w:val="en-GB"/>
        </w:rPr>
        <w:t>α</w:t>
      </w:r>
      <w:r>
        <w:rPr>
          <w:bCs/>
        </w:rPr>
        <w:t xml:space="preserve"> nebo analog (luteolytická dávka)</w:t>
      </w:r>
    </w:p>
    <w:p w14:paraId="42740354" w14:textId="30732901" w:rsidR="00B92130" w:rsidRDefault="00F8046F">
      <w:pPr>
        <w:pStyle w:val="Odstavecseseznamem"/>
        <w:numPr>
          <w:ilvl w:val="0"/>
          <w:numId w:val="46"/>
        </w:numPr>
        <w:jc w:val="both"/>
      </w:pPr>
      <w:r>
        <w:t xml:space="preserve">Umělá inseminace a injekční podání 100 µg gonadorelinu (ve formě acetátu) </w:t>
      </w:r>
      <w:r>
        <w:rPr>
          <w:i/>
        </w:rPr>
        <w:t>pro toto</w:t>
      </w:r>
      <w:r>
        <w:t xml:space="preserve"> (2 ml veterinárního léčivého přípravku) o 60-72 hodin později nebo dříve, pokud se objeví projevy říje.</w:t>
      </w:r>
    </w:p>
    <w:p w14:paraId="77B0803C" w14:textId="77777777" w:rsidR="00B92130" w:rsidRDefault="00B92130">
      <w:pPr>
        <w:ind w:left="927"/>
        <w:jc w:val="both"/>
      </w:pPr>
    </w:p>
    <w:p w14:paraId="49346C04" w14:textId="77777777" w:rsidR="00B92130" w:rsidRDefault="00F8046F">
      <w:pPr>
        <w:ind w:left="0" w:firstLine="0"/>
        <w:jc w:val="both"/>
      </w:pPr>
      <w:r>
        <w:t>u cyklujících a necyklujících krav a jalovic:</w:t>
      </w:r>
    </w:p>
    <w:p w14:paraId="7B20B6C8" w14:textId="77777777" w:rsidR="00B92130" w:rsidRDefault="00F8046F">
      <w:pPr>
        <w:pStyle w:val="Odstavecseseznamem"/>
        <w:numPr>
          <w:ilvl w:val="0"/>
          <w:numId w:val="47"/>
        </w:numPr>
        <w:jc w:val="both"/>
      </w:pPr>
      <w:r>
        <w:t>Vložte intravaginální aplikátor uvolňující progesteron na dobu 7-8 dnů.</w:t>
      </w:r>
    </w:p>
    <w:p w14:paraId="311114FD" w14:textId="77777777" w:rsidR="00B92130" w:rsidRDefault="00F8046F">
      <w:pPr>
        <w:pStyle w:val="Odstavecseseznamem"/>
        <w:numPr>
          <w:ilvl w:val="0"/>
          <w:numId w:val="47"/>
        </w:numPr>
        <w:jc w:val="both"/>
      </w:pPr>
      <w:r>
        <w:rPr>
          <w:bCs/>
        </w:rPr>
        <w:lastRenderedPageBreak/>
        <w:t xml:space="preserve">Injekčně podejte </w:t>
      </w:r>
      <w:r>
        <w:t xml:space="preserve">100 µg gonadorelinu (ve formě acetátu) </w:t>
      </w:r>
      <w:r>
        <w:rPr>
          <w:i/>
        </w:rPr>
        <w:t>pro toto</w:t>
      </w:r>
      <w:r>
        <w:t xml:space="preserve"> (2 ml veterinárního léčivého přípravku) současně s vložením aplikátoru uvolňujícího progesteron.</w:t>
      </w:r>
    </w:p>
    <w:p w14:paraId="775EEAF9" w14:textId="77777777" w:rsidR="00B92130" w:rsidRDefault="00F8046F">
      <w:pPr>
        <w:pStyle w:val="Odstavecseseznamem"/>
        <w:numPr>
          <w:ilvl w:val="0"/>
          <w:numId w:val="47"/>
        </w:numPr>
        <w:jc w:val="both"/>
      </w:pPr>
      <w:r>
        <w:t xml:space="preserve">Injekčně podejte </w:t>
      </w:r>
      <w:r>
        <w:rPr>
          <w:bCs/>
        </w:rPr>
        <w:t>luteolytickou dávku PGF</w:t>
      </w:r>
      <w:r>
        <w:rPr>
          <w:bCs/>
          <w:vertAlign w:val="subscript"/>
        </w:rPr>
        <w:t>2</w:t>
      </w:r>
      <w:r>
        <w:rPr>
          <w:bCs/>
          <w:vertAlign w:val="subscript"/>
          <w:lang w:val="en-GB"/>
        </w:rPr>
        <w:t>α</w:t>
      </w:r>
      <w:r>
        <w:rPr>
          <w:bCs/>
        </w:rPr>
        <w:t xml:space="preserve"> nebo analog 24 hodin před vyjmutím aplikátoru.</w:t>
      </w:r>
    </w:p>
    <w:p w14:paraId="0F695416" w14:textId="77777777" w:rsidR="00B92130" w:rsidRDefault="00F8046F">
      <w:pPr>
        <w:pStyle w:val="Odstavecseseznamem"/>
        <w:numPr>
          <w:ilvl w:val="0"/>
          <w:numId w:val="47"/>
        </w:numPr>
        <w:jc w:val="both"/>
      </w:pPr>
      <w:r>
        <w:rPr>
          <w:bCs/>
        </w:rPr>
        <w:t>Aplikujte program pro načasovanou inseminaci 56 hodin po vyjmutí aplikátoru uvolňujícho progesteron nebo</w:t>
      </w:r>
    </w:p>
    <w:p w14:paraId="56CB8CC2" w14:textId="77777777" w:rsidR="00B92130" w:rsidRDefault="00F8046F">
      <w:pPr>
        <w:pStyle w:val="Odstavecseseznamem"/>
        <w:numPr>
          <w:ilvl w:val="0"/>
          <w:numId w:val="47"/>
        </w:numPr>
        <w:jc w:val="both"/>
      </w:pPr>
      <w:r>
        <w:t xml:space="preserve">Injekčně podejte 100 µg gonadorelinu (ve formě acetátu) </w:t>
      </w:r>
      <w:r>
        <w:rPr>
          <w:i/>
        </w:rPr>
        <w:t>pro toto</w:t>
      </w:r>
      <w:r>
        <w:t xml:space="preserve"> (2 ml veterinárního léčivého přípravku) 36 hodin po vyjmutí aplikátoru uvolňujícího progesteron a aplikujte program pro načasovanou inseminaci o 16 až 20 hodin později.</w:t>
      </w:r>
    </w:p>
    <w:p w14:paraId="59E3D43A" w14:textId="77777777" w:rsidR="00B92130" w:rsidRDefault="00B92130">
      <w:pPr>
        <w:jc w:val="both"/>
      </w:pPr>
    </w:p>
    <w:p w14:paraId="1451A88A" w14:textId="57C1F4DD" w:rsidR="00B92130" w:rsidRDefault="00F8046F">
      <w:pPr>
        <w:jc w:val="both"/>
      </w:pPr>
      <w:r>
        <w:rPr>
          <w:b/>
        </w:rPr>
        <w:t>3.10</w:t>
      </w:r>
      <w:r>
        <w:rPr>
          <w:b/>
        </w:rPr>
        <w:tab/>
        <w:t>Příznaky předávkování (a kde je relevantní, první pomoc a antidota)</w:t>
      </w:r>
    </w:p>
    <w:p w14:paraId="1BBB6617" w14:textId="77777777" w:rsidR="00B92130" w:rsidRDefault="00B92130">
      <w:pPr>
        <w:jc w:val="both"/>
      </w:pPr>
    </w:p>
    <w:p w14:paraId="7F483D6B" w14:textId="4CF8D77D" w:rsidR="00B92130" w:rsidRDefault="00F8046F">
      <w:pPr>
        <w:ind w:left="0" w:firstLine="0"/>
        <w:jc w:val="both"/>
      </w:pPr>
      <w:r>
        <w:t xml:space="preserve">Při podávání až </w:t>
      </w:r>
      <w:r w:rsidR="004B0BF4">
        <w:t>5násobku</w:t>
      </w:r>
      <w:r>
        <w:t xml:space="preserve"> doporučené dávky v režimu, kdy je přípravek podáván až třikrát denně místo doporučovaného podání jedenkrát denně nebyly pozorovány žádné znatelné příznaky ať lokální nebo celkové klinické nesnášenlivosti.</w:t>
      </w:r>
    </w:p>
    <w:p w14:paraId="11693380" w14:textId="77777777" w:rsidR="00B92130" w:rsidRDefault="00B92130">
      <w:pPr>
        <w:jc w:val="both"/>
      </w:pPr>
    </w:p>
    <w:p w14:paraId="0BE97245" w14:textId="77777777" w:rsidR="00B92130" w:rsidRDefault="00F8046F" w:rsidP="006C4756">
      <w:pPr>
        <w:pStyle w:val="Style1"/>
        <w:jc w:val="both"/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3.11</w:t>
      </w:r>
      <w:r>
        <w:rPr>
          <w:rFonts w:asciiTheme="majorBidi" w:hAnsiTheme="majorBidi" w:cstheme="majorBidi"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5D18075" w14:textId="77777777" w:rsidR="00B92130" w:rsidRDefault="00B92130" w:rsidP="006C4756">
      <w:pPr>
        <w:tabs>
          <w:tab w:val="left" w:pos="720"/>
        </w:tabs>
        <w:jc w:val="both"/>
        <w:rPr>
          <w:rFonts w:asciiTheme="majorBidi" w:hAnsiTheme="majorBidi" w:cstheme="majorBidi"/>
        </w:rPr>
      </w:pPr>
    </w:p>
    <w:p w14:paraId="2139D59B" w14:textId="77777777" w:rsidR="00B92130" w:rsidRDefault="00B92130" w:rsidP="006C4756">
      <w:pPr>
        <w:tabs>
          <w:tab w:val="left" w:pos="720"/>
        </w:tabs>
        <w:jc w:val="both"/>
        <w:rPr>
          <w:rFonts w:asciiTheme="majorBidi" w:hAnsiTheme="majorBidi" w:cstheme="majorBidi"/>
        </w:rPr>
      </w:pPr>
    </w:p>
    <w:p w14:paraId="42C471A0" w14:textId="350C0C1E" w:rsidR="00B92130" w:rsidRDefault="00F8046F" w:rsidP="006C4756">
      <w:pPr>
        <w:jc w:val="both"/>
      </w:pPr>
      <w:r>
        <w:rPr>
          <w:b/>
        </w:rPr>
        <w:t>3.12</w:t>
      </w:r>
      <w:r>
        <w:rPr>
          <w:b/>
        </w:rPr>
        <w:tab/>
        <w:t>Ochranné lhůty</w:t>
      </w:r>
    </w:p>
    <w:p w14:paraId="0547EA8F" w14:textId="77777777" w:rsidR="00B92130" w:rsidRDefault="00B92130" w:rsidP="006C4756">
      <w:pPr>
        <w:jc w:val="both"/>
      </w:pPr>
    </w:p>
    <w:p w14:paraId="32FE24DA" w14:textId="77777777" w:rsidR="00B92130" w:rsidRDefault="00F8046F" w:rsidP="006C4756">
      <w:pPr>
        <w:ind w:left="0" w:firstLine="0"/>
        <w:jc w:val="both"/>
      </w:pPr>
      <w:r>
        <w:t>Maso: Bez ochranných lhůt.</w:t>
      </w:r>
    </w:p>
    <w:p w14:paraId="5AD87BD0" w14:textId="77777777" w:rsidR="00B92130" w:rsidRDefault="00F8046F" w:rsidP="006C4756">
      <w:pPr>
        <w:jc w:val="both"/>
      </w:pPr>
      <w:r>
        <w:t>Mléko: Bez ochranných lhůt.</w:t>
      </w:r>
    </w:p>
    <w:p w14:paraId="3E12B261" w14:textId="77777777" w:rsidR="00B92130" w:rsidRDefault="00B92130" w:rsidP="006C4756">
      <w:pPr>
        <w:jc w:val="both"/>
      </w:pPr>
    </w:p>
    <w:p w14:paraId="6E520894" w14:textId="77777777" w:rsidR="00B92130" w:rsidRDefault="00B92130">
      <w:pPr>
        <w:jc w:val="both"/>
      </w:pPr>
    </w:p>
    <w:p w14:paraId="5C2011B2" w14:textId="7EBB77A9" w:rsidR="00B92130" w:rsidRDefault="00F8046F">
      <w:pPr>
        <w:keepNext/>
        <w:jc w:val="both"/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5553C449" w14:textId="77777777" w:rsidR="00B92130" w:rsidRDefault="00B92130">
      <w:pPr>
        <w:keepNext/>
        <w:jc w:val="both"/>
      </w:pPr>
    </w:p>
    <w:p w14:paraId="4725B28A" w14:textId="7F457116" w:rsidR="00B92130" w:rsidRDefault="00F8046F" w:rsidP="001264BC">
      <w:pPr>
        <w:pStyle w:val="Style1"/>
        <w:spacing w:after="240"/>
      </w:pPr>
      <w:r>
        <w:rPr>
          <w:rFonts w:asciiTheme="majorBidi" w:hAnsiTheme="majorBidi" w:cstheme="majorBidi"/>
          <w:lang w:val="fr-FR"/>
        </w:rPr>
        <w:t>4.1</w:t>
      </w:r>
      <w:r>
        <w:rPr>
          <w:rFonts w:asciiTheme="majorBidi" w:hAnsiTheme="majorBidi" w:cstheme="majorBidi"/>
          <w:lang w:val="fr-FR"/>
        </w:rPr>
        <w:tab/>
        <w:t>ATCvet kód:</w:t>
      </w:r>
      <w:r w:rsidR="001D47F2">
        <w:rPr>
          <w:rFonts w:asciiTheme="majorBidi" w:hAnsiTheme="majorBidi" w:cstheme="majorBidi"/>
          <w:lang w:val="fr-FR"/>
        </w:rPr>
        <w:t xml:space="preserve"> </w:t>
      </w:r>
      <w:r w:rsidRPr="001264BC">
        <w:rPr>
          <w:b w:val="0"/>
        </w:rPr>
        <w:t>QH01CA01</w:t>
      </w:r>
    </w:p>
    <w:p w14:paraId="6FD46A78" w14:textId="57C5A564" w:rsidR="00B92130" w:rsidRDefault="00F8046F">
      <w:pPr>
        <w:ind w:left="0" w:firstLine="0"/>
        <w:jc w:val="both"/>
        <w:rPr>
          <w:b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43058271" w14:textId="77777777" w:rsidR="00B92130" w:rsidRDefault="00B92130">
      <w:pPr>
        <w:ind w:left="0" w:firstLine="0"/>
        <w:jc w:val="both"/>
      </w:pPr>
    </w:p>
    <w:p w14:paraId="456A04D7" w14:textId="26104E7B" w:rsidR="00B92130" w:rsidRDefault="00F8046F">
      <w:pPr>
        <w:ind w:left="0" w:firstLine="0"/>
        <w:jc w:val="both"/>
      </w:pPr>
      <w:r>
        <w:t xml:space="preserve">Gonadorelin (ve formě acetátu) je syntetický gonadorelin („gonadotropin uvolňující hormon“ GnRH) fyziologicky a chemicky totožný s přirozeným gonadorelinem, který je uvolňován hypotalamem </w:t>
      </w:r>
      <w:r w:rsidR="001D47F2">
        <w:t>u </w:t>
      </w:r>
      <w:r>
        <w:t>savců.</w:t>
      </w:r>
    </w:p>
    <w:p w14:paraId="0F487324" w14:textId="5A9F9754" w:rsidR="00B92130" w:rsidRDefault="00F8046F">
      <w:pPr>
        <w:ind w:left="0" w:firstLine="0"/>
        <w:jc w:val="both"/>
      </w:pPr>
      <w:r>
        <w:t>Gonadorelin simuluje syntézu a uvolňování hypofyzárních gonadotropinů, luteinizačního hormonu (LH) a folikuly stimulujícího hormonu (FSH). Jeho účinek je zprostředkována specifickým receptorem plazmatické membrány. K vyvolání 80</w:t>
      </w:r>
      <w:r w:rsidR="004B0BF4">
        <w:t xml:space="preserve"> </w:t>
      </w:r>
      <w:r>
        <w:t>% maximální biologické odezvy je potřeba pouze 20</w:t>
      </w:r>
      <w:r w:rsidR="004B0BF4">
        <w:t xml:space="preserve"> </w:t>
      </w:r>
      <w:r>
        <w:t xml:space="preserve">% obsazenost </w:t>
      </w:r>
      <w:proofErr w:type="spellStart"/>
      <w:r>
        <w:t>GnRH</w:t>
      </w:r>
      <w:proofErr w:type="spellEnd"/>
      <w:r>
        <w:t xml:space="preserve"> receptorů. Vazba GnRH na jeho receptor aktivuje kaskády </w:t>
      </w:r>
      <w:proofErr w:type="spellStart"/>
      <w:r>
        <w:t>proteinkinázy</w:t>
      </w:r>
      <w:proofErr w:type="spellEnd"/>
      <w:r>
        <w:t xml:space="preserve"> C (PKC) </w:t>
      </w:r>
      <w:r w:rsidR="001D47F2">
        <w:t>a </w:t>
      </w:r>
      <w:r>
        <w:t xml:space="preserve">také mitogenem aktivované </w:t>
      </w:r>
      <w:proofErr w:type="spellStart"/>
      <w:r>
        <w:t>proteinkinázy</w:t>
      </w:r>
      <w:proofErr w:type="spellEnd"/>
      <w:r>
        <w:t xml:space="preserve"> (MAPK), které představují důležitý článek pro přenos signálů z povrchu buňky do jádra, což umožňuje syntézu gonadotropních hormonů.</w:t>
      </w:r>
    </w:p>
    <w:p w14:paraId="6975E70B" w14:textId="377D58C5" w:rsidR="00B92130" w:rsidRDefault="00F8046F">
      <w:pPr>
        <w:ind w:left="0" w:firstLine="0"/>
        <w:jc w:val="both"/>
      </w:pPr>
      <w:r>
        <w:t xml:space="preserve">Přebíhající krávy mohou být ovlivněny více faktory včetně krmení a způsobu chovu. U přebíhajících krav je jedním z nejzřetelnějších nálezů opožděný a nižší předovulační nárůst hladiny LH, což vede </w:t>
      </w:r>
      <w:r w:rsidR="001D47F2">
        <w:t>k </w:t>
      </w:r>
      <w:r>
        <w:t>opožděné ovulaci. Injekční podání GnRH během říje zvyšuje spontánní LH pík a brání zpoždění ovulace u přebíhajících krav.</w:t>
      </w:r>
    </w:p>
    <w:p w14:paraId="6B2D8F53" w14:textId="77777777" w:rsidR="00B92130" w:rsidRDefault="00B92130">
      <w:pPr>
        <w:ind w:left="0" w:firstLine="0"/>
        <w:jc w:val="both"/>
        <w:rPr>
          <w:b/>
        </w:rPr>
      </w:pPr>
    </w:p>
    <w:p w14:paraId="4DE0466F" w14:textId="7CA27F4C" w:rsidR="00B92130" w:rsidRDefault="00F8046F">
      <w:pPr>
        <w:ind w:left="0" w:firstLine="0"/>
        <w:jc w:val="both"/>
        <w:rPr>
          <w:b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2FFADDBA" w14:textId="77777777" w:rsidR="00B92130" w:rsidRDefault="00B92130">
      <w:pPr>
        <w:ind w:left="0" w:firstLine="0"/>
        <w:jc w:val="both"/>
        <w:rPr>
          <w:rFonts w:ascii="TimesNewRoman,Italic" w:hAnsi="TimesNewRoman,Italic"/>
          <w:szCs w:val="22"/>
        </w:rPr>
      </w:pPr>
    </w:p>
    <w:p w14:paraId="4618F466" w14:textId="77777777" w:rsidR="00B92130" w:rsidRDefault="00F8046F">
      <w:pPr>
        <w:ind w:left="0" w:firstLine="0"/>
        <w:jc w:val="both"/>
        <w:rPr>
          <w:u w:val="single"/>
        </w:rPr>
      </w:pPr>
      <w:r>
        <w:rPr>
          <w:u w:val="single"/>
        </w:rPr>
        <w:t>Absorpce</w:t>
      </w:r>
    </w:p>
    <w:p w14:paraId="4664C000" w14:textId="77777777" w:rsidR="00B92130" w:rsidRDefault="00F8046F">
      <w:pPr>
        <w:ind w:left="0" w:firstLine="0"/>
        <w:jc w:val="both"/>
      </w:pPr>
      <w:r>
        <w:t>Po intramuskulárním podání u krav je gonadorelin rychle absorbován z místa injekčního podání s plazmatickým poločasem zhruba 20 minut.</w:t>
      </w:r>
    </w:p>
    <w:p w14:paraId="22269CC3" w14:textId="77777777" w:rsidR="00B92130" w:rsidRDefault="00F8046F">
      <w:pPr>
        <w:ind w:left="0" w:firstLine="0"/>
        <w:jc w:val="both"/>
        <w:rPr>
          <w:u w:val="single"/>
        </w:rPr>
      </w:pPr>
      <w:r>
        <w:rPr>
          <w:u w:val="single"/>
        </w:rPr>
        <w:t>Distribuce</w:t>
      </w:r>
    </w:p>
    <w:p w14:paraId="3E58B9BC" w14:textId="77777777" w:rsidR="00B92130" w:rsidRDefault="00F8046F">
      <w:pPr>
        <w:ind w:left="0" w:firstLine="0"/>
        <w:jc w:val="both"/>
      </w:pPr>
      <w:r>
        <w:t>Zvýšení hladiny LH je detekován třicet minut po podání, což dokazuje rychlou distribuci do adenohypofýzy.</w:t>
      </w:r>
    </w:p>
    <w:p w14:paraId="6CDA336A" w14:textId="77777777" w:rsidR="00B92130" w:rsidRDefault="00F8046F">
      <w:pPr>
        <w:ind w:left="0" w:firstLine="0"/>
        <w:jc w:val="both"/>
        <w:rPr>
          <w:u w:val="single"/>
        </w:rPr>
      </w:pPr>
      <w:r>
        <w:rPr>
          <w:u w:val="single"/>
        </w:rPr>
        <w:t>Metabolismus</w:t>
      </w:r>
    </w:p>
    <w:p w14:paraId="09F36CB6" w14:textId="77777777" w:rsidR="00B92130" w:rsidRDefault="00F8046F">
      <w:pPr>
        <w:ind w:left="0" w:firstLine="0"/>
        <w:jc w:val="both"/>
      </w:pPr>
      <w:r>
        <w:t>Léčivá látka je rychle metabolizována na menší neaktivní peptidy a aminokyseliny.</w:t>
      </w:r>
    </w:p>
    <w:p w14:paraId="5A9E37B1" w14:textId="77777777" w:rsidR="00B92130" w:rsidRDefault="00F8046F" w:rsidP="001D47F2">
      <w:pPr>
        <w:keepNext/>
        <w:ind w:left="0" w:firstLine="0"/>
        <w:jc w:val="both"/>
        <w:rPr>
          <w:u w:val="single"/>
        </w:rPr>
      </w:pPr>
      <w:r>
        <w:rPr>
          <w:u w:val="single"/>
        </w:rPr>
        <w:lastRenderedPageBreak/>
        <w:t>Vylučování</w:t>
      </w:r>
    </w:p>
    <w:p w14:paraId="02CB5646" w14:textId="77777777" w:rsidR="00B92130" w:rsidRDefault="00F8046F">
      <w:pPr>
        <w:ind w:left="0" w:firstLine="0"/>
        <w:jc w:val="both"/>
      </w:pPr>
      <w:r>
        <w:t>Hlavní cestou vylučování je moč, ačkoliv velká část je také vyloučena ve vydechovaném vzduchu.</w:t>
      </w:r>
    </w:p>
    <w:p w14:paraId="4DB96E28" w14:textId="77777777" w:rsidR="00B92130" w:rsidRDefault="00B92130">
      <w:pPr>
        <w:ind w:left="0" w:firstLine="0"/>
        <w:jc w:val="both"/>
      </w:pPr>
    </w:p>
    <w:p w14:paraId="5DC3CD3F" w14:textId="77777777" w:rsidR="00B92130" w:rsidRDefault="00B92130">
      <w:pPr>
        <w:ind w:left="0" w:firstLine="0"/>
        <w:jc w:val="both"/>
      </w:pPr>
    </w:p>
    <w:p w14:paraId="3BA5DD21" w14:textId="00FA828C" w:rsidR="00B92130" w:rsidRDefault="00F8046F">
      <w:pPr>
        <w:keepNext/>
        <w:ind w:left="562" w:hanging="562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6520FC66" w14:textId="77777777" w:rsidR="00B92130" w:rsidRDefault="00B92130">
      <w:pPr>
        <w:keepNext/>
        <w:jc w:val="both"/>
        <w:rPr>
          <w:b/>
        </w:rPr>
      </w:pPr>
    </w:p>
    <w:p w14:paraId="41DEBCF3" w14:textId="2798222A" w:rsidR="00B92130" w:rsidRDefault="00F8046F">
      <w:pPr>
        <w:keepNext/>
        <w:jc w:val="both"/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19038D92" w14:textId="77777777" w:rsidR="00B92130" w:rsidRDefault="00B92130">
      <w:pPr>
        <w:keepNext/>
        <w:jc w:val="both"/>
      </w:pPr>
    </w:p>
    <w:p w14:paraId="385AE4F8" w14:textId="77777777" w:rsidR="00B92130" w:rsidRDefault="00F8046F">
      <w:pPr>
        <w:ind w:left="0" w:firstLine="0"/>
        <w:jc w:val="both"/>
      </w:pPr>
      <w:r>
        <w:t>Studie kompatibility nejsou k dispozici, a proto tento veterinární léčivý přípravek nesmí být mísen s žádnými dalšími veterinárními léčivými přípravky.</w:t>
      </w:r>
    </w:p>
    <w:p w14:paraId="120ECA26" w14:textId="77777777" w:rsidR="00B92130" w:rsidRDefault="00B92130">
      <w:pPr>
        <w:jc w:val="both"/>
      </w:pPr>
    </w:p>
    <w:p w14:paraId="5C6DD54A" w14:textId="2E61C3C5" w:rsidR="00B92130" w:rsidRDefault="00F8046F">
      <w:pPr>
        <w:jc w:val="both"/>
      </w:pPr>
      <w:r>
        <w:rPr>
          <w:b/>
        </w:rPr>
        <w:t>5.2</w:t>
      </w:r>
      <w:r>
        <w:rPr>
          <w:b/>
        </w:rPr>
        <w:tab/>
        <w:t>Doba použitelnosti</w:t>
      </w:r>
    </w:p>
    <w:p w14:paraId="7C9C6EA4" w14:textId="77777777" w:rsidR="00B92130" w:rsidRDefault="00B92130">
      <w:pPr>
        <w:ind w:right="-318"/>
        <w:jc w:val="both"/>
      </w:pPr>
    </w:p>
    <w:p w14:paraId="184D85F6" w14:textId="77777777" w:rsidR="00B92130" w:rsidRDefault="00F8046F">
      <w:pPr>
        <w:ind w:left="0" w:right="-318" w:firstLine="0"/>
        <w:jc w:val="both"/>
      </w:pPr>
      <w:r>
        <w:t>Doba použitelnosti veterinárního léčivého přípravku v neporušeném obalu: 18 měsíců.</w:t>
      </w:r>
    </w:p>
    <w:p w14:paraId="7118F5EC" w14:textId="77777777" w:rsidR="00B92130" w:rsidRDefault="00F8046F">
      <w:pPr>
        <w:ind w:right="-318"/>
        <w:jc w:val="both"/>
      </w:pPr>
      <w:r>
        <w:t>Doba použitelnosti po prvním otevření vnitřního obalu: 28 dní.</w:t>
      </w:r>
    </w:p>
    <w:p w14:paraId="659F4A7B" w14:textId="77777777" w:rsidR="00B92130" w:rsidRDefault="00B92130">
      <w:pPr>
        <w:ind w:right="-318"/>
        <w:jc w:val="both"/>
      </w:pPr>
    </w:p>
    <w:p w14:paraId="2AF93251" w14:textId="77A0332E" w:rsidR="00B92130" w:rsidRDefault="00F8046F">
      <w:pPr>
        <w:jc w:val="both"/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350C1AE7" w14:textId="77777777" w:rsidR="00B92130" w:rsidRDefault="00B92130">
      <w:pPr>
        <w:ind w:right="-318"/>
        <w:jc w:val="both"/>
      </w:pPr>
    </w:p>
    <w:p w14:paraId="2C70E2B7" w14:textId="376B37E2" w:rsidR="00B92130" w:rsidRDefault="00F8046F">
      <w:pPr>
        <w:ind w:right="-318"/>
        <w:jc w:val="both"/>
      </w:pPr>
      <w:r>
        <w:t>Uchovávejte při teplotě do 25</w:t>
      </w:r>
      <w:r w:rsidR="002B00C5">
        <w:t xml:space="preserve"> </w:t>
      </w:r>
      <w:r>
        <w:sym w:font="Symbol" w:char="F0B0"/>
      </w:r>
      <w:r>
        <w:t>C.</w:t>
      </w:r>
    </w:p>
    <w:p w14:paraId="01B6554F" w14:textId="77777777" w:rsidR="00B92130" w:rsidRDefault="00B92130">
      <w:pPr>
        <w:ind w:right="-318"/>
        <w:jc w:val="both"/>
      </w:pPr>
    </w:p>
    <w:p w14:paraId="4AF36E79" w14:textId="77777777" w:rsidR="00B92130" w:rsidRDefault="00F8046F">
      <w:pPr>
        <w:ind w:right="-318"/>
        <w:jc w:val="both"/>
      </w:pPr>
      <w:r>
        <w:t>Uchovávejte injekční lahvičku v krabičce.</w:t>
      </w:r>
    </w:p>
    <w:p w14:paraId="77E1E954" w14:textId="77777777" w:rsidR="00B92130" w:rsidRDefault="00B92130">
      <w:pPr>
        <w:jc w:val="both"/>
        <w:rPr>
          <w:b/>
        </w:rPr>
      </w:pPr>
    </w:p>
    <w:p w14:paraId="30C13666" w14:textId="57D86B03" w:rsidR="00B92130" w:rsidRDefault="00F8046F">
      <w:pPr>
        <w:jc w:val="both"/>
      </w:pPr>
      <w:r>
        <w:rPr>
          <w:b/>
        </w:rPr>
        <w:t>5.4</w:t>
      </w:r>
      <w:r>
        <w:rPr>
          <w:b/>
        </w:rPr>
        <w:tab/>
        <w:t>Druh a složení vnitřního obalu</w:t>
      </w:r>
    </w:p>
    <w:p w14:paraId="7F50BCB2" w14:textId="77777777" w:rsidR="00B92130" w:rsidRDefault="00B92130">
      <w:pPr>
        <w:jc w:val="both"/>
      </w:pPr>
    </w:p>
    <w:p w14:paraId="5763EA1B" w14:textId="43D41CEB" w:rsidR="00B92130" w:rsidRDefault="00F8046F">
      <w:pPr>
        <w:ind w:left="0" w:right="-318" w:firstLine="0"/>
        <w:jc w:val="both"/>
      </w:pPr>
      <w:r>
        <w:t xml:space="preserve">Bezbarvá injekční lahvička ze skla typu II s brombutylovou zátkou typu I a </w:t>
      </w:r>
      <w:r w:rsidR="002B00C5">
        <w:t xml:space="preserve">těsnícím </w:t>
      </w:r>
      <w:r>
        <w:t>hliníkovým uzávěrem.</w:t>
      </w:r>
    </w:p>
    <w:p w14:paraId="2F18E7F3" w14:textId="77777777" w:rsidR="00B92130" w:rsidRDefault="00B92130">
      <w:pPr>
        <w:ind w:left="0" w:right="-318" w:firstLine="0"/>
        <w:jc w:val="both"/>
      </w:pPr>
    </w:p>
    <w:p w14:paraId="69871C75" w14:textId="77777777" w:rsidR="00B92130" w:rsidRDefault="00F8046F">
      <w:pPr>
        <w:ind w:left="0" w:right="-318" w:firstLine="0"/>
        <w:jc w:val="both"/>
        <w:rPr>
          <w:u w:val="single"/>
        </w:rPr>
      </w:pPr>
      <w:r>
        <w:rPr>
          <w:u w:val="single"/>
        </w:rPr>
        <w:t>Velikosti balení:</w:t>
      </w:r>
    </w:p>
    <w:p w14:paraId="7F5BA3C5" w14:textId="77777777" w:rsidR="00B92130" w:rsidRDefault="00F8046F">
      <w:pPr>
        <w:ind w:left="0" w:right="-318" w:firstLine="0"/>
        <w:jc w:val="both"/>
      </w:pPr>
      <w:r>
        <w:t xml:space="preserve">Krabička obsahující 1 injekční lahvičku o objemu 6 ml </w:t>
      </w:r>
    </w:p>
    <w:p w14:paraId="79A6B2A6" w14:textId="77777777" w:rsidR="00B92130" w:rsidRDefault="00F8046F">
      <w:pPr>
        <w:ind w:left="0" w:right="-318" w:firstLine="0"/>
        <w:jc w:val="both"/>
      </w:pPr>
      <w:r>
        <w:t xml:space="preserve">Krabička obsahující 1 injekční lahvičku o objemu 20 ml </w:t>
      </w:r>
    </w:p>
    <w:p w14:paraId="0B2094B3" w14:textId="77777777" w:rsidR="00B92130" w:rsidRDefault="00F8046F">
      <w:pPr>
        <w:ind w:left="0" w:right="-318" w:firstLine="0"/>
        <w:jc w:val="both"/>
      </w:pPr>
      <w:r>
        <w:t xml:space="preserve">Krabička obsahující 1 injekční lahvičku o objemu 50 ml </w:t>
      </w:r>
    </w:p>
    <w:p w14:paraId="7BF55D62" w14:textId="77777777" w:rsidR="00B92130" w:rsidRDefault="00F8046F">
      <w:pPr>
        <w:ind w:left="0" w:right="-318" w:firstLine="0"/>
        <w:jc w:val="both"/>
      </w:pPr>
      <w:r>
        <w:t xml:space="preserve">Krabička obsahující 1 injekční lahvičku o objemu 100 ml </w:t>
      </w:r>
    </w:p>
    <w:p w14:paraId="0F0C67F3" w14:textId="77777777" w:rsidR="00B92130" w:rsidRDefault="00F8046F">
      <w:pPr>
        <w:ind w:left="0" w:right="-318" w:firstLine="0"/>
        <w:jc w:val="both"/>
      </w:pPr>
      <w:r>
        <w:t>Krabička obsahující 10 injekčních lahviček o objemu 6 ml</w:t>
      </w:r>
    </w:p>
    <w:p w14:paraId="69FC85C1" w14:textId="77777777" w:rsidR="00B92130" w:rsidRDefault="00B92130">
      <w:pPr>
        <w:ind w:left="0" w:right="-318" w:firstLine="0"/>
        <w:jc w:val="both"/>
      </w:pPr>
    </w:p>
    <w:p w14:paraId="17A42AF6" w14:textId="77777777" w:rsidR="00B92130" w:rsidRDefault="00F8046F">
      <w:pPr>
        <w:ind w:left="0" w:right="-318" w:firstLine="0"/>
        <w:jc w:val="both"/>
      </w:pPr>
      <w:r>
        <w:t>Na trhu nemusí být všechny velikosti balení.</w:t>
      </w:r>
    </w:p>
    <w:p w14:paraId="1010DDC9" w14:textId="77777777" w:rsidR="00B92130" w:rsidRDefault="00B92130">
      <w:pPr>
        <w:ind w:right="-318"/>
        <w:jc w:val="both"/>
      </w:pPr>
    </w:p>
    <w:p w14:paraId="72192742" w14:textId="5246CEA1" w:rsidR="00B92130" w:rsidRDefault="00F8046F">
      <w:pPr>
        <w:keepNext/>
        <w:jc w:val="both"/>
      </w:pPr>
      <w:r>
        <w:rPr>
          <w:b/>
        </w:rPr>
        <w:t>5.5</w:t>
      </w:r>
      <w:r>
        <w:tab/>
      </w:r>
      <w:r>
        <w:rPr>
          <w:b/>
        </w:rPr>
        <w:t xml:space="preserve">Zvláštní opatření pro likvidaci nepoužitých veterinárních léčivých přípravků nebo odpadů, které pochází z těchto přípravků </w:t>
      </w:r>
    </w:p>
    <w:p w14:paraId="4A03F481" w14:textId="77777777" w:rsidR="00B92130" w:rsidRDefault="00B92130">
      <w:pPr>
        <w:keepNext/>
        <w:ind w:right="-318"/>
        <w:jc w:val="both"/>
      </w:pPr>
    </w:p>
    <w:p w14:paraId="14C7D780" w14:textId="5C8C0F2F" w:rsidR="00B92130" w:rsidRDefault="00F8046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14:paraId="51A30CC9" w14:textId="77777777" w:rsidR="00B92130" w:rsidRDefault="00B92130">
      <w:pPr>
        <w:tabs>
          <w:tab w:val="left" w:pos="720"/>
        </w:tabs>
        <w:rPr>
          <w:rFonts w:asciiTheme="majorBidi" w:hAnsiTheme="majorBidi" w:cstheme="majorBidi"/>
        </w:rPr>
      </w:pPr>
    </w:p>
    <w:p w14:paraId="772E5934" w14:textId="0A408DC1" w:rsidR="00B92130" w:rsidRDefault="00F8046F">
      <w:pPr>
        <w:ind w:left="0" w:right="10" w:firstLine="0"/>
        <w:jc w:val="both"/>
        <w:rPr>
          <w:i/>
        </w:rPr>
      </w:pPr>
      <w:r>
        <w:rPr>
          <w:rFonts w:asciiTheme="majorBidi" w:hAnsiTheme="majorBidi" w:cstheme="majorBidi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>
        <w:t>.</w:t>
      </w:r>
    </w:p>
    <w:p w14:paraId="48210618" w14:textId="77777777" w:rsidR="00B92130" w:rsidRDefault="00B92130">
      <w:pPr>
        <w:ind w:right="-318"/>
        <w:jc w:val="both"/>
      </w:pPr>
    </w:p>
    <w:p w14:paraId="35F39745" w14:textId="77777777" w:rsidR="00B92130" w:rsidRDefault="00B92130">
      <w:pPr>
        <w:ind w:right="-318"/>
        <w:jc w:val="both"/>
      </w:pPr>
    </w:p>
    <w:p w14:paraId="5CFEEFA8" w14:textId="2B9F563B" w:rsidR="00B92130" w:rsidRDefault="00F8046F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JMÉNO DRŽITELE ROZHODNUTÍ O REGISTRACI </w:t>
      </w:r>
    </w:p>
    <w:p w14:paraId="3B3CE5B6" w14:textId="77777777" w:rsidR="00B92130" w:rsidRDefault="00B92130">
      <w:pPr>
        <w:jc w:val="both"/>
        <w:rPr>
          <w:b/>
        </w:rPr>
      </w:pPr>
    </w:p>
    <w:p w14:paraId="2A453D40" w14:textId="77777777" w:rsidR="00B92130" w:rsidRDefault="00F8046F">
      <w:pPr>
        <w:ind w:left="0" w:right="-318" w:firstLine="0"/>
        <w:jc w:val="both"/>
        <w:rPr>
          <w:bCs/>
        </w:rPr>
      </w:pPr>
      <w:r>
        <w:rPr>
          <w:bCs/>
        </w:rPr>
        <w:t>LABORATORIOS SYVA, S.A.</w:t>
      </w:r>
    </w:p>
    <w:p w14:paraId="187A34FF" w14:textId="77777777" w:rsidR="00B92130" w:rsidRDefault="00B92130">
      <w:pPr>
        <w:ind w:left="0" w:right="-318" w:firstLine="0"/>
        <w:jc w:val="both"/>
        <w:rPr>
          <w:bCs/>
        </w:rPr>
      </w:pPr>
    </w:p>
    <w:p w14:paraId="4173176D" w14:textId="77777777" w:rsidR="00B92130" w:rsidRDefault="00B92130">
      <w:pPr>
        <w:ind w:right="-318"/>
        <w:jc w:val="both"/>
      </w:pPr>
    </w:p>
    <w:p w14:paraId="7756978C" w14:textId="1ABBF019" w:rsidR="00B92130" w:rsidRDefault="00F8046F">
      <w:pPr>
        <w:ind w:right="-318"/>
        <w:jc w:val="both"/>
        <w:rPr>
          <w:b/>
          <w:caps/>
        </w:rPr>
      </w:pPr>
      <w:r>
        <w:rPr>
          <w:b/>
        </w:rPr>
        <w:t>7.</w:t>
      </w:r>
      <w:r>
        <w:tab/>
      </w:r>
      <w:r>
        <w:rPr>
          <w:b/>
          <w:caps/>
        </w:rPr>
        <w:t>Registrační číslo(a)</w:t>
      </w:r>
    </w:p>
    <w:p w14:paraId="5000C5BA" w14:textId="77777777" w:rsidR="00B92130" w:rsidRDefault="00B92130">
      <w:pPr>
        <w:ind w:right="-318"/>
        <w:jc w:val="both"/>
        <w:rPr>
          <w:caps/>
        </w:rPr>
      </w:pPr>
    </w:p>
    <w:p w14:paraId="48AE51C1" w14:textId="77777777" w:rsidR="00B92130" w:rsidRDefault="00F8046F">
      <w:pPr>
        <w:ind w:right="-318"/>
        <w:jc w:val="both"/>
        <w:rPr>
          <w:caps/>
        </w:rPr>
      </w:pPr>
      <w:r>
        <w:rPr>
          <w:caps/>
        </w:rPr>
        <w:t>96/051/</w:t>
      </w:r>
      <w:proofErr w:type="gramStart"/>
      <w:r>
        <w:rPr>
          <w:caps/>
        </w:rPr>
        <w:t>18-C</w:t>
      </w:r>
      <w:proofErr w:type="gramEnd"/>
    </w:p>
    <w:p w14:paraId="62832324" w14:textId="77777777" w:rsidR="00B92130" w:rsidRDefault="00B92130">
      <w:pPr>
        <w:ind w:right="-318"/>
        <w:jc w:val="both"/>
        <w:rPr>
          <w:caps/>
        </w:rPr>
      </w:pPr>
    </w:p>
    <w:p w14:paraId="5BE80799" w14:textId="77777777" w:rsidR="00B92130" w:rsidRDefault="00B92130">
      <w:pPr>
        <w:ind w:right="-318"/>
        <w:jc w:val="both"/>
        <w:rPr>
          <w:caps/>
        </w:rPr>
      </w:pPr>
    </w:p>
    <w:p w14:paraId="6F786B85" w14:textId="1CE0B62D" w:rsidR="00B92130" w:rsidRDefault="00F8046F" w:rsidP="00353CF7">
      <w:pPr>
        <w:keepNext/>
        <w:ind w:right="-318"/>
        <w:jc w:val="both"/>
        <w:rPr>
          <w:b/>
          <w:caps/>
        </w:rPr>
      </w:pPr>
      <w:r>
        <w:rPr>
          <w:b/>
          <w:caps/>
        </w:rPr>
        <w:lastRenderedPageBreak/>
        <w:t>8.</w:t>
      </w:r>
      <w:r>
        <w:rPr>
          <w:b/>
          <w:caps/>
        </w:rPr>
        <w:tab/>
      </w:r>
      <w:bookmarkStart w:id="1" w:name="_Hlk61003601"/>
      <w:r>
        <w:rPr>
          <w:b/>
          <w:caps/>
        </w:rPr>
        <w:t>Datum PRVNÍ registrace</w:t>
      </w:r>
      <w:bookmarkEnd w:id="1"/>
    </w:p>
    <w:p w14:paraId="79C1BF94" w14:textId="77777777" w:rsidR="00B92130" w:rsidRDefault="00B92130" w:rsidP="00353CF7">
      <w:pPr>
        <w:keepNext/>
        <w:ind w:right="-318"/>
        <w:jc w:val="both"/>
        <w:rPr>
          <w:b/>
          <w:caps/>
        </w:rPr>
      </w:pPr>
    </w:p>
    <w:p w14:paraId="18DF911F" w14:textId="648D0021" w:rsidR="00B92130" w:rsidRDefault="00F8046F">
      <w:pPr>
        <w:ind w:right="-318"/>
        <w:jc w:val="both"/>
        <w:rPr>
          <w:caps/>
        </w:rPr>
      </w:pPr>
      <w:r>
        <w:t>Datum první registrace: 30</w:t>
      </w:r>
      <w:r>
        <w:rPr>
          <w:caps/>
        </w:rPr>
        <w:t>/08/2018</w:t>
      </w:r>
    </w:p>
    <w:p w14:paraId="48FC2B3F" w14:textId="77777777" w:rsidR="00B92130" w:rsidRDefault="00B92130">
      <w:pPr>
        <w:ind w:right="-318"/>
        <w:jc w:val="both"/>
      </w:pPr>
    </w:p>
    <w:p w14:paraId="0D13DABE" w14:textId="77777777" w:rsidR="00B92130" w:rsidRDefault="00B92130">
      <w:pPr>
        <w:ind w:right="-318"/>
        <w:jc w:val="both"/>
      </w:pPr>
    </w:p>
    <w:p w14:paraId="4DBB701B" w14:textId="77777777" w:rsidR="00B92130" w:rsidRDefault="00F8046F">
      <w:pPr>
        <w:pStyle w:val="Style1"/>
        <w:keepNext/>
        <w:ind w:left="562" w:hanging="562"/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9.</w:t>
      </w:r>
      <w:r>
        <w:rPr>
          <w:rFonts w:asciiTheme="majorBidi" w:hAnsiTheme="majorBidi" w:cstheme="majorBidi"/>
          <w:lang w:val="cs-CZ"/>
        </w:rPr>
        <w:tab/>
        <w:t>DATUM POSLEDNÍ AKTUALIZACE SOUHRNU ÚDAJŮ O PŘÍPRAVKU</w:t>
      </w:r>
    </w:p>
    <w:p w14:paraId="2AC8A7C8" w14:textId="77777777" w:rsidR="00B92130" w:rsidRDefault="00B92130">
      <w:pPr>
        <w:keepNext/>
        <w:tabs>
          <w:tab w:val="left" w:pos="720"/>
        </w:tabs>
        <w:ind w:left="562" w:hanging="562"/>
        <w:rPr>
          <w:rFonts w:asciiTheme="majorBidi" w:hAnsiTheme="majorBidi" w:cstheme="majorBidi"/>
        </w:rPr>
      </w:pPr>
    </w:p>
    <w:p w14:paraId="2737B3C1" w14:textId="18B71EF9" w:rsidR="00B92130" w:rsidRDefault="00353CF7">
      <w:pPr>
        <w:tabs>
          <w:tab w:val="left" w:pos="720"/>
        </w:tabs>
      </w:pPr>
      <w:r>
        <w:t>0</w:t>
      </w:r>
      <w:r w:rsidR="001264BC">
        <w:t>5</w:t>
      </w:r>
      <w:r>
        <w:t>/</w:t>
      </w:r>
      <w:r w:rsidR="004B0BF4">
        <w:t>2024</w:t>
      </w:r>
    </w:p>
    <w:p w14:paraId="442BF852" w14:textId="77777777" w:rsidR="001264BC" w:rsidRDefault="001264BC">
      <w:pPr>
        <w:tabs>
          <w:tab w:val="left" w:pos="720"/>
        </w:tabs>
        <w:rPr>
          <w:rFonts w:asciiTheme="majorBidi" w:hAnsiTheme="majorBidi" w:cstheme="majorBidi"/>
        </w:rPr>
      </w:pPr>
      <w:bookmarkStart w:id="2" w:name="_GoBack"/>
      <w:bookmarkEnd w:id="2"/>
    </w:p>
    <w:p w14:paraId="1EF7A8FD" w14:textId="77777777" w:rsidR="00B92130" w:rsidRDefault="00B92130">
      <w:pPr>
        <w:tabs>
          <w:tab w:val="left" w:pos="720"/>
        </w:tabs>
        <w:rPr>
          <w:rFonts w:asciiTheme="majorBidi" w:hAnsiTheme="majorBidi" w:cstheme="majorBidi"/>
        </w:rPr>
      </w:pPr>
    </w:p>
    <w:p w14:paraId="1E1ABC64" w14:textId="77777777" w:rsidR="00B92130" w:rsidRDefault="00F8046F" w:rsidP="00EC1EFE">
      <w:pPr>
        <w:pStyle w:val="Style1"/>
        <w:jc w:val="both"/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10.</w:t>
      </w:r>
      <w:r>
        <w:rPr>
          <w:rFonts w:asciiTheme="majorBidi" w:hAnsiTheme="majorBidi" w:cstheme="majorBidi"/>
          <w:lang w:val="cs-CZ"/>
        </w:rPr>
        <w:tab/>
        <w:t>KLASIFIKACE VETERINÁRNÍCH LÉČIVÝCH PŘÍPRAVKŮ</w:t>
      </w:r>
    </w:p>
    <w:p w14:paraId="6B900AC3" w14:textId="77777777" w:rsidR="00B92130" w:rsidRDefault="00B92130" w:rsidP="00EC1EFE">
      <w:pPr>
        <w:jc w:val="both"/>
      </w:pPr>
    </w:p>
    <w:p w14:paraId="0FF9D92C" w14:textId="77777777" w:rsidR="00B92130" w:rsidRDefault="00F8046F" w:rsidP="00EC1EFE">
      <w:pPr>
        <w:jc w:val="both"/>
      </w:pPr>
      <w:r>
        <w:t>Veterinární léčivý přípravek je vydáván pouze na předpis.</w:t>
      </w:r>
    </w:p>
    <w:p w14:paraId="7F0D2A0C" w14:textId="77777777" w:rsidR="00B92130" w:rsidRDefault="00B92130" w:rsidP="00EC1EFE">
      <w:pPr>
        <w:jc w:val="both"/>
        <w:rPr>
          <w:rFonts w:asciiTheme="majorBidi" w:hAnsiTheme="majorBidi" w:cstheme="majorBidi"/>
        </w:rPr>
      </w:pPr>
    </w:p>
    <w:p w14:paraId="37130FFC" w14:textId="00FE0F09" w:rsidR="00B92130" w:rsidRDefault="00F8046F" w:rsidP="00EC1EFE">
      <w:pPr>
        <w:ind w:left="0" w:firstLine="0"/>
        <w:jc w:val="both"/>
        <w:rPr>
          <w:rFonts w:asciiTheme="majorBidi" w:hAnsiTheme="majorBidi" w:cstheme="majorBidi"/>
          <w:i/>
        </w:rPr>
      </w:pPr>
      <w:bookmarkStart w:id="3" w:name="_Hlk73467306"/>
      <w:r>
        <w:rPr>
          <w:rFonts w:asciiTheme="majorBidi" w:hAnsiTheme="majorBidi" w:cstheme="majorBidi"/>
        </w:rPr>
        <w:t>Podrobné informace o tomto veterinárním léčivém přípravku jsou k dispozici v databázi přípravků Unie (</w:t>
      </w:r>
      <w:hyperlink r:id="rId8" w:history="1">
        <w:r>
          <w:rPr>
            <w:rStyle w:val="Hypertextovodkaz"/>
            <w:rFonts w:asciiTheme="majorBidi" w:hAnsiTheme="majorBidi" w:cstheme="majorBidi"/>
          </w:rPr>
          <w:t>https://medicines.health.europa.eu/veterinary</w:t>
        </w:r>
      </w:hyperlink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i/>
        </w:rPr>
        <w:t>.</w:t>
      </w:r>
    </w:p>
    <w:p w14:paraId="2D938A50" w14:textId="33548FEA" w:rsidR="004B0BF4" w:rsidRDefault="004B0BF4" w:rsidP="00EC1EFE">
      <w:pPr>
        <w:ind w:left="0" w:firstLine="0"/>
        <w:jc w:val="both"/>
        <w:rPr>
          <w:rFonts w:asciiTheme="majorBidi" w:hAnsiTheme="majorBidi" w:cstheme="majorBidi"/>
        </w:rPr>
      </w:pPr>
    </w:p>
    <w:p w14:paraId="516A786F" w14:textId="77777777" w:rsidR="004B0BF4" w:rsidRPr="00EC1EFE" w:rsidRDefault="004B0BF4" w:rsidP="00EC1EFE">
      <w:pPr>
        <w:tabs>
          <w:tab w:val="left" w:pos="0"/>
        </w:tabs>
        <w:ind w:left="0" w:firstLine="0"/>
        <w:jc w:val="both"/>
      </w:pPr>
      <w:bookmarkStart w:id="4" w:name="_Hlk148432335"/>
      <w:r w:rsidRPr="00EC1EFE">
        <w:t>Podrobné informace o tomto veterinárním léčivém přípravku naleznete také v národní databázi (</w:t>
      </w:r>
      <w:hyperlink r:id="rId9" w:history="1">
        <w:r w:rsidRPr="00EC1EFE">
          <w:rPr>
            <w:rStyle w:val="Hypertextovodkaz"/>
          </w:rPr>
          <w:t>https://www.uskvbl.cz</w:t>
        </w:r>
      </w:hyperlink>
      <w:r w:rsidRPr="00EC1EFE">
        <w:t>).</w:t>
      </w:r>
    </w:p>
    <w:bookmarkEnd w:id="4"/>
    <w:p w14:paraId="4E21DDB2" w14:textId="77777777" w:rsidR="004B0BF4" w:rsidRDefault="004B0BF4" w:rsidP="00EC1EFE">
      <w:pPr>
        <w:ind w:left="0" w:firstLine="0"/>
        <w:jc w:val="both"/>
        <w:rPr>
          <w:rFonts w:asciiTheme="majorBidi" w:hAnsiTheme="majorBidi" w:cstheme="majorBidi"/>
        </w:rPr>
      </w:pPr>
    </w:p>
    <w:bookmarkEnd w:id="3"/>
    <w:p w14:paraId="602580B0" w14:textId="77777777" w:rsidR="00B92130" w:rsidRDefault="00B92130">
      <w:pPr>
        <w:ind w:left="0" w:firstLine="0"/>
        <w:rPr>
          <w:bCs/>
        </w:rPr>
      </w:pPr>
    </w:p>
    <w:sectPr w:rsidR="00B92130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5C25" w14:textId="77777777" w:rsidR="00426919" w:rsidRDefault="00426919">
      <w:r>
        <w:separator/>
      </w:r>
    </w:p>
  </w:endnote>
  <w:endnote w:type="continuationSeparator" w:id="0">
    <w:p w14:paraId="6C260B6A" w14:textId="77777777" w:rsidR="00426919" w:rsidRDefault="004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9D62" w14:textId="77777777" w:rsidR="00B92130" w:rsidRDefault="00B9213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77C8074" w14:textId="77777777" w:rsidR="00B92130" w:rsidRDefault="00F8046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D45E" w14:textId="77777777" w:rsidR="00B92130" w:rsidRDefault="00B92130">
    <w:pPr>
      <w:pStyle w:val="Zpat"/>
      <w:tabs>
        <w:tab w:val="clear" w:pos="8930"/>
        <w:tab w:val="right" w:pos="8931"/>
      </w:tabs>
    </w:pPr>
  </w:p>
  <w:p w14:paraId="5BC7FF27" w14:textId="77777777" w:rsidR="00B92130" w:rsidRDefault="00F8046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A906" w14:textId="77777777" w:rsidR="00426919" w:rsidRDefault="00426919">
      <w:r>
        <w:separator/>
      </w:r>
    </w:p>
  </w:footnote>
  <w:footnote w:type="continuationSeparator" w:id="0">
    <w:p w14:paraId="61012CF6" w14:textId="77777777" w:rsidR="00426919" w:rsidRDefault="0042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EEF5" w14:textId="77777777" w:rsidR="00B92130" w:rsidRDefault="00B921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5C773F1"/>
    <w:multiLevelType w:val="hybridMultilevel"/>
    <w:tmpl w:val="7D746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4407"/>
    <w:multiLevelType w:val="hybridMultilevel"/>
    <w:tmpl w:val="E196D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A83DBA"/>
    <w:multiLevelType w:val="hybridMultilevel"/>
    <w:tmpl w:val="96363AC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DA5A25"/>
    <w:multiLevelType w:val="hybridMultilevel"/>
    <w:tmpl w:val="2FC03B28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3075530"/>
    <w:multiLevelType w:val="hybridMultilevel"/>
    <w:tmpl w:val="A126D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9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6" w15:restartNumberingAfterBreak="0">
    <w:nsid w:val="7A490294"/>
    <w:multiLevelType w:val="hybridMultilevel"/>
    <w:tmpl w:val="1BC6B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3"/>
  </w:num>
  <w:num w:numId="5">
    <w:abstractNumId w:val="42"/>
  </w:num>
  <w:num w:numId="6">
    <w:abstractNumId w:val="14"/>
  </w:num>
  <w:num w:numId="7">
    <w:abstractNumId w:val="27"/>
  </w:num>
  <w:num w:numId="8">
    <w:abstractNumId w:val="25"/>
  </w:num>
  <w:num w:numId="9">
    <w:abstractNumId w:val="7"/>
  </w:num>
  <w:num w:numId="10">
    <w:abstractNumId w:val="40"/>
  </w:num>
  <w:num w:numId="11">
    <w:abstractNumId w:val="41"/>
  </w:num>
  <w:num w:numId="12">
    <w:abstractNumId w:val="20"/>
  </w:num>
  <w:num w:numId="13">
    <w:abstractNumId w:val="16"/>
  </w:num>
  <w:num w:numId="14">
    <w:abstractNumId w:val="2"/>
  </w:num>
  <w:num w:numId="15">
    <w:abstractNumId w:val="38"/>
  </w:num>
  <w:num w:numId="16">
    <w:abstractNumId w:val="23"/>
  </w:num>
  <w:num w:numId="17">
    <w:abstractNumId w:val="44"/>
  </w:num>
  <w:num w:numId="18">
    <w:abstractNumId w:val="8"/>
  </w:num>
  <w:num w:numId="19">
    <w:abstractNumId w:val="1"/>
  </w:num>
  <w:num w:numId="20">
    <w:abstractNumId w:val="21"/>
  </w:num>
  <w:num w:numId="21">
    <w:abstractNumId w:val="3"/>
  </w:num>
  <w:num w:numId="22">
    <w:abstractNumId w:val="6"/>
  </w:num>
  <w:num w:numId="23">
    <w:abstractNumId w:val="31"/>
  </w:num>
  <w:num w:numId="24">
    <w:abstractNumId w:val="11"/>
  </w:num>
  <w:num w:numId="25">
    <w:abstractNumId w:val="37"/>
  </w:num>
  <w:num w:numId="26">
    <w:abstractNumId w:val="29"/>
  </w:num>
  <w:num w:numId="27">
    <w:abstractNumId w:val="15"/>
  </w:num>
  <w:num w:numId="28">
    <w:abstractNumId w:val="10"/>
  </w:num>
  <w:num w:numId="29">
    <w:abstractNumId w:val="24"/>
  </w:num>
  <w:num w:numId="30">
    <w:abstractNumId w:val="28"/>
  </w:num>
  <w:num w:numId="31">
    <w:abstractNumId w:val="18"/>
  </w:num>
  <w:num w:numId="32">
    <w:abstractNumId w:val="9"/>
  </w:num>
  <w:num w:numId="33">
    <w:abstractNumId w:val="34"/>
  </w:num>
  <w:num w:numId="34">
    <w:abstractNumId w:val="36"/>
  </w:num>
  <w:num w:numId="35">
    <w:abstractNumId w:val="33"/>
  </w:num>
  <w:num w:numId="36">
    <w:abstractNumId w:val="19"/>
  </w:num>
  <w:num w:numId="37">
    <w:abstractNumId w:val="4"/>
  </w:num>
  <w:num w:numId="38">
    <w:abstractNumId w:val="45"/>
  </w:num>
  <w:num w:numId="39">
    <w:abstractNumId w:val="17"/>
  </w:num>
  <w:num w:numId="40">
    <w:abstractNumId w:val="5"/>
  </w:num>
  <w:num w:numId="41">
    <w:abstractNumId w:val="30"/>
  </w:num>
  <w:num w:numId="42">
    <w:abstractNumId w:val="39"/>
  </w:num>
  <w:num w:numId="43">
    <w:abstractNumId w:val="13"/>
  </w:num>
  <w:num w:numId="44">
    <w:abstractNumId w:val="26"/>
  </w:num>
  <w:num w:numId="45">
    <w:abstractNumId w:val="22"/>
  </w:num>
  <w:num w:numId="46">
    <w:abstractNumId w:val="46"/>
  </w:num>
  <w:num w:numId="47">
    <w:abstractNumId w:val="1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B92130"/>
    <w:rsid w:val="00054BA2"/>
    <w:rsid w:val="001264BC"/>
    <w:rsid w:val="001572FB"/>
    <w:rsid w:val="001D47F2"/>
    <w:rsid w:val="002B00C5"/>
    <w:rsid w:val="002B3977"/>
    <w:rsid w:val="00353CF7"/>
    <w:rsid w:val="00375116"/>
    <w:rsid w:val="00426919"/>
    <w:rsid w:val="004B0BF4"/>
    <w:rsid w:val="00502FE5"/>
    <w:rsid w:val="005C699A"/>
    <w:rsid w:val="0062614A"/>
    <w:rsid w:val="00671D33"/>
    <w:rsid w:val="006C4756"/>
    <w:rsid w:val="0071037E"/>
    <w:rsid w:val="00820B06"/>
    <w:rsid w:val="009316AB"/>
    <w:rsid w:val="009F2630"/>
    <w:rsid w:val="00A10B14"/>
    <w:rsid w:val="00A47F19"/>
    <w:rsid w:val="00B92130"/>
    <w:rsid w:val="00BC5DA7"/>
    <w:rsid w:val="00CA16A2"/>
    <w:rsid w:val="00DC1069"/>
    <w:rsid w:val="00DF6872"/>
    <w:rsid w:val="00E1457F"/>
    <w:rsid w:val="00EC1EFE"/>
    <w:rsid w:val="00F8046F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7AA53B"/>
  <w15:docId w15:val="{97CA047C-0142-41D7-A266-80D3D6A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table" w:styleId="Mkatabulky">
    <w:name w:val="Table Grid"/>
    <w:basedOn w:val="Normlntabulka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pPr>
      <w:numPr>
        <w:numId w:val="40"/>
      </w:numPr>
    </w:p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pPr>
      <w:spacing w:after="260"/>
    </w:pPr>
    <w:rPr>
      <w:color w:val="auto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Pr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lang w:val="cs-CZ" w:eastAsia="en-US"/>
    </w:rPr>
  </w:style>
  <w:style w:type="paragraph" w:styleId="Revize">
    <w:name w:val="Revision"/>
    <w:hidden/>
    <w:uiPriority w:val="99"/>
    <w:semiHidden/>
    <w:rPr>
      <w:sz w:val="22"/>
      <w:lang w:val="cs-CZ" w:eastAsia="en-US"/>
    </w:rPr>
  </w:style>
  <w:style w:type="paragraph" w:customStyle="1" w:styleId="Style1">
    <w:name w:val="Style1"/>
    <w:basedOn w:val="Normln"/>
    <w:qFormat/>
    <w:pPr>
      <w:tabs>
        <w:tab w:val="left" w:pos="0"/>
      </w:tabs>
    </w:pPr>
    <w:rPr>
      <w:b/>
      <w:szCs w:val="22"/>
      <w:lang w:val="es-ES"/>
    </w:rPr>
  </w:style>
  <w:style w:type="character" w:styleId="slodku">
    <w:name w:val="line number"/>
    <w:basedOn w:val="Standardnpsmoodstavce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AD8B-B4FB-4B9B-819A-81751E73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1686</Words>
  <Characters>9954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template_v. 8.1_clean</vt:lpstr>
      <vt:lpstr>CS_qrd_veterinary template_v. 8.1_clean</vt:lpstr>
      <vt:lpstr>CS_qrd_veterinary template_v. 8.1_clean</vt:lpstr>
    </vt:vector>
  </TitlesOfParts>
  <Manager/>
  <Company/>
  <LinksUpToDate>false</LinksUpToDate>
  <CharactersWithSpaces>11617</CharactersWithSpaces>
  <SharedDoc>false</SharedDoc>
  <HLinks>
    <vt:vector size="6" baseType="variant"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mailto:mail@syva.es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creator/>
  <cp:lastModifiedBy>Neugebauerová Kateřina</cp:lastModifiedBy>
  <cp:revision>70</cp:revision>
  <cp:lastPrinted>2024-05-15T12:00:00Z</cp:lastPrinted>
  <dcterms:created xsi:type="dcterms:W3CDTF">2021-01-25T13:06:00Z</dcterms:created>
  <dcterms:modified xsi:type="dcterms:W3CDTF">2024-05-15T12:00:00Z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  <property fmtid="{D5CDD505-2E9C-101B-9397-08002B2CF9AE}" pid="15" name="GrammarlyDocumentId">
    <vt:lpwstr>1ab16423d63ed0b01d815f04061853c5519a8192144c106079616fcc6bde9064</vt:lpwstr>
  </property>
</Properties>
</file>