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9C" w:rsidRPr="001C3CD2" w:rsidRDefault="000F6C9C">
      <w:pPr>
        <w:pStyle w:val="Nzev"/>
      </w:pPr>
      <w:r w:rsidRPr="001C3CD2">
        <w:t>PŘÍBALOVÁ INFORMACE</w:t>
      </w:r>
    </w:p>
    <w:p w:rsidR="000F6C9C" w:rsidRPr="001C3CD2" w:rsidRDefault="000F6C9C">
      <w:pPr>
        <w:jc w:val="center"/>
      </w:pPr>
    </w:p>
    <w:p w:rsidR="00834A61" w:rsidRPr="001C3CD2" w:rsidRDefault="00834A61" w:rsidP="00834A61">
      <w:pPr>
        <w:jc w:val="center"/>
        <w:rPr>
          <w:b/>
          <w:bCs/>
        </w:rPr>
      </w:pPr>
      <w:r w:rsidRPr="001C3CD2">
        <w:rPr>
          <w:b/>
          <w:bCs/>
        </w:rPr>
        <w:t>RAFENDAZOL 10</w:t>
      </w:r>
      <w:r w:rsidR="00714A4F">
        <w:rPr>
          <w:b/>
          <w:bCs/>
        </w:rPr>
        <w:t xml:space="preserve"> </w:t>
      </w:r>
      <w:r w:rsidRPr="001C3CD2">
        <w:rPr>
          <w:b/>
          <w:bCs/>
        </w:rPr>
        <w:t>mg/g + 8</w:t>
      </w:r>
      <w:r w:rsidR="00714A4F">
        <w:rPr>
          <w:b/>
          <w:bCs/>
        </w:rPr>
        <w:t xml:space="preserve"> </w:t>
      </w:r>
      <w:r w:rsidRPr="001C3CD2">
        <w:rPr>
          <w:b/>
          <w:bCs/>
        </w:rPr>
        <w:t>mg/g perorální prášek pro spárkatou zvěř</w:t>
      </w:r>
    </w:p>
    <w:p w:rsidR="000F6C9C" w:rsidRPr="0017072A" w:rsidRDefault="000F6C9C">
      <w:pPr>
        <w:pStyle w:val="Nadpis3"/>
        <w:rPr>
          <w:i w:val="0"/>
          <w:color w:val="auto"/>
        </w:rPr>
      </w:pPr>
      <w:r w:rsidRPr="0017072A">
        <w:rPr>
          <w:i w:val="0"/>
          <w:color w:val="auto"/>
        </w:rPr>
        <w:t>Rafoxanidum</w:t>
      </w:r>
    </w:p>
    <w:p w:rsidR="000F6C9C" w:rsidRPr="0017072A" w:rsidRDefault="000F6C9C">
      <w:pPr>
        <w:pStyle w:val="Nadpis1"/>
        <w:rPr>
          <w:i w:val="0"/>
        </w:rPr>
      </w:pPr>
      <w:r w:rsidRPr="0017072A">
        <w:rPr>
          <w:i w:val="0"/>
        </w:rPr>
        <w:t>Mebendazolum</w:t>
      </w:r>
    </w:p>
    <w:p w:rsidR="000F6C9C" w:rsidRPr="001C3CD2" w:rsidRDefault="000F6C9C">
      <w:pPr>
        <w:jc w:val="center"/>
      </w:pPr>
    </w:p>
    <w:p w:rsidR="000F6C9C" w:rsidRPr="001C3CD2" w:rsidRDefault="000F6C9C">
      <w:pPr>
        <w:ind w:left="567" w:hanging="567"/>
        <w:rPr>
          <w:b/>
        </w:rPr>
      </w:pPr>
      <w:r w:rsidRPr="001C3CD2">
        <w:rPr>
          <w:b/>
        </w:rPr>
        <w:t>1.</w:t>
      </w:r>
      <w:r w:rsidRPr="001C3CD2">
        <w:rPr>
          <w:b/>
        </w:rPr>
        <w:tab/>
        <w:t>JMÉNO A ADRESA DRŽITELE ROZHODNUTÍ O REGISTRACI A DRŽITELE POVOLENÍ K VÝROBĚ ODPOVĚDNÉHO ZA UVOLNĚNÍ ŠARŽE, POKUD SE NESHODUJE</w:t>
      </w:r>
    </w:p>
    <w:p w:rsidR="0017072A" w:rsidRDefault="0017072A"/>
    <w:p w:rsidR="008F2137" w:rsidRPr="001C3CD2" w:rsidRDefault="000F6C9C">
      <w:r w:rsidRPr="001C3CD2">
        <w:t>BIOPHARM, Výzkumný ústav biofarmacie a veterinárních léčiv a.s.</w:t>
      </w:r>
    </w:p>
    <w:p w:rsidR="000F6C9C" w:rsidRPr="001C3CD2" w:rsidRDefault="000F6C9C">
      <w:pPr>
        <w:rPr>
          <w:iCs/>
        </w:rPr>
      </w:pPr>
      <w:proofErr w:type="gramStart"/>
      <w:r w:rsidRPr="001C3CD2">
        <w:t>Pohoří</w:t>
      </w:r>
      <w:proofErr w:type="gramEnd"/>
      <w:r w:rsidRPr="001C3CD2">
        <w:t>–</w:t>
      </w:r>
      <w:proofErr w:type="gramStart"/>
      <w:r w:rsidRPr="001C3CD2">
        <w:t>Chotouň</w:t>
      </w:r>
      <w:proofErr w:type="gramEnd"/>
      <w:r w:rsidRPr="001C3CD2">
        <w:t xml:space="preserve"> 90, 254 49 Jílové u Prahy, ČR</w:t>
      </w:r>
    </w:p>
    <w:p w:rsidR="000F6C9C" w:rsidRPr="001C3CD2" w:rsidRDefault="000F6C9C"/>
    <w:p w:rsidR="000F6C9C" w:rsidRPr="001C3CD2" w:rsidRDefault="000F6C9C">
      <w:pPr>
        <w:rPr>
          <w:b/>
        </w:rPr>
      </w:pPr>
      <w:r w:rsidRPr="001C3CD2">
        <w:rPr>
          <w:b/>
        </w:rPr>
        <w:t>2.</w:t>
      </w:r>
      <w:r w:rsidRPr="001C3CD2">
        <w:rPr>
          <w:b/>
        </w:rPr>
        <w:tab/>
        <w:t>NÁZEV VETERINÁRNÍHO LÉČIVÉHO PŘÍPRAVKU</w:t>
      </w:r>
    </w:p>
    <w:p w:rsidR="0017072A" w:rsidRDefault="0017072A" w:rsidP="00834A61">
      <w:pPr>
        <w:rPr>
          <w:b/>
          <w:bCs/>
        </w:rPr>
      </w:pPr>
    </w:p>
    <w:p w:rsidR="00834A61" w:rsidRPr="0017072A" w:rsidRDefault="00834A61" w:rsidP="00834A61">
      <w:pPr>
        <w:rPr>
          <w:bCs/>
        </w:rPr>
      </w:pPr>
      <w:r w:rsidRPr="0017072A">
        <w:rPr>
          <w:bCs/>
        </w:rPr>
        <w:t>RAFENDAZOL 10</w:t>
      </w:r>
      <w:r w:rsidR="00714A4F" w:rsidRPr="0017072A">
        <w:rPr>
          <w:bCs/>
        </w:rPr>
        <w:t xml:space="preserve"> </w:t>
      </w:r>
      <w:r w:rsidRPr="0017072A">
        <w:rPr>
          <w:bCs/>
        </w:rPr>
        <w:t>mg/g + 8</w:t>
      </w:r>
      <w:r w:rsidR="00714A4F" w:rsidRPr="0017072A">
        <w:rPr>
          <w:bCs/>
        </w:rPr>
        <w:t xml:space="preserve"> </w:t>
      </w:r>
      <w:r w:rsidRPr="0017072A">
        <w:rPr>
          <w:bCs/>
        </w:rPr>
        <w:t>mg/g perorální prášek pro spárkatou zvěř</w:t>
      </w:r>
    </w:p>
    <w:p w:rsidR="000F6C9C" w:rsidRPr="0017072A" w:rsidRDefault="000F6C9C">
      <w:pPr>
        <w:pStyle w:val="Nadpis2"/>
        <w:rPr>
          <w:i w:val="0"/>
          <w:color w:val="auto"/>
        </w:rPr>
      </w:pPr>
      <w:r w:rsidRPr="0017072A">
        <w:rPr>
          <w:i w:val="0"/>
          <w:color w:val="auto"/>
        </w:rPr>
        <w:t>Rafoxanidum</w:t>
      </w:r>
    </w:p>
    <w:p w:rsidR="000F6C9C" w:rsidRPr="0017072A" w:rsidRDefault="000F6C9C">
      <w:pPr>
        <w:pStyle w:val="Nadpis1"/>
        <w:jc w:val="left"/>
        <w:rPr>
          <w:i w:val="0"/>
        </w:rPr>
      </w:pPr>
      <w:r w:rsidRPr="0017072A">
        <w:rPr>
          <w:i w:val="0"/>
        </w:rPr>
        <w:t>Mebendazolum</w:t>
      </w:r>
    </w:p>
    <w:p w:rsidR="000F6C9C" w:rsidRPr="001C3CD2" w:rsidRDefault="000F6C9C"/>
    <w:p w:rsidR="000F6C9C" w:rsidRPr="001C3CD2" w:rsidRDefault="000F6C9C">
      <w:pPr>
        <w:rPr>
          <w:b/>
        </w:rPr>
      </w:pPr>
      <w:r w:rsidRPr="001C3CD2">
        <w:rPr>
          <w:b/>
        </w:rPr>
        <w:t>3.</w:t>
      </w:r>
      <w:r w:rsidRPr="001C3CD2">
        <w:rPr>
          <w:b/>
        </w:rPr>
        <w:tab/>
        <w:t>OBSAH LÉČIVÝCH A OSTATNÍCH LÁTEK</w:t>
      </w:r>
    </w:p>
    <w:p w:rsidR="0017072A" w:rsidRDefault="0017072A"/>
    <w:p w:rsidR="000F6C9C" w:rsidRPr="001C3CD2" w:rsidRDefault="000F6C9C">
      <w:r w:rsidRPr="001C3CD2">
        <w:t>1 g obsahuje:</w:t>
      </w:r>
    </w:p>
    <w:p w:rsidR="0017072A" w:rsidRDefault="0017072A">
      <w:pPr>
        <w:rPr>
          <w:u w:val="single"/>
        </w:rPr>
      </w:pPr>
    </w:p>
    <w:p w:rsidR="00834A61" w:rsidRPr="0017072A" w:rsidRDefault="000F6C9C">
      <w:pPr>
        <w:rPr>
          <w:b/>
        </w:rPr>
      </w:pPr>
      <w:r w:rsidRPr="0017072A">
        <w:rPr>
          <w:b/>
        </w:rPr>
        <w:t xml:space="preserve">Léčivé látky: </w:t>
      </w:r>
    </w:p>
    <w:p w:rsidR="000F6C9C" w:rsidRPr="001C3CD2" w:rsidRDefault="000F6C9C">
      <w:proofErr w:type="spellStart"/>
      <w:r w:rsidRPr="001C3CD2">
        <w:t>Rafoxanidum</w:t>
      </w:r>
      <w:proofErr w:type="spellEnd"/>
      <w:r w:rsidR="00834A61" w:rsidRPr="001C3CD2">
        <w:t xml:space="preserve">     </w:t>
      </w:r>
      <w:r w:rsidRPr="001C3CD2">
        <w:t xml:space="preserve">10 </w:t>
      </w:r>
      <w:r w:rsidR="00714A4F">
        <w:t>m</w:t>
      </w:r>
      <w:r w:rsidRPr="001C3CD2">
        <w:t xml:space="preserve">g </w:t>
      </w:r>
    </w:p>
    <w:p w:rsidR="000F6C9C" w:rsidRPr="001C3CD2" w:rsidRDefault="000F6C9C">
      <w:proofErr w:type="spellStart"/>
      <w:r w:rsidRPr="001C3CD2">
        <w:t>Mebendazolum</w:t>
      </w:r>
      <w:proofErr w:type="spellEnd"/>
      <w:r w:rsidRPr="001C3CD2">
        <w:t xml:space="preserve"> </w:t>
      </w:r>
      <w:r w:rsidR="00834A61" w:rsidRPr="001C3CD2">
        <w:t xml:space="preserve">  </w:t>
      </w:r>
      <w:r w:rsidRPr="001C3CD2">
        <w:t xml:space="preserve">8 </w:t>
      </w:r>
      <w:r w:rsidR="00714A4F">
        <w:t>m</w:t>
      </w:r>
      <w:r w:rsidRPr="001C3CD2">
        <w:t xml:space="preserve">g </w:t>
      </w:r>
    </w:p>
    <w:p w:rsidR="000F6C9C" w:rsidRDefault="000F6C9C">
      <w:pPr>
        <w:rPr>
          <w:u w:val="single"/>
        </w:rPr>
      </w:pPr>
    </w:p>
    <w:p w:rsidR="00714A4F" w:rsidRPr="005E5B36" w:rsidRDefault="00714A4F">
      <w:r w:rsidRPr="005E5B36">
        <w:t>Nažloutlý</w:t>
      </w:r>
      <w:r w:rsidR="0017072A">
        <w:t xml:space="preserve"> až nahnědlý</w:t>
      </w:r>
      <w:r w:rsidRPr="005E5B36">
        <w:t xml:space="preserve"> perorální prášek.</w:t>
      </w:r>
    </w:p>
    <w:p w:rsidR="000F6C9C" w:rsidRPr="001C3CD2" w:rsidRDefault="000F6C9C"/>
    <w:p w:rsidR="000F6C9C" w:rsidRPr="001C3CD2" w:rsidRDefault="000F6C9C">
      <w:pPr>
        <w:rPr>
          <w:b/>
        </w:rPr>
      </w:pPr>
      <w:r w:rsidRPr="001C3CD2">
        <w:rPr>
          <w:b/>
        </w:rPr>
        <w:t>4.</w:t>
      </w:r>
      <w:r w:rsidRPr="001C3CD2">
        <w:rPr>
          <w:b/>
        </w:rPr>
        <w:tab/>
        <w:t>INDIKACE</w:t>
      </w:r>
    </w:p>
    <w:p w:rsidR="00D33ACC" w:rsidRPr="00BB4D88" w:rsidRDefault="004A48B2" w:rsidP="00D33ACC">
      <w:pPr>
        <w:jc w:val="both"/>
        <w:rPr>
          <w:i/>
        </w:rPr>
      </w:pPr>
      <w:r w:rsidRPr="001C3CD2">
        <w:t xml:space="preserve">Preventivní a léčebná dehelmintizace spárkaté zvěře při výskytu nosohltanové střečkovitosti, motoličnatosti a helmintóz způsobených oblými červy dýchacího a trávicího ústrojí. Přípravek je účinný zejména </w:t>
      </w:r>
      <w:r w:rsidR="00D33ACC" w:rsidRPr="00BB4D88">
        <w:t xml:space="preserve">proti </w:t>
      </w:r>
      <w:proofErr w:type="spellStart"/>
      <w:r w:rsidR="00D33ACC" w:rsidRPr="00BB4D88">
        <w:t>plicnivce</w:t>
      </w:r>
      <w:proofErr w:type="spellEnd"/>
      <w:r w:rsidR="00D33ACC" w:rsidRPr="00BB4D88">
        <w:t xml:space="preserve"> jelení</w:t>
      </w:r>
      <w:r w:rsidR="00D33ACC">
        <w:t xml:space="preserve"> (</w:t>
      </w:r>
      <w:proofErr w:type="spellStart"/>
      <w:r w:rsidR="00D33ACC" w:rsidRPr="00963EAB">
        <w:rPr>
          <w:i/>
        </w:rPr>
        <w:t>Dictyocaulus</w:t>
      </w:r>
      <w:proofErr w:type="spellEnd"/>
      <w:r w:rsidR="00D33ACC" w:rsidRPr="00963EAB">
        <w:rPr>
          <w:i/>
        </w:rPr>
        <w:t xml:space="preserve"> </w:t>
      </w:r>
      <w:proofErr w:type="spellStart"/>
      <w:r w:rsidR="00D33ACC" w:rsidRPr="00963EAB">
        <w:rPr>
          <w:i/>
        </w:rPr>
        <w:t>viviparus</w:t>
      </w:r>
      <w:proofErr w:type="spellEnd"/>
      <w:r w:rsidR="00D33ACC">
        <w:t>)</w:t>
      </w:r>
      <w:r w:rsidR="00D33ACC" w:rsidRPr="00BB4D88">
        <w:t xml:space="preserve">, </w:t>
      </w:r>
      <w:proofErr w:type="spellStart"/>
      <w:r w:rsidR="00D33ACC" w:rsidRPr="00BB4D88">
        <w:t>plicnivce</w:t>
      </w:r>
      <w:proofErr w:type="spellEnd"/>
      <w:r w:rsidR="00D33ACC" w:rsidRPr="00BB4D88">
        <w:t xml:space="preserve"> ovčí</w:t>
      </w:r>
      <w:r w:rsidR="00D33ACC">
        <w:t xml:space="preserve"> (</w:t>
      </w:r>
      <w:proofErr w:type="spellStart"/>
      <w:r w:rsidR="00D33ACC" w:rsidRPr="00963EAB">
        <w:rPr>
          <w:i/>
        </w:rPr>
        <w:t>Dictyocaulus</w:t>
      </w:r>
      <w:proofErr w:type="spellEnd"/>
      <w:r w:rsidR="00D33ACC" w:rsidRPr="00963EAB">
        <w:rPr>
          <w:i/>
        </w:rPr>
        <w:t xml:space="preserve"> </w:t>
      </w:r>
      <w:proofErr w:type="spellStart"/>
      <w:r w:rsidR="00D33ACC" w:rsidRPr="00963EAB">
        <w:rPr>
          <w:i/>
        </w:rPr>
        <w:t>filaria</w:t>
      </w:r>
      <w:proofErr w:type="spellEnd"/>
      <w:r w:rsidR="00D33ACC">
        <w:t>)</w:t>
      </w:r>
      <w:r w:rsidR="00D33ACC" w:rsidRPr="00BB4D88">
        <w:t xml:space="preserve"> a proti všem oblým červům trávicího traktu. Částečnou účinnost má proti plicním červům rodu </w:t>
      </w:r>
      <w:proofErr w:type="spellStart"/>
      <w:r w:rsidR="00D33ACC" w:rsidRPr="00BB4D88">
        <w:rPr>
          <w:i/>
        </w:rPr>
        <w:t>Capreocaulus</w:t>
      </w:r>
      <w:proofErr w:type="spellEnd"/>
      <w:r w:rsidR="00D33ACC" w:rsidRPr="00BB4D88">
        <w:rPr>
          <w:i/>
        </w:rPr>
        <w:t xml:space="preserve">, </w:t>
      </w:r>
      <w:proofErr w:type="spellStart"/>
      <w:r w:rsidR="00D33ACC" w:rsidRPr="00BB4D88">
        <w:rPr>
          <w:i/>
        </w:rPr>
        <w:t>Bicaulus</w:t>
      </w:r>
      <w:proofErr w:type="spellEnd"/>
      <w:r w:rsidR="00D33ACC" w:rsidRPr="00BB4D88">
        <w:rPr>
          <w:i/>
        </w:rPr>
        <w:t xml:space="preserve">, </w:t>
      </w:r>
      <w:proofErr w:type="spellStart"/>
      <w:r w:rsidR="00D33ACC" w:rsidRPr="00BB4D88">
        <w:rPr>
          <w:i/>
        </w:rPr>
        <w:t>Müllerius</w:t>
      </w:r>
      <w:proofErr w:type="spellEnd"/>
      <w:r w:rsidR="00D33ACC" w:rsidRPr="00BB4D88">
        <w:rPr>
          <w:i/>
        </w:rPr>
        <w:t xml:space="preserve">, </w:t>
      </w:r>
      <w:proofErr w:type="spellStart"/>
      <w:r w:rsidR="00D33ACC" w:rsidRPr="00BB4D88">
        <w:rPr>
          <w:i/>
        </w:rPr>
        <w:t>Protostrongylus</w:t>
      </w:r>
      <w:proofErr w:type="spellEnd"/>
      <w:r w:rsidR="00D33ACC" w:rsidRPr="00BB4D88">
        <w:rPr>
          <w:i/>
        </w:rPr>
        <w:t>.</w:t>
      </w:r>
    </w:p>
    <w:p w:rsidR="000F6C9C" w:rsidRPr="001C3CD2" w:rsidRDefault="000F6C9C" w:rsidP="00D33ACC">
      <w:pPr>
        <w:jc w:val="both"/>
        <w:rPr>
          <w:b/>
        </w:rPr>
      </w:pPr>
    </w:p>
    <w:p w:rsidR="000F6C9C" w:rsidRPr="001C3CD2" w:rsidRDefault="000F6C9C">
      <w:pPr>
        <w:rPr>
          <w:b/>
        </w:rPr>
      </w:pPr>
      <w:r w:rsidRPr="001C3CD2">
        <w:rPr>
          <w:b/>
        </w:rPr>
        <w:t xml:space="preserve">5. </w:t>
      </w:r>
      <w:r w:rsidRPr="001C3CD2">
        <w:rPr>
          <w:b/>
        </w:rPr>
        <w:tab/>
        <w:t>KONTRAINDIKACE</w:t>
      </w:r>
    </w:p>
    <w:p w:rsidR="000F6C9C" w:rsidRPr="001C3CD2" w:rsidRDefault="000F6C9C">
      <w:r w:rsidRPr="001C3CD2">
        <w:t>Nejsou známy.</w:t>
      </w:r>
    </w:p>
    <w:p w:rsidR="000F6C9C" w:rsidRPr="001C3CD2" w:rsidRDefault="000F6C9C"/>
    <w:p w:rsidR="000F6C9C" w:rsidRPr="001C3CD2" w:rsidRDefault="000F6C9C">
      <w:r w:rsidRPr="001C3CD2">
        <w:rPr>
          <w:b/>
        </w:rPr>
        <w:t>6.</w:t>
      </w:r>
      <w:r w:rsidRPr="001C3CD2">
        <w:rPr>
          <w:b/>
        </w:rPr>
        <w:tab/>
        <w:t>NEŽÁDOUCÍ ÚČINKY</w:t>
      </w:r>
    </w:p>
    <w:p w:rsidR="00EB126E" w:rsidRPr="00660ECF" w:rsidRDefault="00EB126E" w:rsidP="00EB126E">
      <w:pPr>
        <w:jc w:val="both"/>
      </w:pPr>
      <w:r w:rsidRPr="00660ECF">
        <w:t>Přípravek má</w:t>
      </w:r>
      <w:r>
        <w:t xml:space="preserve"> dostatečnou terapeutickou šíři. Nebyly ale provedeny studie snášenlivosti s cílovými druhy zvířat. Vyvarujte se předávkování. Viz také body </w:t>
      </w:r>
      <w:r w:rsidR="00DA0A3C">
        <w:t>9</w:t>
      </w:r>
      <w:r>
        <w:t xml:space="preserve"> a </w:t>
      </w:r>
      <w:r w:rsidR="00DA0A3C">
        <w:t>12</w:t>
      </w:r>
      <w:r>
        <w:t xml:space="preserve">. </w:t>
      </w:r>
    </w:p>
    <w:p w:rsidR="000F6C9C" w:rsidRPr="001C3CD2" w:rsidRDefault="000F6C9C"/>
    <w:p w:rsidR="000F6C9C" w:rsidRPr="001C3CD2" w:rsidRDefault="000F6C9C">
      <w:r w:rsidRPr="001C3CD2">
        <w:rPr>
          <w:b/>
        </w:rPr>
        <w:t>7.</w:t>
      </w:r>
      <w:r w:rsidRPr="001C3CD2">
        <w:rPr>
          <w:b/>
        </w:rPr>
        <w:tab/>
        <w:t>CÍLOVÝ DRUH ZVÍŘAT</w:t>
      </w:r>
    </w:p>
    <w:p w:rsidR="000F6C9C" w:rsidRPr="001C3CD2" w:rsidRDefault="000F6C9C">
      <w:pPr>
        <w:pStyle w:val="Zkladntext"/>
      </w:pPr>
      <w:r w:rsidRPr="001C3CD2">
        <w:t>Jelení, daňčí, mufloní, srnčí a kamzičí zvěř.</w:t>
      </w:r>
    </w:p>
    <w:p w:rsidR="000F6C9C" w:rsidRPr="001C3CD2" w:rsidRDefault="000F6C9C">
      <w:pPr>
        <w:rPr>
          <w:b/>
        </w:rPr>
      </w:pPr>
    </w:p>
    <w:p w:rsidR="000F6C9C" w:rsidRPr="001C3CD2" w:rsidRDefault="000F6C9C">
      <w:r w:rsidRPr="001C3CD2">
        <w:rPr>
          <w:b/>
        </w:rPr>
        <w:t>8.</w:t>
      </w:r>
      <w:r w:rsidRPr="001C3CD2">
        <w:rPr>
          <w:b/>
        </w:rPr>
        <w:tab/>
        <w:t>DÁVKOVÁNÍ PRO KAŽDÝ DRUH, CESTA A ZPŮSOB PODÁNÍ</w:t>
      </w:r>
    </w:p>
    <w:p w:rsidR="004A48B2" w:rsidRPr="001C3CD2" w:rsidRDefault="004A48B2" w:rsidP="004A48B2">
      <w:pPr>
        <w:pStyle w:val="Zkladntext"/>
        <w:ind w:right="1134"/>
      </w:pPr>
      <w:r w:rsidRPr="001C3CD2">
        <w:t>Perorální podání.</w:t>
      </w:r>
    </w:p>
    <w:p w:rsidR="004A48B2" w:rsidRPr="001C3CD2" w:rsidRDefault="004A48B2" w:rsidP="004A48B2">
      <w:pPr>
        <w:pStyle w:val="Zkladntext"/>
        <w:ind w:right="72"/>
        <w:jc w:val="both"/>
      </w:pPr>
      <w:r w:rsidRPr="001C3CD2">
        <w:t>Aplikaci musí předcházet přípravná fáze, tj. krmení sypkým krmivem bez přípravku Rafendazol perorální prášek.</w:t>
      </w:r>
    </w:p>
    <w:p w:rsidR="004A48B2" w:rsidRPr="001C3CD2" w:rsidRDefault="004A48B2" w:rsidP="004A48B2">
      <w:pPr>
        <w:pStyle w:val="Zkladntext"/>
        <w:ind w:right="1134"/>
      </w:pPr>
    </w:p>
    <w:p w:rsidR="004A48B2" w:rsidRPr="001C3CD2" w:rsidRDefault="004A48B2" w:rsidP="004A48B2">
      <w:pPr>
        <w:pStyle w:val="Zkladntext"/>
        <w:ind w:right="1134"/>
        <w:rPr>
          <w:rFonts w:eastAsia="Arial Unicode MS"/>
        </w:rPr>
      </w:pPr>
      <w:r w:rsidRPr="001C3CD2">
        <w:t xml:space="preserve">Doporučené dávkování: </w:t>
      </w:r>
      <w:r w:rsidRPr="001C3CD2">
        <w:tab/>
        <w:t>Rafoxanid     12,0 mg/ kg</w:t>
      </w:r>
      <w:r w:rsidRPr="001C3CD2">
        <w:rPr>
          <w:vertAlign w:val="superscript"/>
        </w:rPr>
        <w:t xml:space="preserve"> </w:t>
      </w:r>
      <w:r w:rsidRPr="001C3CD2">
        <w:t xml:space="preserve">ž. </w:t>
      </w:r>
      <w:proofErr w:type="gramStart"/>
      <w:r w:rsidRPr="001C3CD2">
        <w:t>hm</w:t>
      </w:r>
      <w:proofErr w:type="gramEnd"/>
      <w:r w:rsidRPr="001C3CD2">
        <w:t>.</w:t>
      </w:r>
      <w:r w:rsidRPr="001C3CD2">
        <w:rPr>
          <w:rStyle w:val="Siln"/>
          <w:szCs w:val="36"/>
        </w:rPr>
        <w:t xml:space="preserve">  </w:t>
      </w:r>
    </w:p>
    <w:p w:rsidR="004A48B2" w:rsidRPr="001C3CD2" w:rsidRDefault="004A48B2" w:rsidP="004A48B2">
      <w:pPr>
        <w:pStyle w:val="Zkladntextodsazen"/>
        <w:ind w:left="2124" w:right="-3" w:firstLine="708"/>
      </w:pPr>
      <w:r w:rsidRPr="001C3CD2">
        <w:lastRenderedPageBreak/>
        <w:t>Mebendazol  10,0 mg/ kg</w:t>
      </w:r>
      <w:r w:rsidRPr="001C3CD2">
        <w:rPr>
          <w:vertAlign w:val="superscript"/>
        </w:rPr>
        <w:t xml:space="preserve"> </w:t>
      </w:r>
      <w:r w:rsidRPr="001C3CD2">
        <w:t xml:space="preserve">ž. </w:t>
      </w:r>
      <w:proofErr w:type="gramStart"/>
      <w:r w:rsidRPr="001C3CD2">
        <w:t>hm</w:t>
      </w:r>
      <w:proofErr w:type="gramEnd"/>
      <w:r w:rsidRPr="001C3CD2">
        <w:t xml:space="preserve">. </w:t>
      </w:r>
    </w:p>
    <w:p w:rsidR="004A48B2" w:rsidRPr="001C3CD2" w:rsidRDefault="004A48B2" w:rsidP="004A48B2">
      <w:pPr>
        <w:pStyle w:val="Zkladntext2"/>
      </w:pPr>
    </w:p>
    <w:p w:rsidR="004A48B2" w:rsidRPr="001C3CD2" w:rsidRDefault="004A48B2" w:rsidP="004A48B2">
      <w:pPr>
        <w:pStyle w:val="Zkladntext2"/>
      </w:pPr>
      <w:r w:rsidRPr="001C3CD2">
        <w:t xml:space="preserve">Přípravek se podává rozmíchaný v sypkém jadrném krmivu, na které je zvěř zvyklá, v poměru 1:9 (jedno 5 kg balení přípravku se důkladně rozmíchá ve </w:t>
      </w:r>
      <w:smartTag w:uri="urn:schemas-microsoft-com:office:smarttags" w:element="metricconverter">
        <w:smartTagPr>
          <w:attr w:name="ProductID" w:val="45 kg"/>
        </w:smartTagPr>
        <w:r w:rsidRPr="001C3CD2">
          <w:t>45 kg</w:t>
        </w:r>
      </w:smartTag>
      <w:r w:rsidRPr="001C3CD2">
        <w:t xml:space="preserve"> krmiva). Takto připravené krmivo se podává dva po sobě následující dny jako jediné krmivo, v množství závislém na početním stavu zvěře u krmelců.</w:t>
      </w:r>
    </w:p>
    <w:p w:rsidR="004A48B2" w:rsidRPr="001C3CD2" w:rsidRDefault="004A48B2" w:rsidP="004A48B2">
      <w:pPr>
        <w:pStyle w:val="Zkladntext2"/>
      </w:pPr>
    </w:p>
    <w:p w:rsidR="004A48B2" w:rsidRPr="001C3CD2" w:rsidRDefault="004A48B2" w:rsidP="004A48B2">
      <w:pPr>
        <w:rPr>
          <w:u w:val="single"/>
        </w:rPr>
      </w:pPr>
      <w:r w:rsidRPr="001C3CD2">
        <w:rPr>
          <w:u w:val="single"/>
        </w:rPr>
        <w:t xml:space="preserve">Druh </w:t>
      </w:r>
      <w:proofErr w:type="gramStart"/>
      <w:r w:rsidRPr="001C3CD2">
        <w:rPr>
          <w:u w:val="single"/>
        </w:rPr>
        <w:t xml:space="preserve">zvěře </w:t>
      </w:r>
      <w:r w:rsidRPr="001C3CD2">
        <w:t xml:space="preserve">                           </w:t>
      </w:r>
      <w:r w:rsidRPr="001C3CD2">
        <w:rPr>
          <w:u w:val="single"/>
        </w:rPr>
        <w:t>průměrná</w:t>
      </w:r>
      <w:proofErr w:type="gramEnd"/>
      <w:r w:rsidRPr="001C3CD2">
        <w:rPr>
          <w:u w:val="single"/>
        </w:rPr>
        <w:t xml:space="preserve"> hmotnost</w:t>
      </w:r>
      <w:r w:rsidRPr="001C3CD2">
        <w:t xml:space="preserve">                      </w:t>
      </w:r>
      <w:r w:rsidRPr="001C3CD2">
        <w:rPr>
          <w:u w:val="single"/>
        </w:rPr>
        <w:t>denní dávka medikované směsi</w:t>
      </w:r>
    </w:p>
    <w:p w:rsidR="004A48B2" w:rsidRPr="001C3CD2" w:rsidRDefault="004A48B2" w:rsidP="004A48B2">
      <w:proofErr w:type="gramStart"/>
      <w:r w:rsidRPr="001C3CD2">
        <w:t xml:space="preserve">jelení                                                  </w:t>
      </w:r>
      <w:smartTag w:uri="urn:schemas-microsoft-com:office:smarttags" w:element="metricconverter">
        <w:smartTagPr>
          <w:attr w:name="ProductID" w:val="75 kg"/>
        </w:smartTagPr>
        <w:r w:rsidRPr="001C3CD2">
          <w:t>75</w:t>
        </w:r>
        <w:proofErr w:type="gramEnd"/>
        <w:r w:rsidRPr="001C3CD2">
          <w:t xml:space="preserve"> kg</w:t>
        </w:r>
      </w:smartTag>
      <w:r w:rsidRPr="001C3CD2">
        <w:t xml:space="preserve">                                                 </w:t>
      </w:r>
      <w:smartTag w:uri="urn:schemas-microsoft-com:office:smarttags" w:element="metricconverter">
        <w:smartTagPr>
          <w:attr w:name="ProductID" w:val="900 g"/>
        </w:smartTagPr>
        <w:r w:rsidRPr="001C3CD2">
          <w:t>900 g</w:t>
        </w:r>
      </w:smartTag>
    </w:p>
    <w:p w:rsidR="004A48B2" w:rsidRPr="001C3CD2" w:rsidRDefault="004A48B2" w:rsidP="004A48B2">
      <w:proofErr w:type="gramStart"/>
      <w:r w:rsidRPr="001C3CD2">
        <w:t xml:space="preserve">daňčí                                                   </w:t>
      </w:r>
      <w:smartTag w:uri="urn:schemas-microsoft-com:office:smarttags" w:element="metricconverter">
        <w:smartTagPr>
          <w:attr w:name="ProductID" w:val="50 kg"/>
        </w:smartTagPr>
        <w:r w:rsidRPr="001C3CD2">
          <w:t>50</w:t>
        </w:r>
        <w:proofErr w:type="gramEnd"/>
        <w:r w:rsidRPr="001C3CD2">
          <w:t xml:space="preserve"> kg</w:t>
        </w:r>
      </w:smartTag>
      <w:r w:rsidRPr="001C3CD2">
        <w:t xml:space="preserve">                                                </w:t>
      </w:r>
      <w:smartTag w:uri="urn:schemas-microsoft-com:office:smarttags" w:element="metricconverter">
        <w:smartTagPr>
          <w:attr w:name="ProductID" w:val="650 g"/>
        </w:smartTagPr>
        <w:r w:rsidRPr="001C3CD2">
          <w:t>650 g</w:t>
        </w:r>
      </w:smartTag>
    </w:p>
    <w:p w:rsidR="004A48B2" w:rsidRPr="001C3CD2" w:rsidRDefault="004A48B2" w:rsidP="004A48B2">
      <w:proofErr w:type="gramStart"/>
      <w:r w:rsidRPr="001C3CD2">
        <w:t xml:space="preserve">mufloní                                               </w:t>
      </w:r>
      <w:smartTag w:uri="urn:schemas-microsoft-com:office:smarttags" w:element="metricconverter">
        <w:smartTagPr>
          <w:attr w:name="ProductID" w:val="30 kg"/>
        </w:smartTagPr>
        <w:r w:rsidRPr="001C3CD2">
          <w:t>30</w:t>
        </w:r>
        <w:proofErr w:type="gramEnd"/>
        <w:r w:rsidRPr="001C3CD2">
          <w:t xml:space="preserve"> kg</w:t>
        </w:r>
      </w:smartTag>
      <w:r w:rsidRPr="001C3CD2">
        <w:t xml:space="preserve">                                                </w:t>
      </w:r>
      <w:smartTag w:uri="urn:schemas-microsoft-com:office:smarttags" w:element="metricconverter">
        <w:smartTagPr>
          <w:attr w:name="ProductID" w:val="400 g"/>
        </w:smartTagPr>
        <w:r w:rsidRPr="001C3CD2">
          <w:t>400 g</w:t>
        </w:r>
      </w:smartTag>
    </w:p>
    <w:p w:rsidR="004A48B2" w:rsidRPr="001C3CD2" w:rsidRDefault="004A48B2" w:rsidP="004A48B2">
      <w:proofErr w:type="gramStart"/>
      <w:r w:rsidRPr="001C3CD2">
        <w:t xml:space="preserve">srnčí                                                    </w:t>
      </w:r>
      <w:smartTag w:uri="urn:schemas-microsoft-com:office:smarttags" w:element="metricconverter">
        <w:smartTagPr>
          <w:attr w:name="ProductID" w:val="15 kg"/>
        </w:smartTagPr>
        <w:r w:rsidRPr="001C3CD2">
          <w:t>15</w:t>
        </w:r>
        <w:proofErr w:type="gramEnd"/>
        <w:r w:rsidRPr="001C3CD2">
          <w:t xml:space="preserve"> kg</w:t>
        </w:r>
      </w:smartTag>
      <w:r w:rsidRPr="001C3CD2">
        <w:t xml:space="preserve">                                                </w:t>
      </w:r>
      <w:smartTag w:uri="urn:schemas-microsoft-com:office:smarttags" w:element="metricconverter">
        <w:smartTagPr>
          <w:attr w:name="ProductID" w:val="200 g"/>
        </w:smartTagPr>
        <w:r w:rsidRPr="001C3CD2">
          <w:t>200 g</w:t>
        </w:r>
      </w:smartTag>
    </w:p>
    <w:p w:rsidR="004A48B2" w:rsidRPr="001C3CD2" w:rsidRDefault="004A48B2" w:rsidP="004A48B2">
      <w:proofErr w:type="gramStart"/>
      <w:r w:rsidRPr="001C3CD2">
        <w:t xml:space="preserve">kamzičí                                               </w:t>
      </w:r>
      <w:smartTag w:uri="urn:schemas-microsoft-com:office:smarttags" w:element="metricconverter">
        <w:smartTagPr>
          <w:attr w:name="ProductID" w:val="20 kg"/>
        </w:smartTagPr>
        <w:r w:rsidRPr="001C3CD2">
          <w:t>20</w:t>
        </w:r>
        <w:proofErr w:type="gramEnd"/>
        <w:r w:rsidRPr="001C3CD2">
          <w:t xml:space="preserve"> kg</w:t>
        </w:r>
      </w:smartTag>
      <w:r w:rsidRPr="001C3CD2">
        <w:t xml:space="preserve">                                                </w:t>
      </w:r>
      <w:smartTag w:uri="urn:schemas-microsoft-com:office:smarttags" w:element="metricconverter">
        <w:smartTagPr>
          <w:attr w:name="ProductID" w:val="320 g"/>
        </w:smartTagPr>
        <w:r w:rsidRPr="001C3CD2">
          <w:t>320 g</w:t>
        </w:r>
      </w:smartTag>
    </w:p>
    <w:p w:rsidR="000F6C9C" w:rsidRPr="001C3CD2" w:rsidRDefault="000F6C9C">
      <w:pPr>
        <w:pStyle w:val="Zkladntextodsazen"/>
        <w:spacing w:line="240" w:lineRule="auto"/>
        <w:ind w:right="-3" w:firstLine="0"/>
      </w:pPr>
    </w:p>
    <w:p w:rsidR="000F6C9C" w:rsidRPr="001C3CD2" w:rsidRDefault="000F6C9C">
      <w:r w:rsidRPr="001C3CD2">
        <w:rPr>
          <w:b/>
        </w:rPr>
        <w:t>9.</w:t>
      </w:r>
      <w:r w:rsidRPr="001C3CD2">
        <w:rPr>
          <w:b/>
        </w:rPr>
        <w:tab/>
        <w:t>POKYNY PRO SPRÁVNÉ PODÁNÍ</w:t>
      </w:r>
    </w:p>
    <w:p w:rsidR="004A48B2" w:rsidRPr="001C3CD2" w:rsidRDefault="004A48B2" w:rsidP="004A48B2">
      <w:pPr>
        <w:pStyle w:val="Zkladntext2"/>
        <w:rPr>
          <w:b/>
        </w:rPr>
      </w:pPr>
      <w:r w:rsidRPr="001C3CD2">
        <w:t>Předložení léčiva musí předcházet návyková fáze (nejméně 7 – 10 dnů) na krmivo, do něhož bude přípravek zamíchán, z důvodu adaptace trávicí trubice na příjem jadrného krmiva. Při nedodržení návykové fáze může docházet k narušení metabolismu glycidů s následnou acidózou až ketózou organismu ústící k celkové devastaci postiženého jedince.</w:t>
      </w:r>
    </w:p>
    <w:p w:rsidR="000F6C9C" w:rsidRPr="001C3CD2" w:rsidRDefault="000F6C9C">
      <w:pPr>
        <w:pStyle w:val="Zkladntextodsazen"/>
        <w:spacing w:line="240" w:lineRule="auto"/>
        <w:ind w:firstLine="0"/>
      </w:pPr>
    </w:p>
    <w:p w:rsidR="000F6C9C" w:rsidRPr="001C3CD2" w:rsidRDefault="000F6C9C">
      <w:pPr>
        <w:pStyle w:val="Zkladntextodsazen"/>
        <w:spacing w:line="240" w:lineRule="auto"/>
        <w:ind w:firstLine="0"/>
      </w:pPr>
      <w:r w:rsidRPr="001C3CD2">
        <w:rPr>
          <w:b/>
        </w:rPr>
        <w:t>10.</w:t>
      </w:r>
      <w:r w:rsidRPr="001C3CD2">
        <w:rPr>
          <w:b/>
        </w:rPr>
        <w:tab/>
        <w:t xml:space="preserve">OCHRANNÁ LHŮTA </w:t>
      </w:r>
    </w:p>
    <w:p w:rsidR="000F6C9C" w:rsidRPr="001C3CD2" w:rsidRDefault="000F6C9C">
      <w:pPr>
        <w:pStyle w:val="dka"/>
        <w:jc w:val="both"/>
      </w:pPr>
      <w:r w:rsidRPr="001C3CD2">
        <w:t>Maso daňčí, jelení, srnčí: 28 dnů</w:t>
      </w:r>
    </w:p>
    <w:p w:rsidR="000F6C9C" w:rsidRPr="001C3CD2" w:rsidRDefault="000F6C9C">
      <w:pPr>
        <w:jc w:val="both"/>
      </w:pPr>
      <w:r w:rsidRPr="001C3CD2">
        <w:t>Maso mufloní a kamz</w:t>
      </w:r>
      <w:r w:rsidR="00834A61" w:rsidRPr="001C3CD2">
        <w:t>i</w:t>
      </w:r>
      <w:r w:rsidRPr="001C3CD2">
        <w:t>čí:  60 dnů</w:t>
      </w:r>
      <w:r w:rsidR="00834A61" w:rsidRPr="001C3CD2">
        <w:t>.</w:t>
      </w:r>
    </w:p>
    <w:p w:rsidR="000F6C9C" w:rsidRPr="001C3CD2" w:rsidRDefault="000F6C9C">
      <w:pPr>
        <w:rPr>
          <w:iCs/>
        </w:rPr>
      </w:pPr>
    </w:p>
    <w:p w:rsidR="000F6C9C" w:rsidRPr="001C3CD2" w:rsidRDefault="000F6C9C">
      <w:r w:rsidRPr="001C3CD2">
        <w:rPr>
          <w:b/>
        </w:rPr>
        <w:t>11.</w:t>
      </w:r>
      <w:r w:rsidRPr="001C3CD2">
        <w:rPr>
          <w:b/>
        </w:rPr>
        <w:tab/>
        <w:t>ZVLÁŠTNÍ OPATŘENÍ PRO UCHOVÁVÁNÍ</w:t>
      </w:r>
    </w:p>
    <w:p w:rsidR="000F6C9C" w:rsidRPr="001C3CD2" w:rsidRDefault="000F6C9C">
      <w:pPr>
        <w:pStyle w:val="Zkladntextodsazen"/>
        <w:spacing w:line="240" w:lineRule="auto"/>
        <w:ind w:firstLine="0"/>
        <w:jc w:val="left"/>
      </w:pPr>
      <w:r w:rsidRPr="001C3CD2">
        <w:t>Uchovávat mimo dosah dětí.</w:t>
      </w:r>
    </w:p>
    <w:p w:rsidR="00714A4F" w:rsidRDefault="000F6C9C">
      <w:pPr>
        <w:pStyle w:val="Zkladntextodsazen"/>
        <w:spacing w:line="240" w:lineRule="auto"/>
        <w:ind w:firstLine="0"/>
        <w:jc w:val="left"/>
      </w:pPr>
      <w:r w:rsidRPr="001C3CD2">
        <w:t>Uchovávejte při teplotě do 25 °C</w:t>
      </w:r>
      <w:r w:rsidR="00714A4F" w:rsidRPr="001C3CD2">
        <w:t>.</w:t>
      </w:r>
    </w:p>
    <w:p w:rsidR="000F6C9C" w:rsidRPr="001C3CD2" w:rsidRDefault="000F6C9C">
      <w:pPr>
        <w:pStyle w:val="Zkladntextodsazen"/>
        <w:spacing w:line="240" w:lineRule="auto"/>
        <w:ind w:firstLine="0"/>
        <w:jc w:val="left"/>
      </w:pPr>
      <w:r w:rsidRPr="001C3CD2">
        <w:t>Uchovávejte v suchu.</w:t>
      </w:r>
    </w:p>
    <w:p w:rsidR="000F6C9C" w:rsidRPr="001C3CD2" w:rsidRDefault="000F6C9C">
      <w:pPr>
        <w:pStyle w:val="Zkladntextodsazen"/>
        <w:spacing w:line="240" w:lineRule="auto"/>
        <w:ind w:firstLine="0"/>
        <w:jc w:val="left"/>
      </w:pPr>
      <w:r w:rsidRPr="001C3CD2">
        <w:t>Nepoužívejte</w:t>
      </w:r>
      <w:r w:rsidR="00714A4F">
        <w:t xml:space="preserve"> tento veterinární léčivý přípravek</w:t>
      </w:r>
      <w:r w:rsidRPr="001C3CD2">
        <w:t xml:space="preserve"> po uplynutí doby použitelnosti uvedené na etiketě.</w:t>
      </w:r>
    </w:p>
    <w:p w:rsidR="000F6C9C" w:rsidRPr="001C3CD2" w:rsidRDefault="000F6C9C">
      <w:pPr>
        <w:pStyle w:val="Zkladntextodsazen"/>
        <w:spacing w:line="240" w:lineRule="auto"/>
        <w:ind w:firstLine="0"/>
        <w:jc w:val="left"/>
      </w:pPr>
      <w:r w:rsidRPr="001C3CD2">
        <w:t>Doba použitelnosti po zamíchání do krmiva: ihned spotřebujte.</w:t>
      </w:r>
    </w:p>
    <w:p w:rsidR="000F6C9C" w:rsidRPr="001C3CD2" w:rsidRDefault="000F6C9C">
      <w:pPr>
        <w:rPr>
          <w:b/>
        </w:rPr>
      </w:pPr>
    </w:p>
    <w:p w:rsidR="000F6C9C" w:rsidRPr="001C3CD2" w:rsidRDefault="000F6C9C">
      <w:pPr>
        <w:rPr>
          <w:b/>
        </w:rPr>
      </w:pPr>
      <w:r w:rsidRPr="001C3CD2">
        <w:rPr>
          <w:b/>
        </w:rPr>
        <w:t>12.</w:t>
      </w:r>
      <w:r w:rsidRPr="001C3CD2">
        <w:rPr>
          <w:b/>
        </w:rPr>
        <w:tab/>
        <w:t>ZVLÁŠTNÍ UPOZORNĚNÍ</w:t>
      </w:r>
    </w:p>
    <w:p w:rsidR="00E10E15" w:rsidRPr="001C3CD2" w:rsidRDefault="00E10E15" w:rsidP="00E10E15">
      <w:pPr>
        <w:rPr>
          <w:b/>
        </w:rPr>
      </w:pPr>
      <w:r w:rsidRPr="001C3CD2">
        <w:rPr>
          <w:b/>
        </w:rPr>
        <w:t>Zvláštní upozornění pro každý cílový druh:</w:t>
      </w:r>
    </w:p>
    <w:p w:rsidR="00E10E15" w:rsidRDefault="00E10E15" w:rsidP="00E10E15">
      <w:pPr>
        <w:jc w:val="both"/>
      </w:pPr>
      <w:r w:rsidRPr="001C3CD2">
        <w:t>Předložení léčiva musí předcházet návyková fáze (nejméně 7 – 10 dnů) na krmivo, do něhož bude přípravek zamíchán, z důvodu adaptace trávicí trubice na příjem jadrného krmiva. Při nedodržení návykové fáze může docházet k narušení metabolismu glycidů s následnou acidózou až ketózou organismu ústící k celkové devastaci postiženého jedince.</w:t>
      </w:r>
    </w:p>
    <w:p w:rsidR="00EB126E" w:rsidRPr="007D7A10" w:rsidRDefault="00EB126E" w:rsidP="00EB126E">
      <w:pPr>
        <w:jc w:val="both"/>
      </w:pPr>
      <w:r w:rsidRPr="007D7A10">
        <w:t>Je třeba vyhnout se následujícím postupům, poněvadž zvyšují riziko vzniku rezistence a mohly by v konečném důsledku vést k neúčinné terapii:</w:t>
      </w:r>
    </w:p>
    <w:p w:rsidR="00EB126E" w:rsidRPr="007D7A10" w:rsidRDefault="00EB126E" w:rsidP="00EB126E">
      <w:pPr>
        <w:numPr>
          <w:ilvl w:val="0"/>
          <w:numId w:val="1"/>
        </w:numPr>
        <w:jc w:val="both"/>
      </w:pPr>
      <w:r w:rsidRPr="007D7A10">
        <w:t>příliš častému a opakujícímu se používání anthelmintik ze stejné skupiny, příliš dlouhé době podávání</w:t>
      </w:r>
    </w:p>
    <w:p w:rsidR="00EB126E" w:rsidRPr="007D7A10" w:rsidRDefault="00EB126E" w:rsidP="00EB126E">
      <w:pPr>
        <w:numPr>
          <w:ilvl w:val="0"/>
          <w:numId w:val="1"/>
        </w:numPr>
        <w:jc w:val="both"/>
      </w:pPr>
      <w:proofErr w:type="spellStart"/>
      <w:r w:rsidRPr="007D7A10">
        <w:t>poddávkování</w:t>
      </w:r>
      <w:proofErr w:type="spellEnd"/>
      <w:r w:rsidRPr="007D7A10">
        <w:t>, z důvodu špatného stanovení živé hmotnosti, chybného podání přípravku nebo nedostatečné kalibrace dávkovacího zařízení (pokud je použito).</w:t>
      </w:r>
    </w:p>
    <w:p w:rsidR="00EB126E" w:rsidRPr="007D7A10" w:rsidRDefault="00EB126E" w:rsidP="00EB126E">
      <w:pPr>
        <w:jc w:val="both"/>
      </w:pPr>
      <w:r w:rsidRPr="007D7A10">
        <w:t>Za použití vhodných testů (např. Testu redukce počtu vajíček - FECRT) mají být vyšetřeny podezřelé klinické případy na rezistenci k anthelmintikům. Tam, kde výsledky testu potvrzují rezistenci k určitému anthelmintiku, by mělo být použito anthelmintikum náležející do jiné skupiny a mající jiný způsob účinku.</w:t>
      </w:r>
    </w:p>
    <w:p w:rsidR="00E10E15" w:rsidRPr="001C3CD2" w:rsidRDefault="00E10E15" w:rsidP="00E10E15">
      <w:pPr>
        <w:rPr>
          <w:b/>
        </w:rPr>
      </w:pPr>
      <w:r w:rsidRPr="001C3CD2">
        <w:rPr>
          <w:b/>
        </w:rPr>
        <w:t>Zvláštní opatření pro použití u zvířat:</w:t>
      </w:r>
    </w:p>
    <w:p w:rsidR="00E10E15" w:rsidRPr="001C3CD2" w:rsidRDefault="00E10E15" w:rsidP="00E10E15">
      <w:pPr>
        <w:jc w:val="both"/>
      </w:pPr>
      <w:r w:rsidRPr="001C3CD2">
        <w:t xml:space="preserve">Nezkrmovat přímo, podávat zamíchané v krmivu o stejném složení jaké bylo zvěři předkládáno v návykové fázi. </w:t>
      </w:r>
    </w:p>
    <w:p w:rsidR="001C3CD2" w:rsidRDefault="001E143C" w:rsidP="001E143C">
      <w:pPr>
        <w:jc w:val="both"/>
        <w:rPr>
          <w:b/>
          <w:bCs/>
        </w:rPr>
      </w:pPr>
      <w:r w:rsidRPr="001C3CD2">
        <w:rPr>
          <w:b/>
          <w:bCs/>
        </w:rPr>
        <w:lastRenderedPageBreak/>
        <w:t>Zvláštní opatření určené osobám, které podávají veterinární léčivý přípravek zvířatům</w:t>
      </w:r>
      <w:r w:rsidR="007663AA">
        <w:rPr>
          <w:b/>
          <w:bCs/>
        </w:rPr>
        <w:t>:</w:t>
      </w:r>
    </w:p>
    <w:p w:rsidR="001E143C" w:rsidRPr="001C3CD2" w:rsidRDefault="001E143C" w:rsidP="001E143C">
      <w:pPr>
        <w:jc w:val="both"/>
      </w:pPr>
      <w:r w:rsidRPr="001C3CD2">
        <w:t xml:space="preserve">Během aplikace přípravku nekuřte, nejezte a nepijte. </w:t>
      </w:r>
    </w:p>
    <w:p w:rsidR="001E143C" w:rsidRPr="001C3CD2" w:rsidRDefault="001E143C" w:rsidP="001E143C">
      <w:pPr>
        <w:jc w:val="both"/>
      </w:pPr>
      <w:r w:rsidRPr="001C3CD2">
        <w:t xml:space="preserve">Zabraňte kontaktu přípravku s kůží, očima a sliznicemi. Při nakládání s veterinárním léčivým přípravkem by se měly používat osobní ochranné prostředky skládající se z gumových či latexových rukavic. V případě kontaktu přípravku s kůží, omyjte postižené místo vodou </w:t>
      </w:r>
    </w:p>
    <w:p w:rsidR="001E143C" w:rsidRPr="001C3CD2" w:rsidRDefault="001E143C" w:rsidP="001E143C">
      <w:pPr>
        <w:jc w:val="both"/>
      </w:pPr>
      <w:r w:rsidRPr="001C3CD2">
        <w:t>a mýdlem. V případě zasažení očí, vypláchněte oči důkladně proudem pitné vody.</w:t>
      </w:r>
    </w:p>
    <w:p w:rsidR="001E143C" w:rsidRPr="001C3CD2" w:rsidRDefault="001E143C" w:rsidP="001E143C">
      <w:pPr>
        <w:jc w:val="both"/>
      </w:pPr>
      <w:r w:rsidRPr="001C3CD2">
        <w:t>V případě podráždění vyhledejte lékařskou pomoc a ukažte příbalovou informaci praktickému lékaři.</w:t>
      </w:r>
    </w:p>
    <w:p w:rsidR="00853E99" w:rsidRPr="001C3CD2" w:rsidRDefault="00853E99" w:rsidP="00853E99">
      <w:r w:rsidRPr="001C3CD2">
        <w:rPr>
          <w:b/>
        </w:rPr>
        <w:t xml:space="preserve">Březost: </w:t>
      </w:r>
      <w:r w:rsidRPr="001C3CD2">
        <w:t xml:space="preserve">Lze použít během březosti. </w:t>
      </w:r>
    </w:p>
    <w:p w:rsidR="00853E99" w:rsidRPr="001C3CD2" w:rsidRDefault="00853E99" w:rsidP="00853E99">
      <w:r w:rsidRPr="001C3CD2">
        <w:rPr>
          <w:b/>
        </w:rPr>
        <w:t>Laktace:</w:t>
      </w:r>
      <w:r w:rsidRPr="001C3CD2">
        <w:t xml:space="preserve"> Lze použít během laktace. </w:t>
      </w:r>
    </w:p>
    <w:p w:rsidR="00853E99" w:rsidRPr="001C3CD2" w:rsidRDefault="00853E99" w:rsidP="00853E99">
      <w:r w:rsidRPr="001C3CD2">
        <w:rPr>
          <w:b/>
        </w:rPr>
        <w:t xml:space="preserve">Interakce s dalšími léčivými přípravky a další formy interakce: </w:t>
      </w:r>
      <w:r w:rsidRPr="001C3CD2">
        <w:t xml:space="preserve">Nejsou známy.  </w:t>
      </w:r>
    </w:p>
    <w:p w:rsidR="00376C52" w:rsidRPr="001C3CD2" w:rsidRDefault="00376C52" w:rsidP="00376C52">
      <w:pPr>
        <w:rPr>
          <w:b/>
        </w:rPr>
      </w:pPr>
      <w:r w:rsidRPr="001C3CD2">
        <w:rPr>
          <w:b/>
        </w:rPr>
        <w:t xml:space="preserve">Předávkování (symptomy, první pomoc, antidota): </w:t>
      </w:r>
    </w:p>
    <w:p w:rsidR="00EB126E" w:rsidRDefault="00EB126E" w:rsidP="00EB126E">
      <w:r>
        <w:t xml:space="preserve">U skotu po podání dávky 45-60 mg </w:t>
      </w:r>
      <w:proofErr w:type="spellStart"/>
      <w:r>
        <w:t>rafoxanidu</w:t>
      </w:r>
      <w:proofErr w:type="spellEnd"/>
      <w:r>
        <w:t xml:space="preserve">/kg ž.hm. subkutánně byly zaznamenány příznaky tachypnoe, svalový třes, klonický spasmus, </w:t>
      </w:r>
      <w:proofErr w:type="spellStart"/>
      <w:r>
        <w:t>opistotonus</w:t>
      </w:r>
      <w:proofErr w:type="spellEnd"/>
      <w:r>
        <w:t xml:space="preserve">, plovací pohyby předních končetin, prolaps mžurky a oslepnutí s mydriázou. Po perorálním podání dávky 80 mg </w:t>
      </w:r>
      <w:proofErr w:type="spellStart"/>
      <w:r>
        <w:t>rafoxanidu</w:t>
      </w:r>
      <w:proofErr w:type="spellEnd"/>
      <w:r>
        <w:t xml:space="preserve"> /kg ž.hm. skotu byla pozorována </w:t>
      </w:r>
      <w:proofErr w:type="spellStart"/>
      <w:r>
        <w:t>inapetence</w:t>
      </w:r>
      <w:proofErr w:type="spellEnd"/>
      <w:r>
        <w:t xml:space="preserve"> a </w:t>
      </w:r>
      <w:proofErr w:type="spellStart"/>
      <w:r>
        <w:t>diarhoea</w:t>
      </w:r>
      <w:proofErr w:type="spellEnd"/>
      <w:r>
        <w:t>.</w:t>
      </w:r>
    </w:p>
    <w:p w:rsidR="00EB126E" w:rsidRDefault="00EB126E" w:rsidP="00EB126E">
      <w:r>
        <w:t xml:space="preserve">Klinické příznaky toxicity </w:t>
      </w:r>
      <w:proofErr w:type="spellStart"/>
      <w:r>
        <w:t>rafoxanidu</w:t>
      </w:r>
      <w:proofErr w:type="spellEnd"/>
      <w:r>
        <w:t xml:space="preserve"> u ovcí zahrnují </w:t>
      </w:r>
      <w:proofErr w:type="spellStart"/>
      <w:r>
        <w:t>inapetenci</w:t>
      </w:r>
      <w:proofErr w:type="spellEnd"/>
      <w:r>
        <w:t xml:space="preserve">, slepotu, mydriázu a ataxii zadních končetin doprovázené intenzivní </w:t>
      </w:r>
      <w:proofErr w:type="spellStart"/>
      <w:r>
        <w:t>diarheou</w:t>
      </w:r>
      <w:proofErr w:type="spellEnd"/>
      <w:r>
        <w:t>, dyspnoí, ulehnutím a úhynem při přijmutí dávky 450 mg</w:t>
      </w:r>
      <w:r w:rsidRPr="004531EF">
        <w:t xml:space="preserve"> </w:t>
      </w:r>
      <w:proofErr w:type="spellStart"/>
      <w:r>
        <w:t>rafoxanidu</w:t>
      </w:r>
      <w:proofErr w:type="spellEnd"/>
      <w:r>
        <w:t xml:space="preserve"> /kg </w:t>
      </w:r>
      <w:proofErr w:type="spellStart"/>
      <w:r>
        <w:t>p.o</w:t>
      </w:r>
      <w:proofErr w:type="spellEnd"/>
      <w:r>
        <w:t>. a více. Příznaky toxicity se objevují během 24-72 hod. po léčbě.</w:t>
      </w:r>
    </w:p>
    <w:p w:rsidR="00853E99" w:rsidRPr="001C3CD2" w:rsidRDefault="0017072A" w:rsidP="006B5531">
      <w:pPr>
        <w:rPr>
          <w:bCs/>
        </w:rPr>
      </w:pPr>
      <w:r>
        <w:rPr>
          <w:b/>
        </w:rPr>
        <w:t>Hlavní i</w:t>
      </w:r>
      <w:r w:rsidR="006B5531" w:rsidRPr="001C3CD2">
        <w:rPr>
          <w:b/>
        </w:rPr>
        <w:t>nkompa</w:t>
      </w:r>
      <w:r w:rsidR="00714A4F">
        <w:rPr>
          <w:b/>
        </w:rPr>
        <w:t>ti</w:t>
      </w:r>
      <w:r w:rsidR="006B5531" w:rsidRPr="001C3CD2">
        <w:rPr>
          <w:b/>
        </w:rPr>
        <w:t xml:space="preserve">bility: </w:t>
      </w:r>
      <w:r w:rsidR="006B5531" w:rsidRPr="001C3CD2">
        <w:t xml:space="preserve">Nejsou známy.    </w:t>
      </w:r>
    </w:p>
    <w:p w:rsidR="00E10E15" w:rsidRPr="001C3CD2" w:rsidRDefault="00E10E15" w:rsidP="00E10E15">
      <w:pPr>
        <w:jc w:val="both"/>
        <w:rPr>
          <w:b/>
        </w:rPr>
      </w:pPr>
    </w:p>
    <w:p w:rsidR="000F6C9C" w:rsidRPr="001C3CD2" w:rsidRDefault="000F6C9C" w:rsidP="00DF6E90">
      <w:pPr>
        <w:pStyle w:val="Zkladntextodsazen2"/>
        <w:ind w:left="0" w:firstLine="0"/>
      </w:pPr>
      <w:r w:rsidRPr="001C3CD2">
        <w:t>13.</w:t>
      </w:r>
      <w:r w:rsidRPr="001C3CD2">
        <w:tab/>
        <w:t>ZVLÁŠTNÍ OPATŘENÍ PRO ZNEŠKODŇOVÁNÍ NEPOUŽITÝCH PŘÍPRAVKŮ NEBO ODPADU, POKUD JE JICH TŘEBA</w:t>
      </w:r>
    </w:p>
    <w:p w:rsidR="000F6C9C" w:rsidRPr="001C3CD2" w:rsidRDefault="000F6C9C">
      <w:pPr>
        <w:pStyle w:val="Zkladntext2"/>
      </w:pPr>
      <w:r w:rsidRPr="001C3CD2">
        <w:t xml:space="preserve">Všechen nepoužitý veterinární léčivý přípravek nebo odpad, který pochází z tohoto přípravku, musí být likvidován podle místních právních předpisů. </w:t>
      </w:r>
    </w:p>
    <w:p w:rsidR="001E143C" w:rsidRPr="00F944E6" w:rsidRDefault="001E143C" w:rsidP="001E143C">
      <w:pPr>
        <w:pStyle w:val="Zkladntext2"/>
      </w:pPr>
      <w:r w:rsidRPr="00F944E6">
        <w:t>Léčivé přípravky se nesmí likvidovat prostřednictvím odpadní vody či domovního odpadu.</w:t>
      </w:r>
    </w:p>
    <w:p w:rsidR="001E143C" w:rsidRPr="00F944E6" w:rsidRDefault="001E143C" w:rsidP="001E143C">
      <w:pPr>
        <w:pStyle w:val="Zkladntext2"/>
      </w:pPr>
      <w:r w:rsidRPr="00F944E6">
        <w:t>O možnostech likvidace nepotřebných léčivých přípravků se poraďte s vaším veterinárním lékařem. Tato opatření napomáhají chránit životní prostředí.</w:t>
      </w:r>
    </w:p>
    <w:p w:rsidR="000F6C9C" w:rsidRPr="001C3CD2" w:rsidRDefault="000F6C9C">
      <w:pPr>
        <w:rPr>
          <w:b/>
        </w:rPr>
      </w:pPr>
    </w:p>
    <w:p w:rsidR="000F6C9C" w:rsidRPr="001C3CD2" w:rsidRDefault="000F6C9C">
      <w:r w:rsidRPr="001C3CD2">
        <w:rPr>
          <w:b/>
        </w:rPr>
        <w:t>14.</w:t>
      </w:r>
      <w:r w:rsidRPr="001C3CD2">
        <w:rPr>
          <w:b/>
        </w:rPr>
        <w:tab/>
        <w:t>DATUM POSLEDNÍ REVIZE PŘÍBALOVÉ INFORMACE</w:t>
      </w:r>
    </w:p>
    <w:p w:rsidR="000F6C9C" w:rsidRPr="001C3CD2" w:rsidRDefault="00835E25">
      <w:pPr>
        <w:ind w:right="-318"/>
      </w:pPr>
      <w:r>
        <w:t>Květen</w:t>
      </w:r>
      <w:r>
        <w:t xml:space="preserve"> </w:t>
      </w:r>
      <w:r w:rsidR="0017072A">
        <w:t>2018</w:t>
      </w:r>
      <w:bookmarkStart w:id="0" w:name="_GoBack"/>
      <w:bookmarkEnd w:id="0"/>
    </w:p>
    <w:p w:rsidR="000F6C9C" w:rsidRPr="001C3CD2" w:rsidRDefault="000F6C9C">
      <w:pPr>
        <w:ind w:right="-318"/>
      </w:pPr>
    </w:p>
    <w:p w:rsidR="000F6C9C" w:rsidRPr="001C3CD2" w:rsidRDefault="000F6C9C">
      <w:r w:rsidRPr="001C3CD2">
        <w:rPr>
          <w:b/>
        </w:rPr>
        <w:t>15.</w:t>
      </w:r>
      <w:r w:rsidRPr="001C3CD2">
        <w:rPr>
          <w:b/>
        </w:rPr>
        <w:tab/>
        <w:t>DALŠÍ INFORMACE</w:t>
      </w:r>
    </w:p>
    <w:p w:rsidR="004A48B2" w:rsidRPr="001C3CD2" w:rsidRDefault="004A48B2" w:rsidP="004A48B2">
      <w:r w:rsidRPr="001C3CD2">
        <w:t xml:space="preserve">Pouze pro zvířata. </w:t>
      </w:r>
    </w:p>
    <w:p w:rsidR="004A48B2" w:rsidRPr="001C3CD2" w:rsidRDefault="004A48B2" w:rsidP="004A48B2">
      <w:r w:rsidRPr="001C3CD2">
        <w:t>Veterinární léčivý přípravek je vydáván pouze na předpis.</w:t>
      </w:r>
    </w:p>
    <w:p w:rsidR="004A48B2" w:rsidRPr="001C3CD2" w:rsidRDefault="004A48B2" w:rsidP="00DF6E90"/>
    <w:p w:rsidR="000F6C9C" w:rsidRPr="001C3CD2" w:rsidRDefault="000F6C9C" w:rsidP="00CF5165">
      <w:pPr>
        <w:pStyle w:val="Zkladntextodsazen"/>
        <w:spacing w:line="240" w:lineRule="auto"/>
        <w:ind w:firstLine="0"/>
      </w:pPr>
      <w:r w:rsidRPr="001C3CD2">
        <w:rPr>
          <w:iCs/>
          <w:color w:val="000000"/>
        </w:rPr>
        <w:t xml:space="preserve">Balení: </w:t>
      </w:r>
      <w:r w:rsidRPr="001C3CD2">
        <w:t>5 kg</w:t>
      </w:r>
    </w:p>
    <w:sectPr w:rsidR="000F6C9C" w:rsidRPr="001C3CD2" w:rsidSect="00CF5165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FE" w:rsidRDefault="00D22FFE" w:rsidP="00834A61">
      <w:r>
        <w:separator/>
      </w:r>
    </w:p>
  </w:endnote>
  <w:endnote w:type="continuationSeparator" w:id="0">
    <w:p w:rsidR="00D22FFE" w:rsidRDefault="00D22FFE" w:rsidP="0083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FE" w:rsidRDefault="00D22FFE" w:rsidP="00834A61">
      <w:r>
        <w:separator/>
      </w:r>
    </w:p>
  </w:footnote>
  <w:footnote w:type="continuationSeparator" w:id="0">
    <w:p w:rsidR="00D22FFE" w:rsidRDefault="00D22FFE" w:rsidP="00834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61" w:rsidRDefault="00834A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CB"/>
    <w:rsid w:val="00027E27"/>
    <w:rsid w:val="000D3310"/>
    <w:rsid w:val="000F6C9C"/>
    <w:rsid w:val="0017072A"/>
    <w:rsid w:val="001C3CD2"/>
    <w:rsid w:val="001D413D"/>
    <w:rsid w:val="001E143C"/>
    <w:rsid w:val="002F6E48"/>
    <w:rsid w:val="00333441"/>
    <w:rsid w:val="00376C52"/>
    <w:rsid w:val="003B2ACB"/>
    <w:rsid w:val="003B38A5"/>
    <w:rsid w:val="00497ED1"/>
    <w:rsid w:val="004A48B2"/>
    <w:rsid w:val="00526FA8"/>
    <w:rsid w:val="005E5B36"/>
    <w:rsid w:val="00627F02"/>
    <w:rsid w:val="006B5531"/>
    <w:rsid w:val="006E5D36"/>
    <w:rsid w:val="00714A4F"/>
    <w:rsid w:val="007663AA"/>
    <w:rsid w:val="00782AD5"/>
    <w:rsid w:val="007E6EF1"/>
    <w:rsid w:val="00812EB1"/>
    <w:rsid w:val="00834A61"/>
    <w:rsid w:val="00835E25"/>
    <w:rsid w:val="00853E99"/>
    <w:rsid w:val="008F2137"/>
    <w:rsid w:val="008F33FC"/>
    <w:rsid w:val="00935BD5"/>
    <w:rsid w:val="009B4871"/>
    <w:rsid w:val="009B5765"/>
    <w:rsid w:val="00AE20E8"/>
    <w:rsid w:val="00C900D1"/>
    <w:rsid w:val="00CF5165"/>
    <w:rsid w:val="00D22FFE"/>
    <w:rsid w:val="00D33ACC"/>
    <w:rsid w:val="00D748EB"/>
    <w:rsid w:val="00D96F47"/>
    <w:rsid w:val="00DA0A3C"/>
    <w:rsid w:val="00DA5908"/>
    <w:rsid w:val="00DA6989"/>
    <w:rsid w:val="00DC02F8"/>
    <w:rsid w:val="00DF6E90"/>
    <w:rsid w:val="00E10E15"/>
    <w:rsid w:val="00EB126E"/>
    <w:rsid w:val="00F454C2"/>
    <w:rsid w:val="00F65F6C"/>
    <w:rsid w:val="00F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Cs/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Cs/>
      <w:i/>
      <w:iCs/>
      <w:color w:val="3366FF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Cs/>
      <w:i/>
      <w:iCs/>
      <w:color w:val="3366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Cs w:val="20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567"/>
      <w:jc w:val="both"/>
    </w:pPr>
    <w:rPr>
      <w:szCs w:val="20"/>
    </w:rPr>
  </w:style>
  <w:style w:type="paragraph" w:customStyle="1" w:styleId="dka">
    <w:name w:val="Řádka"/>
    <w:rPr>
      <w:snapToGrid w:val="0"/>
      <w:color w:val="000000"/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720" w:hanging="720"/>
    </w:pPr>
    <w:rPr>
      <w:b/>
    </w:rPr>
  </w:style>
  <w:style w:type="paragraph" w:styleId="Zkladntext2">
    <w:name w:val="Body Text 2"/>
    <w:basedOn w:val="Normln"/>
    <w:link w:val="Zkladntext2Char"/>
    <w:pPr>
      <w:ind w:right="-318"/>
      <w:jc w:val="both"/>
    </w:pPr>
  </w:style>
  <w:style w:type="paragraph" w:styleId="Zkladntext3">
    <w:name w:val="Body Text 3"/>
    <w:basedOn w:val="Normln"/>
    <w:pPr>
      <w:jc w:val="both"/>
    </w:pPr>
    <w:rPr>
      <w:bCs/>
      <w:color w:val="3366FF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834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34A61"/>
    <w:rPr>
      <w:sz w:val="24"/>
      <w:szCs w:val="24"/>
    </w:rPr>
  </w:style>
  <w:style w:type="paragraph" w:styleId="Zpat">
    <w:name w:val="footer"/>
    <w:basedOn w:val="Normln"/>
    <w:link w:val="ZpatChar"/>
    <w:rsid w:val="00834A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4A61"/>
    <w:rPr>
      <w:sz w:val="24"/>
      <w:szCs w:val="24"/>
    </w:rPr>
  </w:style>
  <w:style w:type="paragraph" w:styleId="Textbubliny">
    <w:name w:val="Balloon Text"/>
    <w:basedOn w:val="Normln"/>
    <w:link w:val="TextbublinyChar"/>
    <w:rsid w:val="00834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34A6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4A48B2"/>
    <w:rPr>
      <w:sz w:val="24"/>
    </w:rPr>
  </w:style>
  <w:style w:type="character" w:customStyle="1" w:styleId="ZkladntextodsazenChar">
    <w:name w:val="Základní text odsazený Char"/>
    <w:link w:val="Zkladntextodsazen"/>
    <w:rsid w:val="004A48B2"/>
    <w:rPr>
      <w:sz w:val="24"/>
    </w:rPr>
  </w:style>
  <w:style w:type="character" w:customStyle="1" w:styleId="Zkladntext2Char">
    <w:name w:val="Základní text 2 Char"/>
    <w:link w:val="Zkladntext2"/>
    <w:rsid w:val="004A48B2"/>
    <w:rPr>
      <w:sz w:val="24"/>
      <w:szCs w:val="24"/>
    </w:rPr>
  </w:style>
  <w:style w:type="character" w:styleId="Siln">
    <w:name w:val="Strong"/>
    <w:qFormat/>
    <w:rsid w:val="004A4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Cs/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Cs/>
      <w:i/>
      <w:iCs/>
      <w:color w:val="3366FF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Cs/>
      <w:i/>
      <w:iCs/>
      <w:color w:val="3366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Cs w:val="20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567"/>
      <w:jc w:val="both"/>
    </w:pPr>
    <w:rPr>
      <w:szCs w:val="20"/>
    </w:rPr>
  </w:style>
  <w:style w:type="paragraph" w:customStyle="1" w:styleId="dka">
    <w:name w:val="Řádka"/>
    <w:rPr>
      <w:snapToGrid w:val="0"/>
      <w:color w:val="000000"/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720" w:hanging="720"/>
    </w:pPr>
    <w:rPr>
      <w:b/>
    </w:rPr>
  </w:style>
  <w:style w:type="paragraph" w:styleId="Zkladntext2">
    <w:name w:val="Body Text 2"/>
    <w:basedOn w:val="Normln"/>
    <w:link w:val="Zkladntext2Char"/>
    <w:pPr>
      <w:ind w:right="-318"/>
      <w:jc w:val="both"/>
    </w:pPr>
  </w:style>
  <w:style w:type="paragraph" w:styleId="Zkladntext3">
    <w:name w:val="Body Text 3"/>
    <w:basedOn w:val="Normln"/>
    <w:pPr>
      <w:jc w:val="both"/>
    </w:pPr>
    <w:rPr>
      <w:bCs/>
      <w:color w:val="3366FF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834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34A61"/>
    <w:rPr>
      <w:sz w:val="24"/>
      <w:szCs w:val="24"/>
    </w:rPr>
  </w:style>
  <w:style w:type="paragraph" w:styleId="Zpat">
    <w:name w:val="footer"/>
    <w:basedOn w:val="Normln"/>
    <w:link w:val="ZpatChar"/>
    <w:rsid w:val="00834A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4A61"/>
    <w:rPr>
      <w:sz w:val="24"/>
      <w:szCs w:val="24"/>
    </w:rPr>
  </w:style>
  <w:style w:type="paragraph" w:styleId="Textbubliny">
    <w:name w:val="Balloon Text"/>
    <w:basedOn w:val="Normln"/>
    <w:link w:val="TextbublinyChar"/>
    <w:rsid w:val="00834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34A6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4A48B2"/>
    <w:rPr>
      <w:sz w:val="24"/>
    </w:rPr>
  </w:style>
  <w:style w:type="character" w:customStyle="1" w:styleId="ZkladntextodsazenChar">
    <w:name w:val="Základní text odsazený Char"/>
    <w:link w:val="Zkladntextodsazen"/>
    <w:rsid w:val="004A48B2"/>
    <w:rPr>
      <w:sz w:val="24"/>
    </w:rPr>
  </w:style>
  <w:style w:type="character" w:customStyle="1" w:styleId="Zkladntext2Char">
    <w:name w:val="Základní text 2 Char"/>
    <w:link w:val="Zkladntext2"/>
    <w:rsid w:val="004A48B2"/>
    <w:rPr>
      <w:sz w:val="24"/>
      <w:szCs w:val="24"/>
    </w:rPr>
  </w:style>
  <w:style w:type="character" w:styleId="Siln">
    <w:name w:val="Strong"/>
    <w:qFormat/>
    <w:rsid w:val="004A4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PŘÍBALOVÁ INFORMACE</vt:lpstr>
    </vt:vector>
  </TitlesOfParts>
  <Company>BIOPHARM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creator>Holka</dc:creator>
  <cp:lastModifiedBy>Suchý Josef</cp:lastModifiedBy>
  <cp:revision>6</cp:revision>
  <cp:lastPrinted>2018-05-07T08:38:00Z</cp:lastPrinted>
  <dcterms:created xsi:type="dcterms:W3CDTF">2018-04-26T13:21:00Z</dcterms:created>
  <dcterms:modified xsi:type="dcterms:W3CDTF">2018-05-07T08:38:00Z</dcterms:modified>
</cp:coreProperties>
</file>