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6F3DE5" w:rsidRDefault="00C114FF" w:rsidP="00A9226B">
      <w:pPr>
        <w:tabs>
          <w:tab w:val="clear" w:pos="567"/>
        </w:tabs>
        <w:spacing w:line="240" w:lineRule="auto"/>
        <w:rPr>
          <w:rFonts w:ascii="Arial" w:hAnsi="Arial" w:cs="Arial"/>
          <w:szCs w:val="22"/>
        </w:rPr>
      </w:pPr>
    </w:p>
    <w:p w14:paraId="22BF3A73" w14:textId="77777777" w:rsidR="000B3346" w:rsidRPr="009264A3" w:rsidRDefault="000B3346" w:rsidP="000B3346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1D3201DB" w14:textId="77777777" w:rsidR="000B3346" w:rsidRPr="009264A3" w:rsidRDefault="000B3346" w:rsidP="000B3346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227DEB41" w14:textId="77777777" w:rsidR="000B3346" w:rsidRPr="009264A3" w:rsidRDefault="000B3346" w:rsidP="000B3346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53B6D509" w14:textId="77777777" w:rsidR="000B3346" w:rsidRPr="009264A3" w:rsidRDefault="000B3346" w:rsidP="000B3346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28178B7E" w14:textId="77777777" w:rsidR="000B3346" w:rsidRPr="009264A3" w:rsidRDefault="000B3346" w:rsidP="000B3346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2A4F36B8" w14:textId="77777777" w:rsidR="000B3346" w:rsidRPr="009264A3" w:rsidRDefault="000B3346" w:rsidP="000B3346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3BF2F16F" w14:textId="77777777" w:rsidR="000B3346" w:rsidRPr="009264A3" w:rsidRDefault="000B3346" w:rsidP="000B3346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7224F8D3" w14:textId="77777777" w:rsidR="000B3346" w:rsidRPr="009264A3" w:rsidRDefault="000B3346" w:rsidP="000B3346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0F6ABE20" w14:textId="77777777" w:rsidR="000B3346" w:rsidRPr="009264A3" w:rsidRDefault="000B3346" w:rsidP="000B3346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0D0C94B0" w14:textId="77777777" w:rsidR="000B3346" w:rsidRPr="009264A3" w:rsidRDefault="000B3346" w:rsidP="000B3346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36B0ED38" w14:textId="77777777" w:rsidR="000B3346" w:rsidRPr="009264A3" w:rsidRDefault="000B3346" w:rsidP="000B3346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3C89498C" w14:textId="77777777" w:rsidR="000B3346" w:rsidRPr="009264A3" w:rsidRDefault="000B3346" w:rsidP="000B3346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79D74F48" w14:textId="77777777" w:rsidR="000B3346" w:rsidRPr="009264A3" w:rsidRDefault="000B3346" w:rsidP="000B3346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54096BAD" w14:textId="77777777" w:rsidR="000B3346" w:rsidRPr="009264A3" w:rsidRDefault="000B3346" w:rsidP="000B3346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0874A2B1" w14:textId="77777777" w:rsidR="000B3346" w:rsidRPr="009264A3" w:rsidRDefault="000B3346" w:rsidP="000B3346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7D9227C7" w14:textId="77777777" w:rsidR="000B3346" w:rsidRPr="009264A3" w:rsidRDefault="000B3346" w:rsidP="000B3346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6B0D086F" w14:textId="77777777" w:rsidR="000B3346" w:rsidRPr="009264A3" w:rsidRDefault="000B3346" w:rsidP="000B3346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6E097000" w14:textId="77777777" w:rsidR="000B3346" w:rsidRPr="009264A3" w:rsidRDefault="000B3346" w:rsidP="000B3346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7B1A9C91" w14:textId="77777777" w:rsidR="000B3346" w:rsidRPr="009264A3" w:rsidRDefault="000B3346" w:rsidP="000B3346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46F56E85" w14:textId="77777777" w:rsidR="000B3346" w:rsidRPr="009264A3" w:rsidRDefault="000B3346" w:rsidP="000B3346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509DCA4B" w14:textId="77777777" w:rsidR="000B3346" w:rsidRPr="009264A3" w:rsidRDefault="000B3346" w:rsidP="000B3346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50668140" w14:textId="77777777" w:rsidR="000B3346" w:rsidRPr="009264A3" w:rsidRDefault="000B3346" w:rsidP="000B3346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500E55CD" w14:textId="77777777" w:rsidR="00C114FF" w:rsidRPr="009264A3" w:rsidRDefault="002173D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9264A3">
        <w:rPr>
          <w:b/>
          <w:szCs w:val="22"/>
        </w:rPr>
        <w:t>PŘÍLOHA I</w:t>
      </w:r>
    </w:p>
    <w:p w14:paraId="50FE88E4" w14:textId="77777777" w:rsidR="00C114FF" w:rsidRPr="009264A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6C1FB34F" w:rsidR="00C114FF" w:rsidRPr="006F3DE5" w:rsidRDefault="002173D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9264A3">
        <w:rPr>
          <w:b/>
          <w:szCs w:val="22"/>
        </w:rPr>
        <w:t>SOUHRN ÚDAJŮ O PŘÍPRAVKU</w:t>
      </w:r>
    </w:p>
    <w:p w14:paraId="172ED8F6" w14:textId="19923CBA" w:rsidR="000B3346" w:rsidRPr="009264A3" w:rsidRDefault="000B3346">
      <w:pPr>
        <w:tabs>
          <w:tab w:val="clear" w:pos="567"/>
        </w:tabs>
        <w:spacing w:line="240" w:lineRule="auto"/>
        <w:rPr>
          <w:rFonts w:ascii="Arial" w:hAnsi="Arial" w:cs="Arial"/>
          <w:b/>
          <w:szCs w:val="22"/>
        </w:rPr>
      </w:pPr>
      <w:r w:rsidRPr="009264A3">
        <w:rPr>
          <w:rFonts w:ascii="Arial" w:hAnsi="Arial" w:cs="Arial"/>
          <w:b/>
          <w:szCs w:val="22"/>
        </w:rPr>
        <w:br w:type="page"/>
      </w:r>
    </w:p>
    <w:p w14:paraId="2650BB01" w14:textId="77777777" w:rsidR="003863E6" w:rsidRPr="009264A3" w:rsidRDefault="003863E6" w:rsidP="003863E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9264A3">
        <w:rPr>
          <w:b/>
          <w:szCs w:val="22"/>
        </w:rPr>
        <w:lastRenderedPageBreak/>
        <w:t>SOUHRN ÚDAJŮ O PŘÍPRAVKU</w:t>
      </w:r>
    </w:p>
    <w:p w14:paraId="1A305B14" w14:textId="77777777" w:rsidR="000B3346" w:rsidRPr="006F3DE5" w:rsidRDefault="000B3346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0A64732" w14:textId="3D44F497" w:rsidR="00C114FF" w:rsidRPr="006F3DE5" w:rsidRDefault="002173D0" w:rsidP="006F3DE5">
      <w:pPr>
        <w:pStyle w:val="Nadpis1"/>
        <w:ind w:left="0" w:firstLine="0"/>
      </w:pPr>
      <w:bookmarkStart w:id="0" w:name="_Toc215117324"/>
      <w:r w:rsidRPr="006F3DE5">
        <w:rPr>
          <w:sz w:val="22"/>
          <w:szCs w:val="22"/>
        </w:rPr>
        <w:t>1.</w:t>
      </w:r>
      <w:r w:rsidRPr="006F3DE5">
        <w:rPr>
          <w:sz w:val="22"/>
          <w:szCs w:val="22"/>
        </w:rPr>
        <w:tab/>
        <w:t>NÁZEV VETERINÁRNÍHO LÉČIVÉHO PŘÍPRAVKU</w:t>
      </w:r>
      <w:bookmarkEnd w:id="0"/>
    </w:p>
    <w:p w14:paraId="2767ED48" w14:textId="34A5F498" w:rsidR="00C114FF" w:rsidRPr="006F3DE5" w:rsidRDefault="0095747E" w:rsidP="00A9226B">
      <w:pPr>
        <w:tabs>
          <w:tab w:val="clear" w:pos="567"/>
        </w:tabs>
        <w:spacing w:line="240" w:lineRule="auto"/>
        <w:rPr>
          <w:szCs w:val="22"/>
        </w:rPr>
      </w:pPr>
      <w:r w:rsidRPr="006F3DE5">
        <w:rPr>
          <w:szCs w:val="22"/>
        </w:rPr>
        <w:t xml:space="preserve">MEDITEK CTC 500 mg/g </w:t>
      </w:r>
      <w:proofErr w:type="spellStart"/>
      <w:r w:rsidRPr="006F3DE5">
        <w:rPr>
          <w:szCs w:val="22"/>
        </w:rPr>
        <w:t>premix</w:t>
      </w:r>
      <w:proofErr w:type="spellEnd"/>
      <w:r w:rsidRPr="006F3DE5">
        <w:rPr>
          <w:szCs w:val="22"/>
        </w:rPr>
        <w:t xml:space="preserve"> pro medikaci krmiva</w:t>
      </w:r>
    </w:p>
    <w:p w14:paraId="5906BB1F" w14:textId="77777777" w:rsidR="00C114FF" w:rsidRPr="006F3DE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6F3DE5" w:rsidRDefault="002173D0" w:rsidP="00231D97">
      <w:pPr>
        <w:pStyle w:val="Nadpis1"/>
        <w:rPr>
          <w:sz w:val="22"/>
          <w:szCs w:val="22"/>
        </w:rPr>
      </w:pPr>
      <w:bookmarkStart w:id="1" w:name="_Toc215117325"/>
      <w:r w:rsidRPr="006F3DE5">
        <w:rPr>
          <w:sz w:val="22"/>
          <w:szCs w:val="22"/>
        </w:rPr>
        <w:t>2.</w:t>
      </w:r>
      <w:r w:rsidRPr="006F3DE5">
        <w:rPr>
          <w:sz w:val="22"/>
          <w:szCs w:val="22"/>
        </w:rPr>
        <w:tab/>
        <w:t>KVALITATIVNÍ A KVANTITATIVNÍ SLOŽENÍ</w:t>
      </w:r>
      <w:bookmarkEnd w:id="1"/>
    </w:p>
    <w:p w14:paraId="445FD618" w14:textId="77777777" w:rsidR="003863E6" w:rsidRPr="006F3DE5" w:rsidRDefault="003863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B27197" w14:textId="77777777" w:rsidR="00211F60" w:rsidRPr="006F3DE5" w:rsidRDefault="00211F60" w:rsidP="00211F60">
      <w:pPr>
        <w:tabs>
          <w:tab w:val="clear" w:pos="567"/>
        </w:tabs>
        <w:spacing w:line="240" w:lineRule="auto"/>
        <w:rPr>
          <w:bCs/>
          <w:szCs w:val="22"/>
        </w:rPr>
      </w:pPr>
      <w:r w:rsidRPr="006F3DE5">
        <w:rPr>
          <w:bCs/>
          <w:szCs w:val="22"/>
        </w:rPr>
        <w:t>Každý gram obsahuje:</w:t>
      </w:r>
    </w:p>
    <w:p w14:paraId="668A2BBB" w14:textId="72A01308" w:rsidR="00C114FF" w:rsidRPr="006F3DE5" w:rsidRDefault="002173D0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6F3DE5">
        <w:rPr>
          <w:b/>
          <w:szCs w:val="22"/>
        </w:rPr>
        <w:t>Léčiv</w:t>
      </w:r>
      <w:r w:rsidR="00326136" w:rsidRPr="006F3DE5">
        <w:rPr>
          <w:b/>
          <w:szCs w:val="22"/>
        </w:rPr>
        <w:t>é</w:t>
      </w:r>
      <w:r w:rsidRPr="006F3DE5">
        <w:rPr>
          <w:b/>
          <w:szCs w:val="22"/>
        </w:rPr>
        <w:t xml:space="preserve"> látk</w:t>
      </w:r>
      <w:r w:rsidR="00326136" w:rsidRPr="006F3DE5">
        <w:rPr>
          <w:b/>
          <w:szCs w:val="22"/>
        </w:rPr>
        <w:t>y</w:t>
      </w:r>
      <w:r w:rsidRPr="006F3DE5">
        <w:rPr>
          <w:b/>
          <w:szCs w:val="22"/>
        </w:rPr>
        <w:t>:</w:t>
      </w:r>
    </w:p>
    <w:p w14:paraId="5FD4D298" w14:textId="77777777" w:rsidR="00211F60" w:rsidRPr="006F3DE5" w:rsidRDefault="00211F60" w:rsidP="00211F60">
      <w:pPr>
        <w:jc w:val="both"/>
        <w:rPr>
          <w:szCs w:val="22"/>
        </w:rPr>
      </w:pPr>
      <w:proofErr w:type="spellStart"/>
      <w:r w:rsidRPr="006F3DE5">
        <w:rPr>
          <w:szCs w:val="22"/>
        </w:rPr>
        <w:t>Chlortetracyclini</w:t>
      </w:r>
      <w:proofErr w:type="spellEnd"/>
      <w:r w:rsidRPr="006F3DE5">
        <w:rPr>
          <w:szCs w:val="22"/>
        </w:rPr>
        <w:t xml:space="preserve"> </w:t>
      </w:r>
      <w:proofErr w:type="spellStart"/>
      <w:r w:rsidRPr="006F3DE5">
        <w:rPr>
          <w:szCs w:val="22"/>
        </w:rPr>
        <w:t>hydrochloridum</w:t>
      </w:r>
      <w:proofErr w:type="spellEnd"/>
      <w:r w:rsidRPr="006F3DE5">
        <w:rPr>
          <w:szCs w:val="22"/>
        </w:rPr>
        <w:t xml:space="preserve"> 500 mg</w:t>
      </w:r>
    </w:p>
    <w:p w14:paraId="029FF4A7" w14:textId="77777777" w:rsidR="00211F60" w:rsidRPr="006F3DE5" w:rsidRDefault="00211F60" w:rsidP="00211F60">
      <w:pPr>
        <w:jc w:val="both"/>
        <w:rPr>
          <w:szCs w:val="22"/>
        </w:rPr>
      </w:pPr>
      <w:r w:rsidRPr="006F3DE5">
        <w:rPr>
          <w:szCs w:val="22"/>
        </w:rPr>
        <w:t xml:space="preserve">(odpovídá 464,6 mg </w:t>
      </w:r>
      <w:proofErr w:type="spellStart"/>
      <w:r w:rsidRPr="006F3DE5">
        <w:rPr>
          <w:szCs w:val="22"/>
        </w:rPr>
        <w:t>chlortetracyclinum</w:t>
      </w:r>
      <w:proofErr w:type="spellEnd"/>
      <w:r w:rsidRPr="006F3DE5">
        <w:rPr>
          <w:szCs w:val="22"/>
        </w:rPr>
        <w:t>)</w:t>
      </w:r>
    </w:p>
    <w:p w14:paraId="5DBC8849" w14:textId="77777777" w:rsidR="00C114FF" w:rsidRPr="006F3DE5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056A8D78" w:rsidR="00C114FF" w:rsidRPr="006F3DE5" w:rsidRDefault="002173D0" w:rsidP="00A9226B">
      <w:pPr>
        <w:tabs>
          <w:tab w:val="clear" w:pos="567"/>
        </w:tabs>
        <w:spacing w:line="240" w:lineRule="auto"/>
        <w:rPr>
          <w:szCs w:val="22"/>
        </w:rPr>
      </w:pPr>
      <w:r w:rsidRPr="006F3DE5">
        <w:rPr>
          <w:b/>
          <w:szCs w:val="22"/>
        </w:rPr>
        <w:t>Pomocné látky:</w:t>
      </w:r>
    </w:p>
    <w:p w14:paraId="13C45036" w14:textId="77777777" w:rsidR="00C114FF" w:rsidRPr="006F3DE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4B2901" w:rsidRPr="009264A3" w14:paraId="0B4C76E3" w14:textId="77777777" w:rsidTr="003A4BC4">
        <w:tc>
          <w:tcPr>
            <w:tcW w:w="9067" w:type="dxa"/>
            <w:vAlign w:val="center"/>
          </w:tcPr>
          <w:p w14:paraId="6D45EB6D" w14:textId="232432DD" w:rsidR="004B2901" w:rsidRPr="006F3DE5" w:rsidRDefault="004B2901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bookmarkStart w:id="2" w:name="_Hlk215131120"/>
            <w:r w:rsidRPr="006F3DE5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4B2901" w:rsidRPr="009264A3" w14:paraId="7D5263D3" w14:textId="77777777" w:rsidTr="003A4BC4">
        <w:tc>
          <w:tcPr>
            <w:tcW w:w="9067" w:type="dxa"/>
            <w:vAlign w:val="center"/>
          </w:tcPr>
          <w:p w14:paraId="0F798F46" w14:textId="67D3A805" w:rsidR="004B2901" w:rsidRPr="006F3DE5" w:rsidRDefault="004B2901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6F3DE5">
              <w:rPr>
                <w:iCs/>
                <w:szCs w:val="22"/>
              </w:rPr>
              <w:t>Monohydrát</w:t>
            </w:r>
            <w:proofErr w:type="spellEnd"/>
            <w:r w:rsidRPr="006F3DE5">
              <w:rPr>
                <w:iCs/>
                <w:szCs w:val="22"/>
              </w:rPr>
              <w:t xml:space="preserve"> glukosy</w:t>
            </w:r>
          </w:p>
        </w:tc>
      </w:tr>
      <w:bookmarkEnd w:id="2"/>
    </w:tbl>
    <w:p w14:paraId="38F51D2A" w14:textId="77777777" w:rsidR="00872C48" w:rsidRPr="006F3DE5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BA9E1" w14:textId="77777777" w:rsidR="004B2901" w:rsidRPr="006F3DE5" w:rsidRDefault="004B2901" w:rsidP="004B2901">
      <w:pPr>
        <w:jc w:val="both"/>
        <w:rPr>
          <w:szCs w:val="22"/>
        </w:rPr>
      </w:pPr>
      <w:r w:rsidRPr="006F3DE5">
        <w:rPr>
          <w:szCs w:val="22"/>
        </w:rPr>
        <w:t>Žlutý prášek</w:t>
      </w:r>
    </w:p>
    <w:p w14:paraId="2E6CA329" w14:textId="77777777" w:rsidR="00C114FF" w:rsidRPr="006F3DE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6F3DE5" w:rsidRDefault="002173D0" w:rsidP="00231D97">
      <w:pPr>
        <w:pStyle w:val="Nadpis1"/>
        <w:rPr>
          <w:sz w:val="22"/>
          <w:szCs w:val="22"/>
        </w:rPr>
      </w:pPr>
      <w:bookmarkStart w:id="3" w:name="_Toc215117326"/>
      <w:r w:rsidRPr="006F3DE5">
        <w:rPr>
          <w:sz w:val="22"/>
          <w:szCs w:val="22"/>
        </w:rPr>
        <w:t>3.</w:t>
      </w:r>
      <w:r w:rsidRPr="006F3DE5">
        <w:rPr>
          <w:sz w:val="22"/>
          <w:szCs w:val="22"/>
        </w:rPr>
        <w:tab/>
        <w:t>KLINICKÉ INFORMACE</w:t>
      </w:r>
      <w:bookmarkEnd w:id="3"/>
    </w:p>
    <w:p w14:paraId="6F656C7B" w14:textId="77777777" w:rsidR="00C114FF" w:rsidRPr="006F3DE5" w:rsidRDefault="002173D0" w:rsidP="00231D97">
      <w:pPr>
        <w:pStyle w:val="Nadpis1"/>
        <w:rPr>
          <w:sz w:val="22"/>
          <w:szCs w:val="22"/>
        </w:rPr>
      </w:pPr>
      <w:bookmarkStart w:id="4" w:name="_Toc215117327"/>
      <w:r w:rsidRPr="006F3DE5">
        <w:rPr>
          <w:caps w:val="0"/>
          <w:sz w:val="22"/>
          <w:szCs w:val="22"/>
        </w:rPr>
        <w:t>3.1</w:t>
      </w:r>
      <w:r w:rsidRPr="006F3DE5">
        <w:rPr>
          <w:caps w:val="0"/>
          <w:sz w:val="22"/>
          <w:szCs w:val="22"/>
        </w:rPr>
        <w:tab/>
        <w:t>Cílové druhy zvířat</w:t>
      </w:r>
      <w:bookmarkEnd w:id="4"/>
    </w:p>
    <w:p w14:paraId="0FD66314" w14:textId="7DE2B7D4" w:rsidR="004B2901" w:rsidRPr="006F3DE5" w:rsidRDefault="004B2901" w:rsidP="004B2901">
      <w:pPr>
        <w:jc w:val="both"/>
        <w:rPr>
          <w:szCs w:val="22"/>
        </w:rPr>
      </w:pPr>
      <w:bookmarkStart w:id="5" w:name="_Hlk184729794"/>
      <w:r w:rsidRPr="006F3DE5">
        <w:rPr>
          <w:szCs w:val="22"/>
        </w:rPr>
        <w:t xml:space="preserve">Prasata, </w:t>
      </w:r>
      <w:r w:rsidR="00450FF3" w:rsidRPr="009264A3">
        <w:rPr>
          <w:szCs w:val="22"/>
        </w:rPr>
        <w:t>kur domácí (brojleři)</w:t>
      </w:r>
    </w:p>
    <w:p w14:paraId="0B7F6CD1" w14:textId="595DDA74" w:rsidR="00C114FF" w:rsidRPr="006F3DE5" w:rsidRDefault="002173D0" w:rsidP="00231D97">
      <w:pPr>
        <w:pStyle w:val="Nadpis1"/>
        <w:rPr>
          <w:sz w:val="22"/>
          <w:szCs w:val="22"/>
        </w:rPr>
      </w:pPr>
      <w:bookmarkStart w:id="6" w:name="_Toc215117328"/>
      <w:bookmarkEnd w:id="5"/>
      <w:r w:rsidRPr="006F3DE5">
        <w:rPr>
          <w:caps w:val="0"/>
          <w:sz w:val="22"/>
          <w:szCs w:val="22"/>
        </w:rPr>
        <w:t>3.2</w:t>
      </w:r>
      <w:r w:rsidRPr="006F3DE5">
        <w:rPr>
          <w:caps w:val="0"/>
          <w:sz w:val="22"/>
          <w:szCs w:val="22"/>
        </w:rPr>
        <w:tab/>
        <w:t xml:space="preserve">Indikace pro použití pro každý cílový druh </w:t>
      </w:r>
      <w:r w:rsidR="0043586F" w:rsidRPr="006F3DE5">
        <w:rPr>
          <w:caps w:val="0"/>
          <w:sz w:val="22"/>
          <w:szCs w:val="22"/>
        </w:rPr>
        <w:t>zvířat</w:t>
      </w:r>
      <w:bookmarkEnd w:id="6"/>
    </w:p>
    <w:p w14:paraId="6F73F67E" w14:textId="77777777" w:rsidR="004B2901" w:rsidRPr="006F3DE5" w:rsidRDefault="004B2901" w:rsidP="004B2901">
      <w:pPr>
        <w:jc w:val="both"/>
        <w:rPr>
          <w:szCs w:val="22"/>
        </w:rPr>
      </w:pPr>
      <w:r w:rsidRPr="006F3DE5">
        <w:rPr>
          <w:szCs w:val="22"/>
        </w:rPr>
        <w:t xml:space="preserve">Léčba infekčních onemocnění vyvolaných mikroorganismy citlivými k chlortetracyklinu. </w:t>
      </w:r>
    </w:p>
    <w:p w14:paraId="4EC43051" w14:textId="77777777" w:rsidR="004B2901" w:rsidRPr="006F3DE5" w:rsidRDefault="004B2901" w:rsidP="004B2901">
      <w:pPr>
        <w:jc w:val="both"/>
        <w:rPr>
          <w:szCs w:val="22"/>
        </w:rPr>
      </w:pPr>
      <w:r w:rsidRPr="006F3DE5">
        <w:rPr>
          <w:szCs w:val="22"/>
          <w:u w:val="single"/>
        </w:rPr>
        <w:t>Prasata:</w:t>
      </w:r>
      <w:r w:rsidRPr="006F3DE5">
        <w:rPr>
          <w:szCs w:val="22"/>
        </w:rPr>
        <w:t xml:space="preserve"> gastritida, enteritida, bronchitida, pneumonie, pleuritida, peritonitida</w:t>
      </w:r>
    </w:p>
    <w:p w14:paraId="577E66AC" w14:textId="31025979" w:rsidR="004B2901" w:rsidRPr="006F3DE5" w:rsidRDefault="00450FF3" w:rsidP="006F3DE5">
      <w:pPr>
        <w:spacing w:line="240" w:lineRule="auto"/>
        <w:jc w:val="both"/>
        <w:rPr>
          <w:szCs w:val="22"/>
        </w:rPr>
      </w:pPr>
      <w:r w:rsidRPr="009264A3">
        <w:rPr>
          <w:szCs w:val="22"/>
          <w:u w:val="single"/>
        </w:rPr>
        <w:t>Kur domácí (b</w:t>
      </w:r>
      <w:r w:rsidRPr="006F3DE5">
        <w:rPr>
          <w:szCs w:val="22"/>
          <w:u w:val="single"/>
        </w:rPr>
        <w:t>rojleři</w:t>
      </w:r>
      <w:r w:rsidRPr="009264A3">
        <w:rPr>
          <w:szCs w:val="22"/>
          <w:u w:val="single"/>
        </w:rPr>
        <w:t>)</w:t>
      </w:r>
      <w:r w:rsidR="004B2901" w:rsidRPr="006F3DE5">
        <w:rPr>
          <w:szCs w:val="22"/>
          <w:u w:val="single"/>
        </w:rPr>
        <w:t>:</w:t>
      </w:r>
      <w:r w:rsidR="004B2901" w:rsidRPr="006F3DE5">
        <w:rPr>
          <w:szCs w:val="22"/>
        </w:rPr>
        <w:t xml:space="preserve"> </w:t>
      </w:r>
      <w:proofErr w:type="spellStart"/>
      <w:r w:rsidR="004B2901" w:rsidRPr="006F3DE5">
        <w:rPr>
          <w:szCs w:val="22"/>
        </w:rPr>
        <w:t>pasteurelóza</w:t>
      </w:r>
      <w:proofErr w:type="spellEnd"/>
      <w:r w:rsidR="004B2901" w:rsidRPr="006F3DE5">
        <w:rPr>
          <w:szCs w:val="22"/>
        </w:rPr>
        <w:t>, salmonelóza</w:t>
      </w:r>
    </w:p>
    <w:p w14:paraId="45A9E78C" w14:textId="77777777" w:rsidR="00E86CEE" w:rsidRPr="006F3DE5" w:rsidRDefault="00E86CEE" w:rsidP="006F3DE5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6F3DE5" w:rsidRDefault="002173D0" w:rsidP="006F3DE5">
      <w:pPr>
        <w:pStyle w:val="Nadpis1"/>
        <w:spacing w:before="0" w:after="0" w:line="240" w:lineRule="auto"/>
        <w:rPr>
          <w:sz w:val="22"/>
          <w:szCs w:val="22"/>
        </w:rPr>
      </w:pPr>
      <w:bookmarkStart w:id="7" w:name="_Toc215117329"/>
      <w:r w:rsidRPr="006F3DE5">
        <w:rPr>
          <w:caps w:val="0"/>
          <w:sz w:val="22"/>
          <w:szCs w:val="22"/>
        </w:rPr>
        <w:t>3.3</w:t>
      </w:r>
      <w:r w:rsidRPr="006F3DE5">
        <w:rPr>
          <w:caps w:val="0"/>
          <w:sz w:val="22"/>
          <w:szCs w:val="22"/>
        </w:rPr>
        <w:tab/>
        <w:t>Kontraindikace</w:t>
      </w:r>
      <w:bookmarkEnd w:id="7"/>
    </w:p>
    <w:p w14:paraId="728E51A8" w14:textId="77777777" w:rsidR="004B2901" w:rsidRPr="006F3DE5" w:rsidRDefault="004B2901" w:rsidP="006F3DE5">
      <w:pPr>
        <w:spacing w:line="240" w:lineRule="auto"/>
        <w:jc w:val="both"/>
        <w:rPr>
          <w:szCs w:val="22"/>
        </w:rPr>
      </w:pPr>
      <w:r w:rsidRPr="006F3DE5">
        <w:rPr>
          <w:szCs w:val="22"/>
        </w:rPr>
        <w:t>Nepodávat zvířatům se závažným poškozením jater nebo nedostatečnou funkcí ledvin.</w:t>
      </w:r>
    </w:p>
    <w:p w14:paraId="58DF86AD" w14:textId="2C563A1A" w:rsidR="004B2901" w:rsidRPr="006F3DE5" w:rsidRDefault="004B2901" w:rsidP="006F3DE5">
      <w:pPr>
        <w:spacing w:line="240" w:lineRule="auto"/>
        <w:jc w:val="both"/>
        <w:rPr>
          <w:szCs w:val="22"/>
        </w:rPr>
      </w:pPr>
      <w:r w:rsidRPr="006F3DE5">
        <w:rPr>
          <w:szCs w:val="22"/>
        </w:rPr>
        <w:t>Nepodávat v případě přecitlivělosti na tetracykliny</w:t>
      </w:r>
      <w:r w:rsidR="00450FF3" w:rsidRPr="009264A3">
        <w:rPr>
          <w:szCs w:val="22"/>
        </w:rPr>
        <w:t xml:space="preserve"> nebo na některou z pomocných látek</w:t>
      </w:r>
      <w:r w:rsidRPr="006F3DE5">
        <w:rPr>
          <w:szCs w:val="22"/>
        </w:rPr>
        <w:t>.</w:t>
      </w:r>
    </w:p>
    <w:p w14:paraId="54C2FA76" w14:textId="77777777" w:rsidR="00C114FF" w:rsidRPr="006F3DE5" w:rsidRDefault="00C114FF" w:rsidP="006F3DE5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6F3DE5" w:rsidRDefault="002173D0" w:rsidP="006F3DE5">
      <w:pPr>
        <w:pStyle w:val="Nadpis1"/>
        <w:spacing w:before="0" w:after="0" w:line="240" w:lineRule="auto"/>
        <w:rPr>
          <w:sz w:val="22"/>
          <w:szCs w:val="22"/>
        </w:rPr>
      </w:pPr>
      <w:bookmarkStart w:id="8" w:name="_Toc215117330"/>
      <w:r w:rsidRPr="006F3DE5">
        <w:rPr>
          <w:caps w:val="0"/>
          <w:sz w:val="22"/>
          <w:szCs w:val="22"/>
        </w:rPr>
        <w:t>3.4</w:t>
      </w:r>
      <w:r w:rsidRPr="006F3DE5">
        <w:rPr>
          <w:caps w:val="0"/>
          <w:sz w:val="22"/>
          <w:szCs w:val="22"/>
        </w:rPr>
        <w:tab/>
        <w:t>Zvláštní upozornění</w:t>
      </w:r>
      <w:bookmarkEnd w:id="8"/>
    </w:p>
    <w:p w14:paraId="5F5E6CC5" w14:textId="7F2FEF0F" w:rsidR="00B964D1" w:rsidRPr="006F3DE5" w:rsidRDefault="004B2901" w:rsidP="006F3DE5">
      <w:pPr>
        <w:pStyle w:val="Zkladntextodsazen3"/>
        <w:ind w:left="0" w:firstLine="0"/>
        <w:jc w:val="both"/>
        <w:rPr>
          <w:szCs w:val="22"/>
        </w:rPr>
      </w:pPr>
      <w:r w:rsidRPr="006F3DE5">
        <w:rPr>
          <w:szCs w:val="22"/>
        </w:rPr>
        <w:t>V případě sníženého příjmu krmiva je třeba adekvátně zvýšit koncentraci léčiva v</w:t>
      </w:r>
      <w:r w:rsidR="006509DB" w:rsidRPr="009264A3">
        <w:rPr>
          <w:szCs w:val="22"/>
        </w:rPr>
        <w:t> </w:t>
      </w:r>
      <w:r w:rsidRPr="006F3DE5">
        <w:rPr>
          <w:szCs w:val="22"/>
        </w:rPr>
        <w:t>krmivu</w:t>
      </w:r>
      <w:r w:rsidR="006509DB" w:rsidRPr="009264A3">
        <w:rPr>
          <w:szCs w:val="22"/>
        </w:rPr>
        <w:t xml:space="preserve"> tak</w:t>
      </w:r>
      <w:r w:rsidRPr="006F3DE5">
        <w:rPr>
          <w:szCs w:val="22"/>
        </w:rPr>
        <w:t xml:space="preserve">, aby bylo dosaženo doporučeného dávkování. </w:t>
      </w:r>
    </w:p>
    <w:p w14:paraId="539D2E2E" w14:textId="77777777" w:rsidR="00BF4E83" w:rsidRPr="009264A3" w:rsidRDefault="00BF4E83" w:rsidP="006F3DE5">
      <w:pPr>
        <w:spacing w:line="240" w:lineRule="auto"/>
        <w:jc w:val="both"/>
        <w:rPr>
          <w:szCs w:val="22"/>
        </w:rPr>
      </w:pPr>
      <w:r w:rsidRPr="009264A3">
        <w:rPr>
          <w:szCs w:val="22"/>
        </w:rPr>
        <w:t xml:space="preserve">U akutních případů a vážně nemocných zvířat s výrazně sníženým příjmem krmiva </w:t>
      </w:r>
      <w:bookmarkStart w:id="9" w:name="_Hlk221785787"/>
      <w:r w:rsidRPr="009264A3">
        <w:rPr>
          <w:szCs w:val="22"/>
        </w:rPr>
        <w:t xml:space="preserve">je vhodné konzultovat postup s veterinárním lékařem a měla by být zvážena léčba jiným způsobem podání (např. </w:t>
      </w:r>
      <w:proofErr w:type="spellStart"/>
      <w:r w:rsidRPr="009264A3">
        <w:rPr>
          <w:szCs w:val="22"/>
        </w:rPr>
        <w:t>medikovanou</w:t>
      </w:r>
      <w:proofErr w:type="spellEnd"/>
      <w:r w:rsidRPr="009264A3">
        <w:rPr>
          <w:szCs w:val="22"/>
        </w:rPr>
        <w:t xml:space="preserve"> pitnou vodou, případně v závažných případech parenterální léčbou). </w:t>
      </w:r>
    </w:p>
    <w:bookmarkEnd w:id="9"/>
    <w:p w14:paraId="49CDC60A" w14:textId="447491AD" w:rsidR="004B2901" w:rsidRPr="006F3DE5" w:rsidRDefault="004B2901" w:rsidP="006F3DE5">
      <w:pPr>
        <w:pStyle w:val="Zkladntextodsazen3"/>
        <w:ind w:left="0" w:firstLine="0"/>
        <w:jc w:val="both"/>
        <w:rPr>
          <w:szCs w:val="22"/>
        </w:rPr>
      </w:pPr>
      <w:r w:rsidRPr="006F3DE5">
        <w:rPr>
          <w:szCs w:val="22"/>
        </w:rPr>
        <w:t xml:space="preserve">Bezprostředně před </w:t>
      </w:r>
      <w:bookmarkStart w:id="10" w:name="_Hlk221785943"/>
      <w:r w:rsidR="006509DB" w:rsidRPr="006F3DE5">
        <w:rPr>
          <w:szCs w:val="22"/>
        </w:rPr>
        <w:t>podá</w:t>
      </w:r>
      <w:r w:rsidR="006509DB" w:rsidRPr="009264A3">
        <w:rPr>
          <w:szCs w:val="22"/>
        </w:rPr>
        <w:t>ním</w:t>
      </w:r>
      <w:r w:rsidR="006509DB" w:rsidRPr="006F3DE5">
        <w:rPr>
          <w:szCs w:val="22"/>
        </w:rPr>
        <w:t xml:space="preserve"> </w:t>
      </w:r>
      <w:r w:rsidR="006509DB" w:rsidRPr="009264A3">
        <w:rPr>
          <w:szCs w:val="22"/>
        </w:rPr>
        <w:t xml:space="preserve">veterinárního léčivého </w:t>
      </w:r>
      <w:r w:rsidRPr="006F3DE5">
        <w:rPr>
          <w:szCs w:val="22"/>
        </w:rPr>
        <w:t xml:space="preserve">přípravku se nedoporučuje </w:t>
      </w:r>
      <w:r w:rsidR="006509DB" w:rsidRPr="006F3DE5">
        <w:rPr>
          <w:szCs w:val="22"/>
        </w:rPr>
        <w:t>podá</w:t>
      </w:r>
      <w:r w:rsidR="006509DB" w:rsidRPr="009264A3">
        <w:rPr>
          <w:szCs w:val="22"/>
        </w:rPr>
        <w:t>ní</w:t>
      </w:r>
      <w:r w:rsidR="006509DB" w:rsidRPr="006F3DE5">
        <w:rPr>
          <w:szCs w:val="22"/>
        </w:rPr>
        <w:t xml:space="preserve"> </w:t>
      </w:r>
      <w:bookmarkEnd w:id="10"/>
      <w:r w:rsidRPr="006F3DE5">
        <w:rPr>
          <w:szCs w:val="22"/>
        </w:rPr>
        <w:t xml:space="preserve">mléčného krmiva a antacid. </w:t>
      </w:r>
    </w:p>
    <w:p w14:paraId="7D798E15" w14:textId="77777777" w:rsidR="00E86CEE" w:rsidRPr="006F3DE5" w:rsidRDefault="00E86CEE" w:rsidP="006F3DE5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4F0CCEDC" w:rsidR="00C114FF" w:rsidRDefault="002173D0" w:rsidP="006F3DE5">
      <w:pPr>
        <w:pStyle w:val="Nadpis1"/>
        <w:spacing w:before="0" w:after="0"/>
        <w:rPr>
          <w:caps w:val="0"/>
          <w:sz w:val="22"/>
          <w:szCs w:val="22"/>
        </w:rPr>
      </w:pPr>
      <w:bookmarkStart w:id="11" w:name="_Toc215117331"/>
      <w:r w:rsidRPr="006F3DE5">
        <w:rPr>
          <w:caps w:val="0"/>
          <w:sz w:val="22"/>
          <w:szCs w:val="22"/>
        </w:rPr>
        <w:t>3.5</w:t>
      </w:r>
      <w:r w:rsidRPr="006F3DE5">
        <w:rPr>
          <w:caps w:val="0"/>
          <w:sz w:val="22"/>
          <w:szCs w:val="22"/>
        </w:rPr>
        <w:tab/>
        <w:t>Zvláštní opatření pro použití</w:t>
      </w:r>
      <w:bookmarkEnd w:id="11"/>
    </w:p>
    <w:p w14:paraId="3968A31E" w14:textId="77777777" w:rsidR="006F3DE5" w:rsidRPr="006F3DE5" w:rsidRDefault="006F3DE5" w:rsidP="006F3DE5"/>
    <w:p w14:paraId="682382B5" w14:textId="77777777" w:rsidR="00C114FF" w:rsidRPr="006F3DE5" w:rsidRDefault="002173D0" w:rsidP="006F3DE5">
      <w:pPr>
        <w:pStyle w:val="Nadpis2"/>
        <w:spacing w:before="0" w:after="0"/>
        <w:rPr>
          <w:rFonts w:ascii="Times New Roman" w:hAnsi="Times New Roman"/>
          <w:bCs/>
          <w:iCs/>
          <w:sz w:val="22"/>
          <w:szCs w:val="22"/>
          <w:u w:val="single"/>
        </w:rPr>
      </w:pPr>
      <w:bookmarkStart w:id="12" w:name="_Toc215117332"/>
      <w:r w:rsidRPr="006F3DE5">
        <w:rPr>
          <w:rFonts w:ascii="Times New Roman" w:hAnsi="Times New Roman"/>
          <w:b w:val="0"/>
          <w:bCs/>
          <w:i w:val="0"/>
          <w:iCs/>
          <w:sz w:val="22"/>
          <w:szCs w:val="22"/>
          <w:u w:val="single"/>
        </w:rPr>
        <w:t>Zvláštní opatření pro bezpečné použití u cílových druhů zvířat:</w:t>
      </w:r>
      <w:bookmarkEnd w:id="12"/>
    </w:p>
    <w:p w14:paraId="5542C19E" w14:textId="17C0AF0C" w:rsidR="00DC132A" w:rsidRPr="006F3DE5" w:rsidRDefault="00B964D1" w:rsidP="00AC7793">
      <w:pPr>
        <w:pStyle w:val="Zkladntextodsazen3"/>
        <w:spacing w:after="120"/>
        <w:ind w:left="0" w:firstLine="0"/>
        <w:jc w:val="both"/>
        <w:rPr>
          <w:szCs w:val="22"/>
        </w:rPr>
      </w:pPr>
      <w:bookmarkStart w:id="13" w:name="_Hlk215461238"/>
      <w:r w:rsidRPr="006F3DE5">
        <w:rPr>
          <w:szCs w:val="22"/>
        </w:rPr>
        <w:t xml:space="preserve">Použití veterinárního léčivého přípravku by mělo být založeno na identifikaci a výsledku stanovení citlivosti cílových patogenů. Pokud to není možné, měla by být léčba založena na </w:t>
      </w:r>
      <w:proofErr w:type="spellStart"/>
      <w:r w:rsidRPr="006F3DE5">
        <w:rPr>
          <w:szCs w:val="22"/>
        </w:rPr>
        <w:t>epizootologických</w:t>
      </w:r>
      <w:proofErr w:type="spellEnd"/>
      <w:r w:rsidRPr="006F3DE5">
        <w:rPr>
          <w:szCs w:val="22"/>
        </w:rPr>
        <w:t xml:space="preserve"> informacích a znalosti citlivosti cílového patogenu/cílových patogenů na úrovni farmy nebo na místní/regionální úrovni.</w:t>
      </w:r>
    </w:p>
    <w:p w14:paraId="7B41F233" w14:textId="160A728F" w:rsidR="00B20D4F" w:rsidRPr="006F3DE5" w:rsidRDefault="00B964D1" w:rsidP="0043785B">
      <w:pPr>
        <w:pStyle w:val="Zkladntextodsazen3"/>
        <w:spacing w:after="120"/>
        <w:ind w:left="0" w:firstLine="0"/>
        <w:jc w:val="both"/>
        <w:rPr>
          <w:bCs/>
          <w:strike/>
          <w:szCs w:val="22"/>
        </w:rPr>
      </w:pPr>
      <w:r w:rsidRPr="006F3DE5">
        <w:rPr>
          <w:bCs/>
          <w:szCs w:val="22"/>
        </w:rPr>
        <w:lastRenderedPageBreak/>
        <w:t>Při použití veterinárního léčivého přípravku je nutno vzít v úvahu oficiální, národní a místní pravidla antibiotické politiky</w:t>
      </w:r>
      <w:bookmarkEnd w:id="13"/>
      <w:r w:rsidR="004B2901" w:rsidRPr="006F3DE5">
        <w:rPr>
          <w:bCs/>
          <w:szCs w:val="22"/>
        </w:rPr>
        <w:t xml:space="preserve">. </w:t>
      </w:r>
    </w:p>
    <w:p w14:paraId="796513C8" w14:textId="606F681A" w:rsidR="004B2901" w:rsidRPr="006F3DE5" w:rsidRDefault="004B2901" w:rsidP="00707974">
      <w:pPr>
        <w:pStyle w:val="Zkladntextodsazen3"/>
        <w:spacing w:after="120"/>
        <w:ind w:left="0" w:firstLine="0"/>
        <w:jc w:val="both"/>
        <w:rPr>
          <w:bCs/>
          <w:szCs w:val="22"/>
        </w:rPr>
      </w:pPr>
      <w:r w:rsidRPr="006F3DE5">
        <w:rPr>
          <w:bCs/>
          <w:szCs w:val="22"/>
        </w:rPr>
        <w:t xml:space="preserve">Byla zaznamenána vysoká prevalence rezistence u </w:t>
      </w:r>
      <w:r w:rsidRPr="006F3DE5">
        <w:rPr>
          <w:bCs/>
          <w:i/>
          <w:szCs w:val="22"/>
        </w:rPr>
        <w:t>E. coli</w:t>
      </w:r>
      <w:r w:rsidRPr="006F3DE5">
        <w:rPr>
          <w:bCs/>
          <w:szCs w:val="22"/>
        </w:rPr>
        <w:t>, izolované z kura domácího, k tetracyklinům. Rezistence k tetracyklinům byla také hlášena v některých zemích EU u respiračních patogenů prasat (</w:t>
      </w:r>
      <w:r w:rsidRPr="006F3DE5">
        <w:rPr>
          <w:bCs/>
          <w:i/>
          <w:szCs w:val="22"/>
        </w:rPr>
        <w:t xml:space="preserve">A. </w:t>
      </w:r>
      <w:proofErr w:type="spellStart"/>
      <w:r w:rsidRPr="006F3DE5">
        <w:rPr>
          <w:bCs/>
          <w:i/>
          <w:szCs w:val="22"/>
        </w:rPr>
        <w:t>pleuropneumoniae</w:t>
      </w:r>
      <w:proofErr w:type="spellEnd"/>
      <w:r w:rsidRPr="006F3DE5">
        <w:rPr>
          <w:bCs/>
          <w:szCs w:val="22"/>
        </w:rPr>
        <w:t xml:space="preserve">, </w:t>
      </w:r>
      <w:r w:rsidRPr="006F3DE5">
        <w:rPr>
          <w:bCs/>
          <w:i/>
          <w:szCs w:val="22"/>
        </w:rPr>
        <w:t xml:space="preserve">S. </w:t>
      </w:r>
      <w:proofErr w:type="spellStart"/>
      <w:r w:rsidRPr="006F3DE5">
        <w:rPr>
          <w:bCs/>
          <w:i/>
          <w:szCs w:val="22"/>
        </w:rPr>
        <w:t>suis</w:t>
      </w:r>
      <w:proofErr w:type="spellEnd"/>
      <w:r w:rsidRPr="006F3DE5">
        <w:rPr>
          <w:bCs/>
          <w:szCs w:val="22"/>
        </w:rPr>
        <w:t>) a patogenů drůbeže (</w:t>
      </w:r>
      <w:proofErr w:type="spellStart"/>
      <w:r w:rsidRPr="006F3DE5">
        <w:rPr>
          <w:bCs/>
          <w:i/>
          <w:szCs w:val="22"/>
        </w:rPr>
        <w:t>Ornithobacterium</w:t>
      </w:r>
      <w:proofErr w:type="spellEnd"/>
      <w:r w:rsidRPr="006F3DE5">
        <w:rPr>
          <w:bCs/>
          <w:i/>
          <w:szCs w:val="22"/>
        </w:rPr>
        <w:t xml:space="preserve"> </w:t>
      </w:r>
      <w:proofErr w:type="spellStart"/>
      <w:r w:rsidRPr="006F3DE5">
        <w:rPr>
          <w:bCs/>
          <w:i/>
          <w:szCs w:val="22"/>
        </w:rPr>
        <w:t>rhinotracheale</w:t>
      </w:r>
      <w:proofErr w:type="spellEnd"/>
      <w:r w:rsidRPr="006F3DE5">
        <w:rPr>
          <w:bCs/>
          <w:szCs w:val="22"/>
        </w:rPr>
        <w:t xml:space="preserve">). Proto by tento </w:t>
      </w:r>
      <w:r w:rsidR="00BF4E83" w:rsidRPr="009264A3">
        <w:rPr>
          <w:bCs/>
          <w:szCs w:val="22"/>
        </w:rPr>
        <w:t xml:space="preserve">veterinární léčivý </w:t>
      </w:r>
      <w:r w:rsidRPr="006F3DE5">
        <w:rPr>
          <w:bCs/>
          <w:szCs w:val="22"/>
        </w:rPr>
        <w:t>přípravek měl být používán až po</w:t>
      </w:r>
      <w:r w:rsidR="00BF4E83" w:rsidRPr="009264A3">
        <w:rPr>
          <w:bCs/>
          <w:szCs w:val="22"/>
        </w:rPr>
        <w:t xml:space="preserve"> </w:t>
      </w:r>
      <w:r w:rsidR="002D153B" w:rsidRPr="009264A3">
        <w:rPr>
          <w:bCs/>
          <w:szCs w:val="22"/>
        </w:rPr>
        <w:t>stanovení</w:t>
      </w:r>
      <w:r w:rsidRPr="006F3DE5">
        <w:rPr>
          <w:bCs/>
          <w:szCs w:val="22"/>
        </w:rPr>
        <w:t xml:space="preserve"> citlivosti. </w:t>
      </w:r>
    </w:p>
    <w:p w14:paraId="779525BD" w14:textId="7D295D48" w:rsidR="004B2901" w:rsidRPr="006F3DE5" w:rsidRDefault="00F42F21" w:rsidP="00707974">
      <w:pPr>
        <w:pStyle w:val="Zkladntextodsazen3"/>
        <w:spacing w:after="120"/>
        <w:ind w:left="0" w:firstLine="0"/>
        <w:jc w:val="both"/>
        <w:rPr>
          <w:bCs/>
          <w:szCs w:val="22"/>
        </w:rPr>
      </w:pPr>
      <w:r w:rsidRPr="009264A3">
        <w:rPr>
          <w:bCs/>
          <w:szCs w:val="22"/>
        </w:rPr>
        <w:t>Veterinární léčivý přípravek by neměl být používán jako metoda kontroly subklinických salmonelových infekcí v chovech ani jako nástroj programů tlumení salmonelových infekcí. V této souvislosti je třeba dodržovat platné právní předpisy</w:t>
      </w:r>
      <w:r w:rsidR="004B2901" w:rsidRPr="006F3DE5">
        <w:rPr>
          <w:bCs/>
          <w:szCs w:val="22"/>
        </w:rPr>
        <w:t>.</w:t>
      </w:r>
    </w:p>
    <w:p w14:paraId="27E2EB9B" w14:textId="5521DA77" w:rsidR="004B2901" w:rsidRPr="006F3DE5" w:rsidRDefault="0043785B" w:rsidP="00707974">
      <w:pPr>
        <w:pStyle w:val="Zkladntextodsazen3"/>
        <w:spacing w:after="120"/>
        <w:ind w:left="0" w:firstLine="0"/>
        <w:jc w:val="both"/>
        <w:rPr>
          <w:bCs/>
          <w:szCs w:val="22"/>
        </w:rPr>
      </w:pPr>
      <w:r w:rsidRPr="006F3DE5">
        <w:rPr>
          <w:bCs/>
          <w:szCs w:val="22"/>
        </w:rPr>
        <w:t>Použití veterinárního léčivého přípravku, které je odlišné od pokynů uvedených v tomto souhrnu údajů o přípravku</w:t>
      </w:r>
      <w:r w:rsidR="00BF4E83" w:rsidRPr="009264A3">
        <w:rPr>
          <w:bCs/>
          <w:szCs w:val="22"/>
        </w:rPr>
        <w:t xml:space="preserve"> (SPC)</w:t>
      </w:r>
      <w:r w:rsidRPr="006F3DE5">
        <w:rPr>
          <w:bCs/>
          <w:szCs w:val="22"/>
        </w:rPr>
        <w:t xml:space="preserve">, </w:t>
      </w:r>
      <w:r w:rsidR="00F42F21" w:rsidRPr="009264A3">
        <w:rPr>
          <w:bCs/>
          <w:szCs w:val="22"/>
        </w:rPr>
        <w:t>může zvýšit prevalenci bakterií rezistentních vůči chlortetracyklinu a snížit účinnost léčby jinými tetracykliny v důsledku možné zkřížené rezistence</w:t>
      </w:r>
      <w:r w:rsidR="00054183" w:rsidRPr="006F3DE5">
        <w:rPr>
          <w:bCs/>
          <w:szCs w:val="22"/>
        </w:rPr>
        <w:t>/</w:t>
      </w:r>
      <w:proofErr w:type="spellStart"/>
      <w:r w:rsidR="00054183" w:rsidRPr="006F3DE5">
        <w:rPr>
          <w:bCs/>
          <w:szCs w:val="22"/>
        </w:rPr>
        <w:t>ko</w:t>
      </w:r>
      <w:proofErr w:type="spellEnd"/>
      <w:r w:rsidR="00054183" w:rsidRPr="006F3DE5">
        <w:rPr>
          <w:bCs/>
          <w:szCs w:val="22"/>
        </w:rPr>
        <w:t>-selekce rezistence</w:t>
      </w:r>
      <w:r w:rsidRPr="006F3DE5">
        <w:rPr>
          <w:bCs/>
          <w:szCs w:val="22"/>
        </w:rPr>
        <w:t xml:space="preserve">. </w:t>
      </w:r>
    </w:p>
    <w:p w14:paraId="47757180" w14:textId="0C529D32" w:rsidR="004B2901" w:rsidRPr="006F3DE5" w:rsidRDefault="004B2901" w:rsidP="00707974">
      <w:pPr>
        <w:spacing w:after="120"/>
        <w:jc w:val="both"/>
        <w:rPr>
          <w:bCs/>
          <w:szCs w:val="22"/>
        </w:rPr>
      </w:pPr>
      <w:r w:rsidRPr="006F3DE5">
        <w:rPr>
          <w:bCs/>
          <w:szCs w:val="22"/>
        </w:rPr>
        <w:t>Protože nemusí být dosaženo eradikace cílových patogenů, je zapotřebí léčbu kombinovat s dobrou zoohygienickou praxí, např. dobrou hygienou, správným větráním a dostatkem prostoru pro zvířata.</w:t>
      </w:r>
    </w:p>
    <w:p w14:paraId="5EA9A9E4" w14:textId="77777777" w:rsidR="00C114FF" w:rsidRPr="006F3DE5" w:rsidRDefault="002173D0" w:rsidP="00231D97">
      <w:pPr>
        <w:pStyle w:val="Nadpis2"/>
        <w:rPr>
          <w:rFonts w:ascii="Times New Roman" w:hAnsi="Times New Roman"/>
          <w:bCs/>
          <w:iCs/>
          <w:sz w:val="22"/>
          <w:szCs w:val="22"/>
          <w:u w:val="single"/>
        </w:rPr>
      </w:pPr>
      <w:bookmarkStart w:id="14" w:name="_Toc215117333"/>
      <w:r w:rsidRPr="006F3DE5">
        <w:rPr>
          <w:rFonts w:ascii="Times New Roman" w:hAnsi="Times New Roman"/>
          <w:b w:val="0"/>
          <w:bCs/>
          <w:i w:val="0"/>
          <w:iCs/>
          <w:sz w:val="22"/>
          <w:szCs w:val="22"/>
          <w:u w:val="single"/>
        </w:rPr>
        <w:t>Zvláštní opatření pro osobu, která podává veterinární léčivý přípravek zvířatům:</w:t>
      </w:r>
      <w:bookmarkEnd w:id="14"/>
    </w:p>
    <w:p w14:paraId="733BB0ED" w14:textId="77777777" w:rsidR="00D2298D" w:rsidRPr="009264A3" w:rsidRDefault="00D2298D" w:rsidP="00D2298D">
      <w:pPr>
        <w:pStyle w:val="Zkladntextodsazen3"/>
        <w:ind w:left="0" w:firstLine="0"/>
        <w:jc w:val="both"/>
        <w:rPr>
          <w:szCs w:val="22"/>
          <w:shd w:val="clear" w:color="auto" w:fill="FFFFFF"/>
        </w:rPr>
      </w:pPr>
      <w:r w:rsidRPr="009264A3">
        <w:rPr>
          <w:szCs w:val="22"/>
          <w:shd w:val="clear" w:color="auto" w:fill="FFFFFF"/>
        </w:rPr>
        <w:t xml:space="preserve">Lidé se známou přecitlivělostí na tetracykliny by se měli vyhnout kontaktu s veterinárním léčivým přípravkem. </w:t>
      </w:r>
    </w:p>
    <w:p w14:paraId="6875FAD0" w14:textId="7FA3CBE7" w:rsidR="00D2298D" w:rsidRPr="009264A3" w:rsidRDefault="00D2298D" w:rsidP="00D2298D">
      <w:pPr>
        <w:pStyle w:val="Zkladntextodsazen3"/>
        <w:ind w:left="0" w:firstLine="0"/>
        <w:jc w:val="both"/>
        <w:rPr>
          <w:szCs w:val="22"/>
          <w:shd w:val="clear" w:color="auto" w:fill="FFFFFF"/>
        </w:rPr>
      </w:pPr>
      <w:bookmarkStart w:id="15" w:name="_Hlk222223267"/>
      <w:r w:rsidRPr="009264A3">
        <w:rPr>
          <w:szCs w:val="22"/>
          <w:shd w:val="clear" w:color="auto" w:fill="FFFFFF"/>
        </w:rPr>
        <w:t xml:space="preserve">Veterinární léčivý </w:t>
      </w:r>
      <w:bookmarkEnd w:id="15"/>
      <w:r w:rsidRPr="009264A3">
        <w:rPr>
          <w:szCs w:val="22"/>
          <w:shd w:val="clear" w:color="auto" w:fill="FFFFFF"/>
        </w:rPr>
        <w:t>p</w:t>
      </w:r>
      <w:r w:rsidRPr="009264A3">
        <w:rPr>
          <w:szCs w:val="22"/>
          <w:shd w:val="clear" w:color="auto" w:fill="FFFFFF"/>
        </w:rPr>
        <w:t xml:space="preserve">řípravek a </w:t>
      </w:r>
      <w:proofErr w:type="spellStart"/>
      <w:r w:rsidRPr="009264A3">
        <w:rPr>
          <w:szCs w:val="22"/>
          <w:shd w:val="clear" w:color="auto" w:fill="FFFFFF"/>
        </w:rPr>
        <w:t>medikované</w:t>
      </w:r>
      <w:proofErr w:type="spellEnd"/>
      <w:r w:rsidRPr="009264A3">
        <w:rPr>
          <w:szCs w:val="22"/>
          <w:shd w:val="clear" w:color="auto" w:fill="FFFFFF"/>
        </w:rPr>
        <w:t xml:space="preserve"> krmivo používejte v dobře větraných prostorách a zamezte vytváření prachu a vdechování prachových částic. </w:t>
      </w:r>
    </w:p>
    <w:p w14:paraId="0A55773B" w14:textId="0C688630" w:rsidR="00D2298D" w:rsidRPr="009264A3" w:rsidRDefault="00D2298D" w:rsidP="00D2298D">
      <w:pPr>
        <w:pStyle w:val="Zkladntextodsazen3"/>
        <w:ind w:left="0" w:firstLine="0"/>
        <w:jc w:val="both"/>
        <w:rPr>
          <w:szCs w:val="22"/>
          <w:shd w:val="clear" w:color="auto" w:fill="FFFFFF"/>
        </w:rPr>
      </w:pPr>
      <w:r w:rsidRPr="009264A3">
        <w:rPr>
          <w:szCs w:val="22"/>
          <w:shd w:val="clear" w:color="auto" w:fill="FFFFFF"/>
        </w:rPr>
        <w:t xml:space="preserve">Při nakládání s veterinárním léčivým přípravkem nebo </w:t>
      </w:r>
      <w:proofErr w:type="spellStart"/>
      <w:r w:rsidRPr="009264A3">
        <w:rPr>
          <w:szCs w:val="22"/>
          <w:shd w:val="clear" w:color="auto" w:fill="FFFFFF"/>
        </w:rPr>
        <w:t>medikovaným</w:t>
      </w:r>
      <w:proofErr w:type="spellEnd"/>
      <w:r w:rsidRPr="009264A3">
        <w:rPr>
          <w:szCs w:val="22"/>
          <w:shd w:val="clear" w:color="auto" w:fill="FFFFFF"/>
        </w:rPr>
        <w:t xml:space="preserve"> krmivem nejezte, nepijte a nekuřte.</w:t>
      </w:r>
    </w:p>
    <w:p w14:paraId="7972FD22" w14:textId="38A46F1A" w:rsidR="00D2298D" w:rsidRPr="009264A3" w:rsidRDefault="00D2298D" w:rsidP="00D2298D">
      <w:pPr>
        <w:pStyle w:val="Zkladntextodsazen3"/>
        <w:ind w:left="0" w:firstLine="0"/>
        <w:jc w:val="both"/>
        <w:rPr>
          <w:szCs w:val="22"/>
          <w:shd w:val="clear" w:color="auto" w:fill="FFFFFF"/>
        </w:rPr>
      </w:pPr>
      <w:r w:rsidRPr="009264A3">
        <w:rPr>
          <w:szCs w:val="22"/>
          <w:shd w:val="clear" w:color="auto" w:fill="FFFFFF"/>
        </w:rPr>
        <w:t>Zabraňte kontaktu veterinárního léčivého přípravku s kůží, očima a sliznicemi.</w:t>
      </w:r>
    </w:p>
    <w:p w14:paraId="425A3F15" w14:textId="77777777" w:rsidR="00D2298D" w:rsidRPr="006F3DE5" w:rsidRDefault="00D2298D" w:rsidP="006F3DE5">
      <w:pPr>
        <w:pStyle w:val="Zkladntextodsazen3"/>
        <w:ind w:left="0" w:firstLine="0"/>
        <w:jc w:val="both"/>
        <w:rPr>
          <w:szCs w:val="22"/>
          <w:shd w:val="clear" w:color="auto" w:fill="FFFFFF"/>
        </w:rPr>
      </w:pPr>
      <w:r w:rsidRPr="006F3DE5">
        <w:rPr>
          <w:szCs w:val="22"/>
          <w:shd w:val="clear" w:color="auto" w:fill="FFFFFF"/>
        </w:rPr>
        <w:t xml:space="preserve">Při nakládání s veterinárním léčivým přípravkem nebo </w:t>
      </w:r>
      <w:proofErr w:type="spellStart"/>
      <w:r w:rsidRPr="006F3DE5">
        <w:rPr>
          <w:szCs w:val="22"/>
          <w:shd w:val="clear" w:color="auto" w:fill="FFFFFF"/>
        </w:rPr>
        <w:t>medikovaným</w:t>
      </w:r>
      <w:proofErr w:type="spellEnd"/>
      <w:r w:rsidRPr="006F3DE5">
        <w:rPr>
          <w:szCs w:val="22"/>
          <w:shd w:val="clear" w:color="auto" w:fill="FFFFFF"/>
        </w:rPr>
        <w:t xml:space="preserve"> krmivem by se měly používat osobní ochranné prostředky skládající se z ochranného pláště, nepropustných rukavic, brýlí a respirátoru. Použijte buď jednorázový respirátor vyhovující normě EN149 nebo respirátor pro více použití vyhovující normě EN140 vybavený filtrem podle normy EN143.</w:t>
      </w:r>
    </w:p>
    <w:p w14:paraId="7355340D" w14:textId="77777777" w:rsidR="00D2298D" w:rsidRPr="009264A3" w:rsidRDefault="00D2298D" w:rsidP="00D2298D">
      <w:pPr>
        <w:pStyle w:val="Zkladntextodsazen3"/>
        <w:ind w:left="0" w:firstLine="0"/>
        <w:jc w:val="both"/>
        <w:rPr>
          <w:szCs w:val="22"/>
          <w:shd w:val="clear" w:color="auto" w:fill="FFFFFF"/>
        </w:rPr>
      </w:pPr>
      <w:r w:rsidRPr="009264A3">
        <w:rPr>
          <w:szCs w:val="22"/>
          <w:shd w:val="clear" w:color="auto" w:fill="FFFFFF"/>
        </w:rPr>
        <w:t xml:space="preserve">V případě náhodného potřísnění kůže nebo kontaktu se sliznicemi opláchněte ihned zasažené místo velkým množstvím vody. </w:t>
      </w:r>
    </w:p>
    <w:p w14:paraId="389C2A3C" w14:textId="77777777" w:rsidR="00D2298D" w:rsidRPr="009264A3" w:rsidRDefault="00D2298D" w:rsidP="00D2298D">
      <w:pPr>
        <w:pStyle w:val="Zkladntextodsazen3"/>
        <w:ind w:left="0" w:firstLine="0"/>
        <w:jc w:val="both"/>
        <w:rPr>
          <w:szCs w:val="22"/>
          <w:shd w:val="clear" w:color="auto" w:fill="FFFFFF"/>
        </w:rPr>
      </w:pPr>
      <w:r w:rsidRPr="009264A3">
        <w:rPr>
          <w:szCs w:val="22"/>
          <w:shd w:val="clear" w:color="auto" w:fill="FFFFFF"/>
        </w:rPr>
        <w:t xml:space="preserve">V případě náhodného kontaktu s očima je ihned vypláchněte velkým množstvím čisté vody. </w:t>
      </w:r>
    </w:p>
    <w:p w14:paraId="09942775" w14:textId="1B9830FD" w:rsidR="008B3DAA" w:rsidRPr="006F3DE5" w:rsidRDefault="008B3DAA" w:rsidP="006F3DE5">
      <w:pPr>
        <w:pStyle w:val="Zkladntextodsazen3"/>
        <w:ind w:left="0" w:firstLine="0"/>
        <w:jc w:val="both"/>
        <w:rPr>
          <w:szCs w:val="22"/>
          <w:shd w:val="clear" w:color="auto" w:fill="FFFFFF"/>
        </w:rPr>
      </w:pPr>
      <w:r w:rsidRPr="006F3DE5">
        <w:rPr>
          <w:szCs w:val="22"/>
          <w:shd w:val="clear" w:color="auto" w:fill="FFFFFF"/>
        </w:rPr>
        <w:t xml:space="preserve">V případě náhodného požití nebo dojde-li k podráždění očí nebo pokud se u vás projeví příznaky jako například kožní vyrážka, vyhledejte ihned lékařskou pomoc a </w:t>
      </w:r>
      <w:bookmarkStart w:id="16" w:name="_Hlk215462108"/>
      <w:r w:rsidRPr="006F3DE5">
        <w:rPr>
          <w:szCs w:val="22"/>
          <w:shd w:val="clear" w:color="auto" w:fill="FFFFFF"/>
        </w:rPr>
        <w:t>ukažte příbalovou informaci nebo etiketu praktickému lékaři</w:t>
      </w:r>
      <w:bookmarkEnd w:id="16"/>
      <w:r w:rsidRPr="006F3DE5">
        <w:rPr>
          <w:szCs w:val="22"/>
          <w:shd w:val="clear" w:color="auto" w:fill="FFFFFF"/>
        </w:rPr>
        <w:t>.</w:t>
      </w:r>
    </w:p>
    <w:p w14:paraId="2F84EAEB" w14:textId="7EB0DA6F" w:rsidR="004B2901" w:rsidRPr="006F3DE5" w:rsidRDefault="004B2901" w:rsidP="006F3DE5">
      <w:pPr>
        <w:pStyle w:val="Zkladntext"/>
        <w:rPr>
          <w:szCs w:val="22"/>
        </w:rPr>
      </w:pPr>
      <w:r w:rsidRPr="006F3DE5">
        <w:rPr>
          <w:szCs w:val="22"/>
          <w:shd w:val="clear" w:color="auto" w:fill="FFFFFF"/>
        </w:rPr>
        <w:t>Po použití si umyjte ruce.</w:t>
      </w:r>
    </w:p>
    <w:p w14:paraId="24E6E7D0" w14:textId="5B3E3C15" w:rsidR="004544B6" w:rsidRPr="006F3DE5" w:rsidRDefault="004544B6" w:rsidP="00231D97">
      <w:pPr>
        <w:pStyle w:val="Nadpis2"/>
        <w:rPr>
          <w:rFonts w:ascii="Times New Roman" w:hAnsi="Times New Roman"/>
          <w:bCs/>
          <w:iCs/>
          <w:sz w:val="22"/>
          <w:szCs w:val="22"/>
          <w:u w:val="single"/>
        </w:rPr>
      </w:pPr>
      <w:bookmarkStart w:id="17" w:name="_Toc215117334"/>
      <w:r w:rsidRPr="006F3DE5">
        <w:rPr>
          <w:rFonts w:ascii="Times New Roman" w:hAnsi="Times New Roman"/>
          <w:b w:val="0"/>
          <w:bCs/>
          <w:i w:val="0"/>
          <w:iCs/>
          <w:sz w:val="22"/>
          <w:szCs w:val="22"/>
          <w:u w:val="single"/>
        </w:rPr>
        <w:t>Zvláštní opatření pro ochranu životního prostředí:</w:t>
      </w:r>
      <w:bookmarkEnd w:id="17"/>
    </w:p>
    <w:p w14:paraId="4BC2E734" w14:textId="77777777" w:rsidR="004544B6" w:rsidRPr="006F3DE5" w:rsidRDefault="004544B6" w:rsidP="004544B6">
      <w:pPr>
        <w:tabs>
          <w:tab w:val="clear" w:pos="567"/>
        </w:tabs>
        <w:spacing w:line="240" w:lineRule="auto"/>
        <w:rPr>
          <w:szCs w:val="22"/>
        </w:rPr>
      </w:pPr>
      <w:r w:rsidRPr="006F3DE5">
        <w:rPr>
          <w:szCs w:val="22"/>
        </w:rPr>
        <w:t>Neuplatňuje se.</w:t>
      </w:r>
    </w:p>
    <w:p w14:paraId="309A1DB9" w14:textId="77777777" w:rsidR="00295140" w:rsidRPr="006F3DE5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6F3DE5" w:rsidRDefault="002173D0" w:rsidP="00231D97">
      <w:pPr>
        <w:pStyle w:val="Nadpis1"/>
        <w:rPr>
          <w:sz w:val="22"/>
          <w:szCs w:val="22"/>
        </w:rPr>
      </w:pPr>
      <w:bookmarkStart w:id="18" w:name="_Toc215117335"/>
      <w:r w:rsidRPr="006F3DE5">
        <w:rPr>
          <w:caps w:val="0"/>
          <w:sz w:val="22"/>
          <w:szCs w:val="22"/>
        </w:rPr>
        <w:t>3.6</w:t>
      </w:r>
      <w:r w:rsidRPr="006F3DE5">
        <w:rPr>
          <w:caps w:val="0"/>
          <w:sz w:val="22"/>
          <w:szCs w:val="22"/>
        </w:rPr>
        <w:tab/>
        <w:t>Nežádoucí účinky</w:t>
      </w:r>
      <w:bookmarkEnd w:id="18"/>
    </w:p>
    <w:p w14:paraId="0C5BE49C" w14:textId="1811D796" w:rsidR="002173D0" w:rsidRPr="009264A3" w:rsidRDefault="00F42F21" w:rsidP="002173D0">
      <w:pPr>
        <w:rPr>
          <w:szCs w:val="22"/>
        </w:rPr>
      </w:pPr>
      <w:bookmarkStart w:id="19" w:name="_Hlk228452868"/>
      <w:r w:rsidRPr="009264A3">
        <w:rPr>
          <w:szCs w:val="22"/>
        </w:rPr>
        <w:t>Prasata, kur domácí (brojleři).</w:t>
      </w:r>
    </w:p>
    <w:bookmarkEnd w:id="19"/>
    <w:p w14:paraId="7F8857BA" w14:textId="77777777" w:rsidR="00F42F21" w:rsidRPr="006F3DE5" w:rsidRDefault="00F42F21" w:rsidP="002173D0">
      <w:pPr>
        <w:rPr>
          <w:szCs w:val="22"/>
        </w:rPr>
      </w:pPr>
    </w:p>
    <w:p w14:paraId="3C5DDEDB" w14:textId="77777777" w:rsidR="002173D0" w:rsidRPr="006F3DE5" w:rsidRDefault="002173D0" w:rsidP="002173D0">
      <w:pPr>
        <w:spacing w:after="120"/>
        <w:rPr>
          <w:szCs w:val="22"/>
        </w:rPr>
      </w:pPr>
      <w:r w:rsidRPr="006F3DE5">
        <w:rPr>
          <w:szCs w:val="22"/>
        </w:rPr>
        <w:t xml:space="preserve">Tetracykliny obecně vykazují nízkou toxicitu.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2173D0" w:rsidRPr="009264A3" w14:paraId="114424AA" w14:textId="77777777" w:rsidTr="00450FF3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5B83" w14:textId="77777777" w:rsidR="002173D0" w:rsidRPr="006F3DE5" w:rsidRDefault="002173D0" w:rsidP="006F3DE5">
            <w:pPr>
              <w:spacing w:line="240" w:lineRule="auto"/>
              <w:rPr>
                <w:szCs w:val="22"/>
              </w:rPr>
            </w:pPr>
            <w:bookmarkStart w:id="20" w:name="_Hlk215479459"/>
            <w:r w:rsidRPr="006F3DE5">
              <w:rPr>
                <w:szCs w:val="22"/>
              </w:rPr>
              <w:t xml:space="preserve">Neznámá četnost </w:t>
            </w:r>
          </w:p>
          <w:p w14:paraId="18329645" w14:textId="77777777" w:rsidR="002173D0" w:rsidRPr="006F3DE5" w:rsidRDefault="002173D0" w:rsidP="006F3DE5">
            <w:pPr>
              <w:spacing w:line="240" w:lineRule="auto"/>
              <w:rPr>
                <w:szCs w:val="22"/>
                <w:highlight w:val="yellow"/>
              </w:rPr>
            </w:pPr>
            <w:r w:rsidRPr="006F3DE5">
              <w:rPr>
                <w:szCs w:val="22"/>
              </w:rPr>
              <w:t>(z dostupných údajů nelze určit)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9B46" w14:textId="77777777" w:rsidR="002173D0" w:rsidRPr="006F3DE5" w:rsidRDefault="002173D0" w:rsidP="006F3DE5">
            <w:pPr>
              <w:spacing w:line="240" w:lineRule="auto"/>
              <w:rPr>
                <w:szCs w:val="22"/>
              </w:rPr>
            </w:pPr>
            <w:r w:rsidRPr="006F3DE5">
              <w:rPr>
                <w:szCs w:val="22"/>
              </w:rPr>
              <w:t xml:space="preserve">Podráždění </w:t>
            </w:r>
            <w:proofErr w:type="gramStart"/>
            <w:r w:rsidRPr="006F3DE5">
              <w:rPr>
                <w:szCs w:val="22"/>
              </w:rPr>
              <w:t>žaludku</w:t>
            </w:r>
            <w:r w:rsidRPr="006F3DE5">
              <w:rPr>
                <w:szCs w:val="22"/>
                <w:vertAlign w:val="superscript"/>
              </w:rPr>
              <w:t>(</w:t>
            </w:r>
            <w:proofErr w:type="gramEnd"/>
            <w:r w:rsidRPr="006F3DE5">
              <w:rPr>
                <w:szCs w:val="22"/>
                <w:vertAlign w:val="superscript"/>
              </w:rPr>
              <w:t>1)</w:t>
            </w:r>
          </w:p>
          <w:p w14:paraId="2340ADD7" w14:textId="77777777" w:rsidR="002173D0" w:rsidRPr="006F3DE5" w:rsidRDefault="002173D0" w:rsidP="006F3DE5">
            <w:pPr>
              <w:spacing w:line="240" w:lineRule="auto"/>
              <w:rPr>
                <w:szCs w:val="22"/>
              </w:rPr>
            </w:pPr>
            <w:r w:rsidRPr="006F3DE5">
              <w:rPr>
                <w:szCs w:val="22"/>
              </w:rPr>
              <w:t>Nevolnost nebo zvracení</w:t>
            </w:r>
          </w:p>
          <w:p w14:paraId="0359C9AE" w14:textId="77777777" w:rsidR="002173D0" w:rsidRPr="006F3DE5" w:rsidRDefault="002173D0" w:rsidP="006F3DE5">
            <w:pPr>
              <w:spacing w:line="240" w:lineRule="auto"/>
              <w:rPr>
                <w:szCs w:val="22"/>
              </w:rPr>
            </w:pPr>
            <w:r w:rsidRPr="006F3DE5">
              <w:rPr>
                <w:szCs w:val="22"/>
              </w:rPr>
              <w:t>Indigesce</w:t>
            </w:r>
          </w:p>
          <w:p w14:paraId="269AD102" w14:textId="77777777" w:rsidR="002173D0" w:rsidRPr="006F3DE5" w:rsidRDefault="002173D0" w:rsidP="006F3DE5">
            <w:pPr>
              <w:spacing w:line="240" w:lineRule="auto"/>
              <w:rPr>
                <w:szCs w:val="22"/>
              </w:rPr>
            </w:pPr>
            <w:r w:rsidRPr="006F3DE5">
              <w:rPr>
                <w:szCs w:val="22"/>
              </w:rPr>
              <w:t>Průjem</w:t>
            </w:r>
          </w:p>
          <w:p w14:paraId="1C51076E" w14:textId="77777777" w:rsidR="002173D0" w:rsidRPr="006F3DE5" w:rsidRDefault="002173D0" w:rsidP="006F3DE5">
            <w:pPr>
              <w:spacing w:line="240" w:lineRule="auto"/>
              <w:rPr>
                <w:szCs w:val="22"/>
              </w:rPr>
            </w:pPr>
            <w:r w:rsidRPr="006F3DE5">
              <w:rPr>
                <w:szCs w:val="22"/>
              </w:rPr>
              <w:t xml:space="preserve">Hypersensitivní reakce včetně </w:t>
            </w:r>
            <w:proofErr w:type="spellStart"/>
            <w:proofErr w:type="gramStart"/>
            <w:r w:rsidRPr="006F3DE5">
              <w:rPr>
                <w:szCs w:val="22"/>
              </w:rPr>
              <w:t>fotosenzitivity</w:t>
            </w:r>
            <w:proofErr w:type="spellEnd"/>
            <w:r w:rsidRPr="006F3DE5">
              <w:rPr>
                <w:szCs w:val="22"/>
                <w:vertAlign w:val="superscript"/>
              </w:rPr>
              <w:t>(</w:t>
            </w:r>
            <w:proofErr w:type="gramEnd"/>
            <w:r w:rsidRPr="006F3DE5">
              <w:rPr>
                <w:szCs w:val="22"/>
                <w:vertAlign w:val="superscript"/>
              </w:rPr>
              <w:t>2)</w:t>
            </w:r>
          </w:p>
          <w:p w14:paraId="6B96C84C" w14:textId="190C0C50" w:rsidR="002173D0" w:rsidRPr="006F3DE5" w:rsidRDefault="002173D0" w:rsidP="006F3DE5">
            <w:pPr>
              <w:spacing w:line="240" w:lineRule="auto"/>
              <w:rPr>
                <w:szCs w:val="22"/>
              </w:rPr>
            </w:pPr>
            <w:r w:rsidRPr="006F3DE5">
              <w:rPr>
                <w:szCs w:val="22"/>
              </w:rPr>
              <w:t xml:space="preserve">Gastrointestinální porucha </w:t>
            </w:r>
            <w:r w:rsidR="00E265A9" w:rsidRPr="009264A3">
              <w:rPr>
                <w:szCs w:val="22"/>
              </w:rPr>
              <w:t xml:space="preserve">(blíže </w:t>
            </w:r>
            <w:proofErr w:type="gramStart"/>
            <w:r w:rsidR="00E265A9" w:rsidRPr="009264A3">
              <w:rPr>
                <w:szCs w:val="22"/>
              </w:rPr>
              <w:t>nespecifikováno)</w:t>
            </w:r>
            <w:r w:rsidRPr="006F3DE5">
              <w:rPr>
                <w:szCs w:val="22"/>
                <w:vertAlign w:val="superscript"/>
              </w:rPr>
              <w:t>(</w:t>
            </w:r>
            <w:proofErr w:type="gramEnd"/>
            <w:r w:rsidRPr="006F3DE5">
              <w:rPr>
                <w:szCs w:val="22"/>
                <w:vertAlign w:val="superscript"/>
              </w:rPr>
              <w:t>3)</w:t>
            </w:r>
          </w:p>
          <w:p w14:paraId="128EF470" w14:textId="7E410ABD" w:rsidR="002173D0" w:rsidRPr="006F3DE5" w:rsidRDefault="002173D0" w:rsidP="006F3DE5">
            <w:pPr>
              <w:spacing w:line="240" w:lineRule="auto"/>
              <w:rPr>
                <w:i/>
                <w:szCs w:val="22"/>
                <w:highlight w:val="yellow"/>
              </w:rPr>
            </w:pPr>
            <w:r w:rsidRPr="006F3DE5">
              <w:rPr>
                <w:szCs w:val="22"/>
              </w:rPr>
              <w:t>Vývojové poruchy kostí a kloubů</w:t>
            </w:r>
            <w:r w:rsidR="00E265A9" w:rsidRPr="009264A3">
              <w:rPr>
                <w:szCs w:val="22"/>
              </w:rPr>
              <w:t xml:space="preserve"> (blíže </w:t>
            </w:r>
            <w:proofErr w:type="gramStart"/>
            <w:r w:rsidR="00E265A9" w:rsidRPr="009264A3">
              <w:rPr>
                <w:szCs w:val="22"/>
              </w:rPr>
              <w:t>nespecifikováno)</w:t>
            </w:r>
            <w:r w:rsidRPr="006F3DE5">
              <w:rPr>
                <w:szCs w:val="22"/>
                <w:vertAlign w:val="superscript"/>
              </w:rPr>
              <w:t>(</w:t>
            </w:r>
            <w:proofErr w:type="gramEnd"/>
            <w:r w:rsidRPr="006F3DE5">
              <w:rPr>
                <w:szCs w:val="22"/>
                <w:vertAlign w:val="superscript"/>
              </w:rPr>
              <w:t>4)</w:t>
            </w:r>
          </w:p>
        </w:tc>
      </w:tr>
    </w:tbl>
    <w:p w14:paraId="7E3F352B" w14:textId="77777777" w:rsidR="002173D0" w:rsidRPr="006F3DE5" w:rsidRDefault="002173D0" w:rsidP="002173D0">
      <w:pPr>
        <w:rPr>
          <w:szCs w:val="22"/>
        </w:rPr>
      </w:pPr>
      <w:r w:rsidRPr="006F3DE5">
        <w:rPr>
          <w:szCs w:val="22"/>
          <w:vertAlign w:val="superscript"/>
        </w:rPr>
        <w:t xml:space="preserve">(1) </w:t>
      </w:r>
      <w:r w:rsidRPr="006F3DE5">
        <w:rPr>
          <w:szCs w:val="22"/>
        </w:rPr>
        <w:t xml:space="preserve"> Iritace žaludeční sliznice</w:t>
      </w:r>
    </w:p>
    <w:p w14:paraId="59E7A14A" w14:textId="77777777" w:rsidR="002173D0" w:rsidRPr="006F3DE5" w:rsidRDefault="002173D0" w:rsidP="002173D0">
      <w:pPr>
        <w:rPr>
          <w:szCs w:val="22"/>
        </w:rPr>
      </w:pPr>
      <w:r w:rsidRPr="006F3DE5">
        <w:rPr>
          <w:szCs w:val="22"/>
          <w:vertAlign w:val="superscript"/>
        </w:rPr>
        <w:t>(2)</w:t>
      </w:r>
      <w:r w:rsidRPr="006F3DE5">
        <w:rPr>
          <w:szCs w:val="22"/>
        </w:rPr>
        <w:t xml:space="preserve"> U citlivých jedinců </w:t>
      </w:r>
    </w:p>
    <w:p w14:paraId="262378AA" w14:textId="2045DEE9" w:rsidR="002173D0" w:rsidRPr="006F3DE5" w:rsidRDefault="002173D0" w:rsidP="002173D0">
      <w:pPr>
        <w:ind w:left="227" w:hanging="227"/>
        <w:rPr>
          <w:szCs w:val="22"/>
          <w:highlight w:val="yellow"/>
          <w:vertAlign w:val="superscript"/>
        </w:rPr>
      </w:pPr>
      <w:r w:rsidRPr="006F3DE5">
        <w:rPr>
          <w:szCs w:val="22"/>
          <w:vertAlign w:val="superscript"/>
        </w:rPr>
        <w:lastRenderedPageBreak/>
        <w:t>(3)</w:t>
      </w:r>
      <w:r w:rsidRPr="006F3DE5">
        <w:rPr>
          <w:szCs w:val="22"/>
        </w:rPr>
        <w:t xml:space="preserve"> Svým antimikrobním působením v gastrointestinálním traktu mohou vyvolat superinfekci </w:t>
      </w:r>
      <w:r w:rsidR="009264A3" w:rsidRPr="009264A3">
        <w:rPr>
          <w:szCs w:val="22"/>
        </w:rPr>
        <w:t>mikroorganismy</w:t>
      </w:r>
      <w:r w:rsidRPr="006F3DE5">
        <w:rPr>
          <w:szCs w:val="22"/>
        </w:rPr>
        <w:t>, které nejsou k tetracyklinům citlivé</w:t>
      </w:r>
      <w:r w:rsidRPr="006F3DE5">
        <w:rPr>
          <w:szCs w:val="22"/>
          <w:highlight w:val="yellow"/>
          <w:vertAlign w:val="superscript"/>
        </w:rPr>
        <w:t xml:space="preserve"> </w:t>
      </w:r>
    </w:p>
    <w:p w14:paraId="39D8D0FF" w14:textId="1B6D7653" w:rsidR="002173D0" w:rsidRPr="006F3DE5" w:rsidRDefault="002173D0" w:rsidP="002173D0">
      <w:pPr>
        <w:ind w:left="227" w:hanging="227"/>
        <w:rPr>
          <w:szCs w:val="22"/>
        </w:rPr>
      </w:pPr>
      <w:r w:rsidRPr="006F3DE5">
        <w:rPr>
          <w:szCs w:val="22"/>
          <w:vertAlign w:val="superscript"/>
        </w:rPr>
        <w:t>(4)</w:t>
      </w:r>
      <w:r w:rsidRPr="006F3DE5">
        <w:rPr>
          <w:szCs w:val="22"/>
        </w:rPr>
        <w:t xml:space="preserve"> Vzhledem k vlastnosti tetracyklinů vázat kalcium, může podávání </w:t>
      </w:r>
      <w:r w:rsidR="003806A2" w:rsidRPr="009264A3">
        <w:rPr>
          <w:szCs w:val="22"/>
        </w:rPr>
        <w:t xml:space="preserve">veterinárního léčivého </w:t>
      </w:r>
      <w:r w:rsidRPr="006F3DE5">
        <w:rPr>
          <w:szCs w:val="22"/>
        </w:rPr>
        <w:t>přípravku v první polovině gravidity vést k poruchám vývoje skeletu u plodu.</w:t>
      </w:r>
    </w:p>
    <w:p w14:paraId="5B43314E" w14:textId="77777777" w:rsidR="0036298B" w:rsidRPr="006F3DE5" w:rsidRDefault="0036298B" w:rsidP="0036298B">
      <w:pPr>
        <w:pStyle w:val="Zkladntext"/>
        <w:rPr>
          <w:szCs w:val="22"/>
        </w:rPr>
      </w:pPr>
      <w:bookmarkStart w:id="21" w:name="_Hlk66891708"/>
      <w:bookmarkEnd w:id="20"/>
    </w:p>
    <w:p w14:paraId="3DD32652" w14:textId="33855A00" w:rsidR="00247A48" w:rsidRPr="006F3DE5" w:rsidRDefault="002173D0" w:rsidP="004544B6">
      <w:pPr>
        <w:jc w:val="both"/>
        <w:rPr>
          <w:szCs w:val="22"/>
        </w:rPr>
      </w:pPr>
      <w:r w:rsidRPr="006F3DE5">
        <w:rPr>
          <w:szCs w:val="22"/>
        </w:rPr>
        <w:t>Hlášení nežádoucích účinků je důležité. Umožňuje nepřetržité sledování bezpečnosti veterinárního léčivého přípravku. Hlášení je třeba zaslat</w:t>
      </w:r>
      <w:r w:rsidR="005272F4" w:rsidRPr="006F3DE5">
        <w:rPr>
          <w:szCs w:val="22"/>
        </w:rPr>
        <w:t>,</w:t>
      </w:r>
      <w:r w:rsidRPr="006F3DE5">
        <w:rPr>
          <w:szCs w:val="22"/>
        </w:rPr>
        <w:t xml:space="preserve"> pokud možno</w:t>
      </w:r>
      <w:r w:rsidR="005272F4" w:rsidRPr="006F3DE5">
        <w:rPr>
          <w:szCs w:val="22"/>
        </w:rPr>
        <w:t>,</w:t>
      </w:r>
      <w:r w:rsidRPr="006F3DE5">
        <w:rPr>
          <w:szCs w:val="22"/>
        </w:rPr>
        <w:t xml:space="preserve"> prostřednictvím veterinárního lékaře</w:t>
      </w:r>
      <w:r w:rsidR="00562715" w:rsidRPr="006F3DE5">
        <w:rPr>
          <w:szCs w:val="22"/>
        </w:rPr>
        <w:t>,</w:t>
      </w:r>
      <w:r w:rsidRPr="006F3DE5">
        <w:rPr>
          <w:szCs w:val="22"/>
        </w:rPr>
        <w:t xml:space="preserve"> buď držiteli rozhodnutí o registraci</w:t>
      </w:r>
      <w:r w:rsidR="00E265A9" w:rsidRPr="006F3DE5">
        <w:rPr>
          <w:szCs w:val="22"/>
        </w:rPr>
        <w:t>,</w:t>
      </w:r>
      <w:r w:rsidRPr="006F3DE5">
        <w:rPr>
          <w:szCs w:val="22"/>
        </w:rPr>
        <w:t xml:space="preserve"> nebo </w:t>
      </w:r>
      <w:r w:rsidR="00E265A9" w:rsidRPr="006F3DE5">
        <w:rPr>
          <w:szCs w:val="22"/>
        </w:rPr>
        <w:t xml:space="preserve">jeho místnímu zástupci, nebo </w:t>
      </w:r>
      <w:r w:rsidRPr="006F3DE5">
        <w:rPr>
          <w:szCs w:val="22"/>
        </w:rPr>
        <w:t xml:space="preserve">příslušnému vnitrostátnímu orgánu prostřednictvím národního systému hlášení. Podrobné kontaktní údaje naleznete </w:t>
      </w:r>
      <w:r w:rsidR="0051274E" w:rsidRPr="006F3DE5">
        <w:rPr>
          <w:szCs w:val="22"/>
        </w:rPr>
        <w:t xml:space="preserve">na </w:t>
      </w:r>
      <w:r w:rsidR="008B3DAA" w:rsidRPr="006F3DE5">
        <w:rPr>
          <w:szCs w:val="22"/>
        </w:rPr>
        <w:t>etiketě</w:t>
      </w:r>
      <w:r w:rsidRPr="006F3DE5">
        <w:rPr>
          <w:szCs w:val="22"/>
        </w:rPr>
        <w:t>.</w:t>
      </w:r>
    </w:p>
    <w:p w14:paraId="772CD533" w14:textId="77777777" w:rsidR="00C114FF" w:rsidRPr="006F3DE5" w:rsidRDefault="002173D0" w:rsidP="00231D97">
      <w:pPr>
        <w:pStyle w:val="Nadpis1"/>
        <w:rPr>
          <w:sz w:val="22"/>
          <w:szCs w:val="22"/>
        </w:rPr>
      </w:pPr>
      <w:bookmarkStart w:id="22" w:name="_Toc215117336"/>
      <w:bookmarkEnd w:id="21"/>
      <w:r w:rsidRPr="006F3DE5">
        <w:rPr>
          <w:caps w:val="0"/>
          <w:sz w:val="22"/>
          <w:szCs w:val="22"/>
        </w:rPr>
        <w:t>3.7</w:t>
      </w:r>
      <w:r w:rsidRPr="006F3DE5">
        <w:rPr>
          <w:caps w:val="0"/>
          <w:sz w:val="22"/>
          <w:szCs w:val="22"/>
        </w:rPr>
        <w:tab/>
        <w:t>Použití v průběhu březosti, laktace nebo snášky</w:t>
      </w:r>
      <w:bookmarkEnd w:id="22"/>
    </w:p>
    <w:p w14:paraId="03757B9F" w14:textId="77777777" w:rsidR="004B2901" w:rsidRPr="006F3DE5" w:rsidRDefault="004B2901" w:rsidP="004B2901">
      <w:pPr>
        <w:jc w:val="both"/>
        <w:rPr>
          <w:bCs/>
          <w:szCs w:val="22"/>
          <w:u w:val="single"/>
        </w:rPr>
      </w:pPr>
      <w:r w:rsidRPr="006F3DE5">
        <w:rPr>
          <w:bCs/>
          <w:szCs w:val="22"/>
          <w:u w:val="single"/>
        </w:rPr>
        <w:t>Březost a laktace:</w:t>
      </w:r>
    </w:p>
    <w:p w14:paraId="4D143BC8" w14:textId="0011E0E4" w:rsidR="004B2901" w:rsidRPr="006F3DE5" w:rsidRDefault="004B2901" w:rsidP="004B2901">
      <w:pPr>
        <w:jc w:val="both"/>
        <w:rPr>
          <w:bCs/>
          <w:szCs w:val="22"/>
        </w:rPr>
      </w:pPr>
      <w:r w:rsidRPr="006F3DE5">
        <w:rPr>
          <w:bCs/>
          <w:szCs w:val="22"/>
        </w:rPr>
        <w:t>Laboratorní studie nepodaly důkaz o teratogenním</w:t>
      </w:r>
      <w:r w:rsidR="00025BA6" w:rsidRPr="006F3DE5">
        <w:rPr>
          <w:bCs/>
          <w:szCs w:val="22"/>
        </w:rPr>
        <w:t xml:space="preserve"> či </w:t>
      </w:r>
      <w:proofErr w:type="spellStart"/>
      <w:r w:rsidRPr="006F3DE5">
        <w:rPr>
          <w:bCs/>
          <w:szCs w:val="22"/>
        </w:rPr>
        <w:t>fetotoxickém</w:t>
      </w:r>
      <w:proofErr w:type="spellEnd"/>
      <w:r w:rsidRPr="006F3DE5">
        <w:rPr>
          <w:bCs/>
          <w:szCs w:val="22"/>
        </w:rPr>
        <w:t xml:space="preserve"> účinku</w:t>
      </w:r>
      <w:r w:rsidR="00BF4E83" w:rsidRPr="006F3DE5">
        <w:rPr>
          <w:bCs/>
          <w:szCs w:val="22"/>
        </w:rPr>
        <w:t>,</w:t>
      </w:r>
      <w:r w:rsidR="009C3E35" w:rsidRPr="006F3DE5">
        <w:rPr>
          <w:bCs/>
          <w:szCs w:val="22"/>
        </w:rPr>
        <w:t xml:space="preserve"> a</w:t>
      </w:r>
      <w:r w:rsidR="001F6602" w:rsidRPr="006F3DE5">
        <w:rPr>
          <w:bCs/>
          <w:szCs w:val="22"/>
        </w:rPr>
        <w:t>ni</w:t>
      </w:r>
      <w:r w:rsidR="009C3E35" w:rsidRPr="006F3DE5">
        <w:rPr>
          <w:bCs/>
          <w:szCs w:val="22"/>
        </w:rPr>
        <w:t xml:space="preserve"> </w:t>
      </w:r>
      <w:proofErr w:type="spellStart"/>
      <w:r w:rsidRPr="006F3DE5">
        <w:rPr>
          <w:bCs/>
          <w:szCs w:val="22"/>
        </w:rPr>
        <w:t>maternální</w:t>
      </w:r>
      <w:proofErr w:type="spellEnd"/>
      <w:r w:rsidRPr="006F3DE5">
        <w:rPr>
          <w:bCs/>
          <w:szCs w:val="22"/>
        </w:rPr>
        <w:t xml:space="preserve"> toxicitě.</w:t>
      </w:r>
    </w:p>
    <w:p w14:paraId="1C464A44" w14:textId="48ED3AA2" w:rsidR="004B2901" w:rsidRPr="006F3DE5" w:rsidRDefault="004B2901" w:rsidP="004B2901">
      <w:pPr>
        <w:pStyle w:val="Zkladntextodsazen3"/>
        <w:ind w:left="0" w:firstLine="0"/>
        <w:jc w:val="both"/>
        <w:rPr>
          <w:bCs/>
          <w:szCs w:val="22"/>
        </w:rPr>
      </w:pPr>
      <w:r w:rsidRPr="006F3DE5">
        <w:rPr>
          <w:bCs/>
          <w:szCs w:val="22"/>
        </w:rPr>
        <w:t xml:space="preserve">U březích a </w:t>
      </w:r>
      <w:proofErr w:type="spellStart"/>
      <w:r w:rsidRPr="006F3DE5">
        <w:rPr>
          <w:bCs/>
          <w:szCs w:val="22"/>
        </w:rPr>
        <w:t>laktujících</w:t>
      </w:r>
      <w:proofErr w:type="spellEnd"/>
      <w:r w:rsidRPr="006F3DE5">
        <w:rPr>
          <w:bCs/>
          <w:szCs w:val="22"/>
        </w:rPr>
        <w:t xml:space="preserve"> zvířat lze podávat jen se zvýšenou </w:t>
      </w:r>
      <w:r w:rsidR="001F6602" w:rsidRPr="009264A3">
        <w:rPr>
          <w:bCs/>
          <w:szCs w:val="22"/>
        </w:rPr>
        <w:t>obezřetností</w:t>
      </w:r>
      <w:r w:rsidRPr="006F3DE5">
        <w:rPr>
          <w:bCs/>
          <w:szCs w:val="22"/>
        </w:rPr>
        <w:t>. Použít pouze po zvážení terapeutického prospěchu a rizika příslušným veterinárním lékařem.</w:t>
      </w:r>
    </w:p>
    <w:p w14:paraId="4F9BC7AD" w14:textId="77777777" w:rsidR="004B2901" w:rsidRPr="006F3DE5" w:rsidRDefault="004B2901" w:rsidP="004B2901">
      <w:pPr>
        <w:pStyle w:val="Zkladntextodsazen3"/>
        <w:ind w:left="0" w:firstLine="0"/>
        <w:jc w:val="both"/>
        <w:rPr>
          <w:bCs/>
          <w:szCs w:val="22"/>
          <w:u w:val="single"/>
        </w:rPr>
      </w:pPr>
    </w:p>
    <w:p w14:paraId="264821CC" w14:textId="77777777" w:rsidR="004B2901" w:rsidRPr="006F3DE5" w:rsidRDefault="004B2901" w:rsidP="004B2901">
      <w:pPr>
        <w:pStyle w:val="Zkladntextodsazen3"/>
        <w:ind w:left="0" w:firstLine="0"/>
        <w:jc w:val="both"/>
        <w:rPr>
          <w:bCs/>
          <w:szCs w:val="22"/>
          <w:u w:val="single"/>
        </w:rPr>
      </w:pPr>
      <w:r w:rsidRPr="006F3DE5">
        <w:rPr>
          <w:bCs/>
          <w:szCs w:val="22"/>
          <w:u w:val="single"/>
        </w:rPr>
        <w:t>Nosnice:</w:t>
      </w:r>
    </w:p>
    <w:p w14:paraId="384562CE" w14:textId="4FEF2E58" w:rsidR="004B2901" w:rsidRPr="006F3DE5" w:rsidRDefault="00216E96" w:rsidP="004B2901">
      <w:pPr>
        <w:pStyle w:val="Zkladntextodsazen3"/>
        <w:ind w:left="0" w:firstLine="0"/>
        <w:jc w:val="both"/>
        <w:rPr>
          <w:bCs/>
          <w:szCs w:val="22"/>
        </w:rPr>
      </w:pPr>
      <w:bookmarkStart w:id="23" w:name="_Hlk228452768"/>
      <w:r w:rsidRPr="009264A3">
        <w:rPr>
          <w:bCs/>
          <w:szCs w:val="22"/>
        </w:rPr>
        <w:t>Nepoužívat u ptáků snášejících nebo určených ke snášce vajec pro lidskou spotřebu</w:t>
      </w:r>
      <w:r w:rsidR="004B2901" w:rsidRPr="006F3DE5">
        <w:rPr>
          <w:bCs/>
          <w:szCs w:val="22"/>
        </w:rPr>
        <w:t>.</w:t>
      </w:r>
    </w:p>
    <w:p w14:paraId="5C5C1959" w14:textId="77777777" w:rsidR="00C114FF" w:rsidRPr="006F3DE5" w:rsidRDefault="002173D0" w:rsidP="00231D97">
      <w:pPr>
        <w:pStyle w:val="Nadpis1"/>
        <w:rPr>
          <w:sz w:val="22"/>
          <w:szCs w:val="22"/>
        </w:rPr>
      </w:pPr>
      <w:bookmarkStart w:id="24" w:name="_Toc215117337"/>
      <w:bookmarkEnd w:id="23"/>
      <w:r w:rsidRPr="006F3DE5">
        <w:rPr>
          <w:caps w:val="0"/>
          <w:sz w:val="22"/>
          <w:szCs w:val="22"/>
        </w:rPr>
        <w:t>3.8</w:t>
      </w:r>
      <w:r w:rsidRPr="006F3DE5">
        <w:rPr>
          <w:caps w:val="0"/>
          <w:sz w:val="22"/>
          <w:szCs w:val="22"/>
        </w:rPr>
        <w:tab/>
        <w:t>Interakce s jinými léčivými přípravky a další formy interakce</w:t>
      </w:r>
      <w:bookmarkEnd w:id="24"/>
    </w:p>
    <w:p w14:paraId="2BE8C0BA" w14:textId="683AB352" w:rsidR="004B2901" w:rsidRPr="006F3DE5" w:rsidRDefault="004B29BE" w:rsidP="00ED3AF5">
      <w:pPr>
        <w:spacing w:after="120"/>
        <w:jc w:val="both"/>
        <w:rPr>
          <w:szCs w:val="22"/>
        </w:rPr>
      </w:pPr>
      <w:bookmarkStart w:id="25" w:name="_Hlk228452798"/>
      <w:r w:rsidRPr="009264A3">
        <w:rPr>
          <w:szCs w:val="22"/>
        </w:rPr>
        <w:t>Souběžné podání s vícemocnými kationty může snížit absorpci chlortetracyklinu. Absorpce chlortetracyklinu může být snížena zejména při vysokém obsahu vápníku, železa, hořčíku nebo hliníku v krmivu</w:t>
      </w:r>
      <w:r w:rsidR="004B2901" w:rsidRPr="006F3DE5">
        <w:rPr>
          <w:szCs w:val="22"/>
        </w:rPr>
        <w:t>.</w:t>
      </w:r>
      <w:bookmarkEnd w:id="25"/>
    </w:p>
    <w:p w14:paraId="1B366A0D" w14:textId="77777777" w:rsidR="004B2901" w:rsidRPr="006F3DE5" w:rsidRDefault="004B2901" w:rsidP="00ED3AF5">
      <w:pPr>
        <w:spacing w:after="120"/>
        <w:jc w:val="both"/>
        <w:rPr>
          <w:szCs w:val="22"/>
        </w:rPr>
      </w:pPr>
      <w:r w:rsidRPr="006F3DE5">
        <w:rPr>
          <w:szCs w:val="22"/>
        </w:rPr>
        <w:t>Nepodávat současně s </w:t>
      </w:r>
      <w:proofErr w:type="spellStart"/>
      <w:r w:rsidRPr="006F3DE5">
        <w:rPr>
          <w:szCs w:val="22"/>
        </w:rPr>
        <w:t>úzkospektrými</w:t>
      </w:r>
      <w:proofErr w:type="spellEnd"/>
      <w:r w:rsidRPr="006F3DE5">
        <w:rPr>
          <w:szCs w:val="22"/>
        </w:rPr>
        <w:t xml:space="preserve"> a/nebo baktericidními antibiotiky (např. s amoxicilinem a dalšími beta-</w:t>
      </w:r>
      <w:proofErr w:type="spellStart"/>
      <w:r w:rsidRPr="006F3DE5">
        <w:rPr>
          <w:szCs w:val="22"/>
        </w:rPr>
        <w:t>laktamovými</w:t>
      </w:r>
      <w:proofErr w:type="spellEnd"/>
      <w:r w:rsidRPr="006F3DE5">
        <w:rPr>
          <w:szCs w:val="22"/>
        </w:rPr>
        <w:t xml:space="preserve"> antibiotiky či aminoglykosidy). </w:t>
      </w:r>
    </w:p>
    <w:p w14:paraId="118F3D55" w14:textId="45648582" w:rsidR="004B2901" w:rsidRPr="006F3DE5" w:rsidRDefault="004B2901" w:rsidP="00ED3AF5">
      <w:pPr>
        <w:spacing w:after="120"/>
        <w:jc w:val="both"/>
        <w:rPr>
          <w:b/>
          <w:bCs/>
          <w:szCs w:val="22"/>
        </w:rPr>
      </w:pPr>
      <w:r w:rsidRPr="006F3DE5">
        <w:rPr>
          <w:szCs w:val="22"/>
        </w:rPr>
        <w:t xml:space="preserve">Je známo potencování účinku </w:t>
      </w:r>
      <w:r w:rsidR="001C0509" w:rsidRPr="006F3DE5">
        <w:rPr>
          <w:szCs w:val="22"/>
        </w:rPr>
        <w:t xml:space="preserve">při současném podání s </w:t>
      </w:r>
      <w:proofErr w:type="spellStart"/>
      <w:r w:rsidRPr="006F3DE5">
        <w:rPr>
          <w:szCs w:val="22"/>
        </w:rPr>
        <w:t>tiamulinem</w:t>
      </w:r>
      <w:proofErr w:type="spellEnd"/>
      <w:r w:rsidRPr="006F3DE5">
        <w:rPr>
          <w:szCs w:val="22"/>
        </w:rPr>
        <w:t xml:space="preserve"> a </w:t>
      </w:r>
      <w:proofErr w:type="spellStart"/>
      <w:r w:rsidRPr="006F3DE5">
        <w:rPr>
          <w:szCs w:val="22"/>
        </w:rPr>
        <w:t>valnemulinem</w:t>
      </w:r>
      <w:proofErr w:type="spellEnd"/>
      <w:r w:rsidRPr="006F3DE5">
        <w:rPr>
          <w:szCs w:val="22"/>
        </w:rPr>
        <w:t>.</w:t>
      </w:r>
    </w:p>
    <w:p w14:paraId="533DFD79" w14:textId="77777777" w:rsidR="00C114FF" w:rsidRPr="006F3DE5" w:rsidRDefault="002173D0" w:rsidP="00231D97">
      <w:pPr>
        <w:pStyle w:val="Nadpis1"/>
        <w:rPr>
          <w:sz w:val="22"/>
          <w:szCs w:val="22"/>
        </w:rPr>
      </w:pPr>
      <w:bookmarkStart w:id="26" w:name="_Toc215117338"/>
      <w:r w:rsidRPr="006F3DE5">
        <w:rPr>
          <w:caps w:val="0"/>
          <w:sz w:val="22"/>
          <w:szCs w:val="22"/>
        </w:rPr>
        <w:t>3.9</w:t>
      </w:r>
      <w:r w:rsidRPr="006F3DE5">
        <w:rPr>
          <w:caps w:val="0"/>
          <w:sz w:val="22"/>
          <w:szCs w:val="22"/>
        </w:rPr>
        <w:tab/>
        <w:t>Cesty podání a dávkování</w:t>
      </w:r>
      <w:bookmarkEnd w:id="26"/>
    </w:p>
    <w:p w14:paraId="3CBCD7BB" w14:textId="47BED9FB" w:rsidR="004B2901" w:rsidRPr="006F3DE5" w:rsidRDefault="00406BDA" w:rsidP="004B2901">
      <w:pPr>
        <w:jc w:val="both"/>
        <w:rPr>
          <w:rStyle w:val="Zdraznnintenzivn"/>
          <w:b w:val="0"/>
          <w:bCs w:val="0"/>
          <w:i w:val="0"/>
          <w:iCs w:val="0"/>
          <w:color w:val="auto"/>
          <w:szCs w:val="22"/>
        </w:rPr>
      </w:pPr>
      <w:r w:rsidRPr="006F3DE5">
        <w:rPr>
          <w:rStyle w:val="Zdraznnintenzivn"/>
          <w:b w:val="0"/>
          <w:bCs w:val="0"/>
          <w:i w:val="0"/>
          <w:iCs w:val="0"/>
          <w:color w:val="auto"/>
          <w:szCs w:val="22"/>
        </w:rPr>
        <w:t>P</w:t>
      </w:r>
      <w:r w:rsidR="00743AC9" w:rsidRPr="006F3DE5">
        <w:rPr>
          <w:rStyle w:val="Zdraznnintenzivn"/>
          <w:b w:val="0"/>
          <w:bCs w:val="0"/>
          <w:i w:val="0"/>
          <w:iCs w:val="0"/>
          <w:color w:val="auto"/>
          <w:szCs w:val="22"/>
        </w:rPr>
        <w:t>odání</w:t>
      </w:r>
      <w:r w:rsidR="00025BA6" w:rsidRPr="009264A3">
        <w:t xml:space="preserve"> </w:t>
      </w:r>
      <w:r w:rsidR="00025BA6" w:rsidRPr="006F3DE5">
        <w:rPr>
          <w:rStyle w:val="Zdraznnintenzivn"/>
          <w:b w:val="0"/>
          <w:bCs w:val="0"/>
          <w:i w:val="0"/>
          <w:iCs w:val="0"/>
          <w:color w:val="auto"/>
          <w:szCs w:val="22"/>
        </w:rPr>
        <w:t>v krmivu.</w:t>
      </w:r>
    </w:p>
    <w:p w14:paraId="0BC239B4" w14:textId="77777777" w:rsidR="00743AC9" w:rsidRPr="006F3DE5" w:rsidRDefault="00743AC9" w:rsidP="004B2901">
      <w:pPr>
        <w:jc w:val="both"/>
        <w:rPr>
          <w:rStyle w:val="Zdraznnintenzivn"/>
          <w:b w:val="0"/>
          <w:bCs w:val="0"/>
          <w:i w:val="0"/>
          <w:iCs w:val="0"/>
          <w:color w:val="auto"/>
          <w:szCs w:val="22"/>
        </w:rPr>
      </w:pPr>
    </w:p>
    <w:p w14:paraId="33ACF41B" w14:textId="20481BD9" w:rsidR="004B2901" w:rsidRPr="006F3DE5" w:rsidRDefault="004B2901" w:rsidP="004B2901">
      <w:pPr>
        <w:pStyle w:val="Zkladntext"/>
        <w:rPr>
          <w:szCs w:val="22"/>
        </w:rPr>
      </w:pPr>
      <w:r w:rsidRPr="006F3DE5">
        <w:rPr>
          <w:szCs w:val="22"/>
          <w:u w:val="single"/>
        </w:rPr>
        <w:t xml:space="preserve">Prasata a </w:t>
      </w:r>
      <w:r w:rsidR="00CF0840" w:rsidRPr="006F3DE5">
        <w:rPr>
          <w:szCs w:val="22"/>
          <w:u w:val="single"/>
        </w:rPr>
        <w:t>kur domácí (brojleři)</w:t>
      </w:r>
      <w:r w:rsidRPr="006F3DE5">
        <w:rPr>
          <w:szCs w:val="22"/>
          <w:u w:val="single"/>
        </w:rPr>
        <w:t>:</w:t>
      </w:r>
      <w:r w:rsidRPr="006F3DE5">
        <w:rPr>
          <w:szCs w:val="22"/>
        </w:rPr>
        <w:t xml:space="preserve"> </w:t>
      </w:r>
    </w:p>
    <w:p w14:paraId="0D1D7B1D" w14:textId="350E81F7" w:rsidR="004B2901" w:rsidRPr="006F3DE5" w:rsidRDefault="004B2901" w:rsidP="004B2901">
      <w:pPr>
        <w:pStyle w:val="Zkladntext"/>
        <w:rPr>
          <w:szCs w:val="22"/>
        </w:rPr>
      </w:pPr>
      <w:r w:rsidRPr="006F3DE5">
        <w:rPr>
          <w:szCs w:val="22"/>
        </w:rPr>
        <w:t xml:space="preserve">45 mg </w:t>
      </w:r>
      <w:proofErr w:type="spellStart"/>
      <w:r w:rsidRPr="006F3DE5">
        <w:rPr>
          <w:szCs w:val="22"/>
        </w:rPr>
        <w:t>chlortetracyclinu</w:t>
      </w:r>
      <w:proofErr w:type="spellEnd"/>
      <w:r w:rsidRPr="006F3DE5">
        <w:rPr>
          <w:szCs w:val="22"/>
        </w:rPr>
        <w:t xml:space="preserve"> </w:t>
      </w:r>
      <w:proofErr w:type="spellStart"/>
      <w:r w:rsidRPr="006F3DE5">
        <w:rPr>
          <w:szCs w:val="22"/>
        </w:rPr>
        <w:t>HCl</w:t>
      </w:r>
      <w:proofErr w:type="spellEnd"/>
      <w:r w:rsidRPr="006F3DE5">
        <w:rPr>
          <w:szCs w:val="22"/>
        </w:rPr>
        <w:t xml:space="preserve">/kg ž. hm./den, což odpovídá 0,09 g </w:t>
      </w:r>
      <w:r w:rsidR="00406BDA" w:rsidRPr="006F3DE5">
        <w:rPr>
          <w:szCs w:val="22"/>
        </w:rPr>
        <w:t xml:space="preserve">veterinárního léčivého </w:t>
      </w:r>
      <w:r w:rsidRPr="006F3DE5">
        <w:rPr>
          <w:szCs w:val="22"/>
        </w:rPr>
        <w:t xml:space="preserve">přípravku/kg ž. hm./den. </w:t>
      </w:r>
    </w:p>
    <w:p w14:paraId="3F08D011" w14:textId="0961152C" w:rsidR="004B2901" w:rsidRPr="006F3DE5" w:rsidRDefault="001C0509" w:rsidP="004B2901">
      <w:pPr>
        <w:rPr>
          <w:szCs w:val="22"/>
        </w:rPr>
      </w:pPr>
      <w:r w:rsidRPr="006F3DE5">
        <w:rPr>
          <w:szCs w:val="22"/>
        </w:rPr>
        <w:t>P</w:t>
      </w:r>
      <w:r w:rsidR="004B2901" w:rsidRPr="006F3DE5">
        <w:rPr>
          <w:szCs w:val="22"/>
        </w:rPr>
        <w:t>odávat po dobu 5–7 po sobě jdoucích dnů.</w:t>
      </w:r>
    </w:p>
    <w:p w14:paraId="5022EF6C" w14:textId="77777777" w:rsidR="004B2901" w:rsidRPr="006F3DE5" w:rsidRDefault="004B2901" w:rsidP="004B2901">
      <w:pPr>
        <w:jc w:val="both"/>
        <w:rPr>
          <w:rStyle w:val="Zdraznnintenzivn"/>
          <w:b w:val="0"/>
          <w:bCs w:val="0"/>
          <w:i w:val="0"/>
          <w:iCs w:val="0"/>
          <w:color w:val="auto"/>
          <w:szCs w:val="22"/>
        </w:rPr>
      </w:pPr>
    </w:p>
    <w:p w14:paraId="6747D481" w14:textId="053C22AE" w:rsidR="004B2901" w:rsidRPr="006F3DE5" w:rsidRDefault="00743AC9" w:rsidP="004B2901">
      <w:pPr>
        <w:jc w:val="both"/>
        <w:rPr>
          <w:rStyle w:val="Zdraznnintenzivn"/>
          <w:b w:val="0"/>
          <w:bCs w:val="0"/>
          <w:i w:val="0"/>
          <w:iCs w:val="0"/>
          <w:strike/>
          <w:color w:val="auto"/>
          <w:szCs w:val="22"/>
        </w:rPr>
      </w:pPr>
      <w:bookmarkStart w:id="27" w:name="_Hlk221786292"/>
      <w:bookmarkStart w:id="28" w:name="_Hlk197077374"/>
      <w:r w:rsidRPr="006F3DE5">
        <w:rPr>
          <w:szCs w:val="22"/>
        </w:rPr>
        <w:t xml:space="preserve">Na základě doporučené dávky a počtu a hmotnosti zvířat, která je třeba </w:t>
      </w:r>
      <w:r w:rsidR="00CF0840" w:rsidRPr="006F3DE5">
        <w:rPr>
          <w:szCs w:val="22"/>
        </w:rPr>
        <w:t>léči</w:t>
      </w:r>
      <w:r w:rsidRPr="006F3DE5">
        <w:rPr>
          <w:szCs w:val="22"/>
        </w:rPr>
        <w:t>t, se přesná denní koncentrace veterinárního léčivého přípravku vypočítá podle následujícího vzorce</w:t>
      </w:r>
      <w:bookmarkEnd w:id="27"/>
      <w:r w:rsidRPr="006F3DE5">
        <w:rPr>
          <w:szCs w:val="22"/>
        </w:rPr>
        <w:t>:</w:t>
      </w:r>
    </w:p>
    <w:bookmarkEnd w:id="28"/>
    <w:p w14:paraId="49B043A3" w14:textId="77777777" w:rsidR="004B2901" w:rsidRPr="006F3DE5" w:rsidRDefault="004B2901" w:rsidP="004B2901">
      <w:pPr>
        <w:jc w:val="both"/>
        <w:rPr>
          <w:rStyle w:val="Zdraznnintenzivn"/>
          <w:b w:val="0"/>
          <w:bCs w:val="0"/>
          <w:i w:val="0"/>
          <w:iCs w:val="0"/>
          <w:color w:val="auto"/>
          <w:szCs w:val="22"/>
        </w:rPr>
      </w:pPr>
    </w:p>
    <w:tbl>
      <w:tblPr>
        <w:tblW w:w="87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6"/>
        <w:gridCol w:w="283"/>
        <w:gridCol w:w="2833"/>
        <w:gridCol w:w="288"/>
        <w:gridCol w:w="3118"/>
      </w:tblGrid>
      <w:tr w:rsidR="003863E6" w:rsidRPr="009264A3" w14:paraId="48D4FFD2" w14:textId="77777777" w:rsidTr="00ED3AF5">
        <w:trPr>
          <w:cantSplit/>
          <w:trHeight w:val="466"/>
        </w:trPr>
        <w:tc>
          <w:tcPr>
            <w:tcW w:w="2266" w:type="dxa"/>
            <w:tcBorders>
              <w:bottom w:val="single" w:sz="4" w:space="0" w:color="auto"/>
            </w:tcBorders>
            <w:vAlign w:val="center"/>
            <w:hideMark/>
          </w:tcPr>
          <w:p w14:paraId="0A1F97D7" w14:textId="6E3A295C" w:rsidR="003B38A3" w:rsidRPr="006F3DE5" w:rsidRDefault="003B38A3" w:rsidP="00ED3AF5">
            <w:pPr>
              <w:tabs>
                <w:tab w:val="clear" w:pos="567"/>
              </w:tabs>
              <w:jc w:val="center"/>
              <w:rPr>
                <w:rFonts w:eastAsia="SimSun"/>
                <w:szCs w:val="22"/>
                <w:lang w:eastAsia="zh-CN"/>
              </w:rPr>
            </w:pPr>
            <w:r w:rsidRPr="006F3DE5">
              <w:rPr>
                <w:rFonts w:eastAsia="SimSun"/>
                <w:szCs w:val="22"/>
                <w:lang w:eastAsia="zh-CN"/>
              </w:rPr>
              <w:t>0,09 g přípravku/</w:t>
            </w:r>
          </w:p>
          <w:p w14:paraId="7910BB7D" w14:textId="77777777" w:rsidR="003B38A3" w:rsidRPr="006F3DE5" w:rsidRDefault="003B38A3" w:rsidP="00ED3AF5">
            <w:pPr>
              <w:tabs>
                <w:tab w:val="clear" w:pos="567"/>
              </w:tabs>
              <w:jc w:val="center"/>
              <w:rPr>
                <w:rFonts w:eastAsia="SimSun"/>
                <w:szCs w:val="22"/>
                <w:lang w:eastAsia="zh-CN"/>
              </w:rPr>
            </w:pPr>
            <w:r w:rsidRPr="006F3DE5">
              <w:rPr>
                <w:rFonts w:eastAsia="SimSun"/>
                <w:szCs w:val="22"/>
                <w:lang w:eastAsia="zh-CN"/>
              </w:rPr>
              <w:t>kg živé hmotnosti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  <w:hideMark/>
          </w:tcPr>
          <w:p w14:paraId="11F5A6F2" w14:textId="02B2EAC5" w:rsidR="003B38A3" w:rsidRPr="006F3DE5" w:rsidRDefault="003B38A3" w:rsidP="00ED3AF5">
            <w:pPr>
              <w:ind w:left="-76"/>
              <w:rPr>
                <w:rFonts w:eastAsia="SimSun"/>
                <w:szCs w:val="22"/>
                <w:lang w:val="en-GB" w:eastAsia="zh-CN"/>
              </w:rPr>
            </w:pPr>
            <w:r w:rsidRPr="006F3DE5">
              <w:rPr>
                <w:rFonts w:eastAsia="SimSun"/>
                <w:szCs w:val="22"/>
                <w:lang w:val="en-GB" w:eastAsia="zh-CN"/>
              </w:rPr>
              <w:t>×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vAlign w:val="center"/>
            <w:hideMark/>
          </w:tcPr>
          <w:p w14:paraId="18124132" w14:textId="2703D45F" w:rsidR="003B38A3" w:rsidRPr="006F3DE5" w:rsidRDefault="003B38A3" w:rsidP="00450FF3">
            <w:pPr>
              <w:jc w:val="center"/>
              <w:rPr>
                <w:rFonts w:eastAsia="SimSun"/>
                <w:szCs w:val="22"/>
                <w:lang w:val="en-GB" w:eastAsia="zh-CN"/>
              </w:rPr>
            </w:pPr>
            <w:proofErr w:type="spellStart"/>
            <w:r w:rsidRPr="006F3DE5">
              <w:rPr>
                <w:rFonts w:eastAsia="SimSun"/>
                <w:szCs w:val="22"/>
                <w:lang w:val="en-GB" w:eastAsia="zh-CN"/>
              </w:rPr>
              <w:t>průměrná</w:t>
            </w:r>
            <w:proofErr w:type="spellEnd"/>
            <w:r w:rsidRPr="006F3DE5">
              <w:rPr>
                <w:rFonts w:eastAsia="SimSun"/>
                <w:szCs w:val="22"/>
                <w:lang w:val="en-GB" w:eastAsia="zh-CN"/>
              </w:rPr>
              <w:t xml:space="preserve"> </w:t>
            </w:r>
            <w:proofErr w:type="spellStart"/>
            <w:r w:rsidRPr="006F3DE5">
              <w:rPr>
                <w:rFonts w:eastAsia="SimSun"/>
                <w:szCs w:val="22"/>
                <w:lang w:val="en-GB" w:eastAsia="zh-CN"/>
              </w:rPr>
              <w:t>živá</w:t>
            </w:r>
            <w:proofErr w:type="spellEnd"/>
            <w:r w:rsidRPr="006F3DE5">
              <w:rPr>
                <w:rFonts w:eastAsia="SimSun"/>
                <w:szCs w:val="22"/>
                <w:lang w:val="en-GB" w:eastAsia="zh-CN"/>
              </w:rPr>
              <w:t xml:space="preserve"> </w:t>
            </w:r>
            <w:proofErr w:type="spellStart"/>
            <w:r w:rsidRPr="006F3DE5">
              <w:rPr>
                <w:rFonts w:eastAsia="SimSun"/>
                <w:szCs w:val="22"/>
                <w:lang w:val="en-GB" w:eastAsia="zh-CN"/>
              </w:rPr>
              <w:t>hmotnost</w:t>
            </w:r>
            <w:proofErr w:type="spellEnd"/>
            <w:r w:rsidRPr="006F3DE5">
              <w:rPr>
                <w:rFonts w:eastAsia="SimSun"/>
                <w:szCs w:val="22"/>
                <w:lang w:val="en-GB" w:eastAsia="zh-CN"/>
              </w:rPr>
              <w:t xml:space="preserve"> </w:t>
            </w:r>
            <w:proofErr w:type="spellStart"/>
            <w:r w:rsidRPr="006F3DE5">
              <w:rPr>
                <w:rFonts w:eastAsia="SimSun"/>
                <w:szCs w:val="22"/>
                <w:lang w:val="en-GB" w:eastAsia="zh-CN"/>
              </w:rPr>
              <w:t>léčených</w:t>
            </w:r>
            <w:proofErr w:type="spellEnd"/>
            <w:r w:rsidRPr="006F3DE5">
              <w:rPr>
                <w:rFonts w:eastAsia="SimSun"/>
                <w:szCs w:val="22"/>
                <w:lang w:val="en-GB" w:eastAsia="zh-CN"/>
              </w:rPr>
              <w:t xml:space="preserve"> </w:t>
            </w:r>
            <w:proofErr w:type="spellStart"/>
            <w:r w:rsidRPr="006F3DE5">
              <w:rPr>
                <w:rFonts w:eastAsia="SimSun"/>
                <w:szCs w:val="22"/>
                <w:lang w:val="en-GB" w:eastAsia="zh-CN"/>
              </w:rPr>
              <w:t>zvířat</w:t>
            </w:r>
            <w:proofErr w:type="spellEnd"/>
            <w:r w:rsidRPr="006F3DE5">
              <w:rPr>
                <w:rFonts w:eastAsia="SimSun"/>
                <w:szCs w:val="22"/>
                <w:lang w:val="en-GB" w:eastAsia="zh-CN"/>
              </w:rPr>
              <w:t xml:space="preserve"> (kg)</w:t>
            </w:r>
          </w:p>
        </w:tc>
        <w:tc>
          <w:tcPr>
            <w:tcW w:w="288" w:type="dxa"/>
            <w:vMerge w:val="restart"/>
            <w:vAlign w:val="center"/>
            <w:hideMark/>
          </w:tcPr>
          <w:p w14:paraId="539CB283" w14:textId="77777777" w:rsidR="003B38A3" w:rsidRPr="006F3DE5" w:rsidRDefault="003B38A3" w:rsidP="00ED3AF5">
            <w:pPr>
              <w:autoSpaceDE w:val="0"/>
              <w:autoSpaceDN w:val="0"/>
              <w:adjustRightInd w:val="0"/>
              <w:spacing w:before="40"/>
              <w:jc w:val="both"/>
              <w:rPr>
                <w:rFonts w:eastAsia="SimSun"/>
                <w:snapToGrid w:val="0"/>
                <w:szCs w:val="22"/>
                <w:lang w:val="en-GB"/>
              </w:rPr>
            </w:pPr>
            <w:r w:rsidRPr="006F3DE5">
              <w:rPr>
                <w:rFonts w:eastAsia="SimSun"/>
                <w:snapToGrid w:val="0"/>
                <w:szCs w:val="22"/>
                <w:lang w:val="en-GB" w:eastAsia="zh-CN"/>
              </w:rPr>
              <w:t>=</w:t>
            </w:r>
          </w:p>
        </w:tc>
        <w:tc>
          <w:tcPr>
            <w:tcW w:w="3118" w:type="dxa"/>
            <w:vMerge w:val="restart"/>
            <w:vAlign w:val="center"/>
            <w:hideMark/>
          </w:tcPr>
          <w:p w14:paraId="6C7B14AC" w14:textId="16058E8B" w:rsidR="003B38A3" w:rsidRPr="006F3DE5" w:rsidRDefault="003B38A3" w:rsidP="00ED3AF5">
            <w:pPr>
              <w:spacing w:before="40"/>
              <w:rPr>
                <w:rFonts w:eastAsia="SimSun"/>
                <w:szCs w:val="22"/>
                <w:lang w:val="pl-PL" w:eastAsia="zh-CN"/>
              </w:rPr>
            </w:pPr>
            <w:r w:rsidRPr="006F3DE5">
              <w:rPr>
                <w:rFonts w:eastAsia="SimSun"/>
                <w:szCs w:val="22"/>
                <w:lang w:val="pl-PL" w:eastAsia="zh-CN"/>
              </w:rPr>
              <w:t>... kg přípravku na tunu krmiva</w:t>
            </w:r>
          </w:p>
        </w:tc>
      </w:tr>
      <w:tr w:rsidR="003B38A3" w:rsidRPr="009264A3" w14:paraId="410D7C49" w14:textId="77777777" w:rsidTr="00ED3AF5">
        <w:trPr>
          <w:cantSplit/>
          <w:trHeight w:val="296"/>
        </w:trPr>
        <w:tc>
          <w:tcPr>
            <w:tcW w:w="5382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14:paraId="2E670683" w14:textId="24E52BAF" w:rsidR="003B38A3" w:rsidRPr="006F3DE5" w:rsidRDefault="003B38A3" w:rsidP="00ED3AF5">
            <w:pPr>
              <w:spacing w:after="140" w:line="280" w:lineRule="atLeast"/>
              <w:jc w:val="center"/>
              <w:rPr>
                <w:rFonts w:eastAsia="SimSun"/>
                <w:szCs w:val="22"/>
                <w:lang w:eastAsia="zh-CN"/>
              </w:rPr>
            </w:pPr>
            <w:r w:rsidRPr="006F3DE5">
              <w:rPr>
                <w:rFonts w:eastAsia="SimSun"/>
                <w:szCs w:val="22"/>
                <w:lang w:eastAsia="zh-CN"/>
              </w:rPr>
              <w:t>průměrná denní spotřeba krmiva (kg)</w:t>
            </w:r>
            <w:r w:rsidR="006A39B9" w:rsidRPr="006F3DE5">
              <w:rPr>
                <w:rFonts w:eastAsia="SimSun"/>
                <w:szCs w:val="22"/>
                <w:lang w:eastAsia="zh-CN"/>
              </w:rPr>
              <w:t xml:space="preserve"> na zvíře</w:t>
            </w:r>
          </w:p>
        </w:tc>
        <w:tc>
          <w:tcPr>
            <w:tcW w:w="288" w:type="dxa"/>
            <w:vMerge/>
            <w:vAlign w:val="center"/>
            <w:hideMark/>
          </w:tcPr>
          <w:p w14:paraId="4171A6A8" w14:textId="77777777" w:rsidR="003B38A3" w:rsidRPr="006F3DE5" w:rsidRDefault="003B38A3" w:rsidP="00450FF3">
            <w:pPr>
              <w:jc w:val="both"/>
              <w:rPr>
                <w:rFonts w:eastAsia="SimSun"/>
                <w:snapToGrid w:val="0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14:paraId="4013576B" w14:textId="77777777" w:rsidR="003B38A3" w:rsidRPr="006F3DE5" w:rsidRDefault="003B38A3" w:rsidP="00450FF3">
            <w:pPr>
              <w:jc w:val="both"/>
              <w:rPr>
                <w:rFonts w:eastAsia="SimSun"/>
                <w:snapToGrid w:val="0"/>
                <w:szCs w:val="22"/>
              </w:rPr>
            </w:pPr>
          </w:p>
        </w:tc>
      </w:tr>
    </w:tbl>
    <w:p w14:paraId="3D65E33F" w14:textId="77777777" w:rsidR="004B2901" w:rsidRPr="006F3DE5" w:rsidRDefault="004B2901" w:rsidP="004B2901">
      <w:pPr>
        <w:jc w:val="both"/>
        <w:rPr>
          <w:szCs w:val="22"/>
        </w:rPr>
      </w:pPr>
    </w:p>
    <w:p w14:paraId="2457DF90" w14:textId="342C2C34" w:rsidR="00743AC9" w:rsidRPr="006F3DE5" w:rsidRDefault="00743AC9" w:rsidP="00ED3AF5">
      <w:pPr>
        <w:spacing w:after="120" w:line="240" w:lineRule="auto"/>
        <w:jc w:val="both"/>
        <w:rPr>
          <w:szCs w:val="22"/>
        </w:rPr>
      </w:pPr>
      <w:bookmarkStart w:id="29" w:name="_Hlk221786332"/>
      <w:bookmarkStart w:id="30" w:name="_Hlk197077310"/>
      <w:r w:rsidRPr="006F3DE5">
        <w:rPr>
          <w:szCs w:val="22"/>
        </w:rPr>
        <w:t>Pro zajištění správného dávkování je třeba co nejpřesněji stanovit živou hmotnost</w:t>
      </w:r>
      <w:bookmarkEnd w:id="29"/>
      <w:r w:rsidRPr="006F3DE5">
        <w:rPr>
          <w:szCs w:val="22"/>
        </w:rPr>
        <w:t>.</w:t>
      </w:r>
    </w:p>
    <w:p w14:paraId="4667B324" w14:textId="2615FFE6" w:rsidR="00247A48" w:rsidRPr="006F3DE5" w:rsidRDefault="00743AC9" w:rsidP="00ED3AF5">
      <w:pPr>
        <w:spacing w:after="120" w:line="240" w:lineRule="auto"/>
        <w:jc w:val="both"/>
        <w:rPr>
          <w:i/>
          <w:szCs w:val="22"/>
          <w:lang w:eastAsia="cs-CZ"/>
        </w:rPr>
      </w:pPr>
      <w:r w:rsidRPr="006F3DE5">
        <w:rPr>
          <w:szCs w:val="22"/>
        </w:rPr>
        <w:t xml:space="preserve">Příjem </w:t>
      </w:r>
      <w:proofErr w:type="spellStart"/>
      <w:r w:rsidRPr="006F3DE5">
        <w:rPr>
          <w:szCs w:val="22"/>
        </w:rPr>
        <w:t>medikovaného</w:t>
      </w:r>
      <w:proofErr w:type="spellEnd"/>
      <w:r w:rsidRPr="006F3DE5">
        <w:rPr>
          <w:szCs w:val="22"/>
        </w:rPr>
        <w:t xml:space="preserve"> krmiva závisí na klinickém stavu zvířat. </w:t>
      </w:r>
      <w:bookmarkStart w:id="31" w:name="_Hlk228796143"/>
      <w:r w:rsidRPr="006F3DE5">
        <w:rPr>
          <w:szCs w:val="22"/>
        </w:rPr>
        <w:t xml:space="preserve">Pro dosažení správného dávkování může být nutné odpovídajícím způsobem upravit koncentraci </w:t>
      </w:r>
      <w:bookmarkEnd w:id="30"/>
      <w:r w:rsidR="00EB3041" w:rsidRPr="006F3DE5">
        <w:rPr>
          <w:szCs w:val="22"/>
        </w:rPr>
        <w:t>chlortetracyklinu</w:t>
      </w:r>
      <w:bookmarkEnd w:id="31"/>
      <w:r w:rsidRPr="006F3DE5">
        <w:rPr>
          <w:szCs w:val="22"/>
        </w:rPr>
        <w:t>.</w:t>
      </w:r>
    </w:p>
    <w:p w14:paraId="0A85AF50" w14:textId="198BF553" w:rsidR="00C114FF" w:rsidRPr="006F3DE5" w:rsidRDefault="002173D0" w:rsidP="00231D97">
      <w:pPr>
        <w:pStyle w:val="Nadpis1"/>
        <w:rPr>
          <w:sz w:val="22"/>
          <w:szCs w:val="22"/>
        </w:rPr>
      </w:pPr>
      <w:bookmarkStart w:id="32" w:name="_Toc215117339"/>
      <w:r w:rsidRPr="006F3DE5">
        <w:rPr>
          <w:caps w:val="0"/>
          <w:sz w:val="22"/>
          <w:szCs w:val="22"/>
        </w:rPr>
        <w:t>3.10</w:t>
      </w:r>
      <w:r w:rsidRPr="006F3DE5">
        <w:rPr>
          <w:caps w:val="0"/>
          <w:sz w:val="22"/>
          <w:szCs w:val="22"/>
        </w:rPr>
        <w:tab/>
        <w:t xml:space="preserve">Příznaky předávkování </w:t>
      </w:r>
      <w:r w:rsidR="00EC5045" w:rsidRPr="006F3DE5">
        <w:rPr>
          <w:caps w:val="0"/>
          <w:sz w:val="22"/>
          <w:szCs w:val="22"/>
        </w:rPr>
        <w:t>(</w:t>
      </w:r>
      <w:r w:rsidRPr="006F3DE5">
        <w:rPr>
          <w:caps w:val="0"/>
          <w:sz w:val="22"/>
          <w:szCs w:val="22"/>
        </w:rPr>
        <w:t xml:space="preserve">a </w:t>
      </w:r>
      <w:r w:rsidR="00202A85" w:rsidRPr="006F3DE5">
        <w:rPr>
          <w:caps w:val="0"/>
          <w:sz w:val="22"/>
          <w:szCs w:val="22"/>
        </w:rPr>
        <w:t>kde</w:t>
      </w:r>
      <w:r w:rsidR="005E66FC" w:rsidRPr="006F3DE5">
        <w:rPr>
          <w:caps w:val="0"/>
          <w:sz w:val="22"/>
          <w:szCs w:val="22"/>
        </w:rPr>
        <w:t xml:space="preserve"> </w:t>
      </w:r>
      <w:r w:rsidR="00202A85" w:rsidRPr="006F3DE5">
        <w:rPr>
          <w:caps w:val="0"/>
          <w:sz w:val="22"/>
          <w:szCs w:val="22"/>
        </w:rPr>
        <w:t>je</w:t>
      </w:r>
      <w:r w:rsidR="005E66FC" w:rsidRPr="006F3DE5">
        <w:rPr>
          <w:caps w:val="0"/>
          <w:sz w:val="22"/>
          <w:szCs w:val="22"/>
        </w:rPr>
        <w:t xml:space="preserve"> </w:t>
      </w:r>
      <w:r w:rsidR="00FB6F2F" w:rsidRPr="006F3DE5">
        <w:rPr>
          <w:caps w:val="0"/>
          <w:sz w:val="22"/>
          <w:szCs w:val="22"/>
        </w:rPr>
        <w:t>relevantní</w:t>
      </w:r>
      <w:r w:rsidR="00202A85" w:rsidRPr="006F3DE5">
        <w:rPr>
          <w:caps w:val="0"/>
          <w:sz w:val="22"/>
          <w:szCs w:val="22"/>
        </w:rPr>
        <w:t>, první pomoc</w:t>
      </w:r>
      <w:r w:rsidRPr="006F3DE5">
        <w:rPr>
          <w:caps w:val="0"/>
          <w:sz w:val="22"/>
          <w:szCs w:val="22"/>
        </w:rPr>
        <w:t xml:space="preserve"> a </w:t>
      </w:r>
      <w:proofErr w:type="spellStart"/>
      <w:r w:rsidRPr="006F3DE5">
        <w:rPr>
          <w:caps w:val="0"/>
          <w:sz w:val="22"/>
          <w:szCs w:val="22"/>
        </w:rPr>
        <w:t>antidota</w:t>
      </w:r>
      <w:proofErr w:type="spellEnd"/>
      <w:r w:rsidR="00202A85" w:rsidRPr="006F3DE5">
        <w:rPr>
          <w:caps w:val="0"/>
          <w:sz w:val="22"/>
          <w:szCs w:val="22"/>
        </w:rPr>
        <w:t>)</w:t>
      </w:r>
      <w:bookmarkEnd w:id="32"/>
      <w:r w:rsidRPr="006F3DE5">
        <w:rPr>
          <w:caps w:val="0"/>
          <w:sz w:val="22"/>
          <w:szCs w:val="22"/>
        </w:rPr>
        <w:t xml:space="preserve"> </w:t>
      </w:r>
    </w:p>
    <w:p w14:paraId="586E0210" w14:textId="77777777" w:rsidR="00F12928" w:rsidRPr="006F3DE5" w:rsidRDefault="00C82966" w:rsidP="00ED3AF5">
      <w:pPr>
        <w:spacing w:after="120"/>
        <w:jc w:val="both"/>
        <w:rPr>
          <w:szCs w:val="22"/>
        </w:rPr>
      </w:pPr>
      <w:r w:rsidRPr="006F3DE5">
        <w:rPr>
          <w:szCs w:val="22"/>
        </w:rPr>
        <w:t xml:space="preserve">Při předávkování se může projevit tuková dystrofie ledvin. </w:t>
      </w:r>
    </w:p>
    <w:p w14:paraId="5E62D40C" w14:textId="77777777" w:rsidR="001C0509" w:rsidRPr="009264A3" w:rsidRDefault="001C0509" w:rsidP="001C0509">
      <w:pPr>
        <w:spacing w:after="120"/>
        <w:jc w:val="both"/>
        <w:rPr>
          <w:szCs w:val="22"/>
        </w:rPr>
      </w:pPr>
      <w:bookmarkStart w:id="33" w:name="_Hlk221786151"/>
      <w:r w:rsidRPr="009264A3">
        <w:rPr>
          <w:szCs w:val="22"/>
        </w:rPr>
        <w:t>U zvířat s málo pigmentovanou kůží může při expozici intenzivnímu slunečnímu záření</w:t>
      </w:r>
      <w:r w:rsidRPr="009264A3" w:rsidDel="00D159FE">
        <w:rPr>
          <w:szCs w:val="22"/>
        </w:rPr>
        <w:t xml:space="preserve"> </w:t>
      </w:r>
      <w:r w:rsidRPr="009264A3">
        <w:rPr>
          <w:szCs w:val="22"/>
        </w:rPr>
        <w:t xml:space="preserve">a v důsledku </w:t>
      </w:r>
      <w:proofErr w:type="spellStart"/>
      <w:r w:rsidRPr="009264A3">
        <w:rPr>
          <w:szCs w:val="22"/>
        </w:rPr>
        <w:t>fototoxického</w:t>
      </w:r>
      <w:proofErr w:type="spellEnd"/>
      <w:r w:rsidRPr="009264A3">
        <w:rPr>
          <w:szCs w:val="22"/>
        </w:rPr>
        <w:t xml:space="preserve"> potenciálu tetracyklinů vzniknout dermatitida. </w:t>
      </w:r>
    </w:p>
    <w:p w14:paraId="5E5FB9BF" w14:textId="73D287A3" w:rsidR="00C82966" w:rsidRPr="006F3DE5" w:rsidRDefault="001C0509" w:rsidP="00ED3AF5">
      <w:pPr>
        <w:spacing w:after="120"/>
        <w:jc w:val="both"/>
        <w:rPr>
          <w:szCs w:val="22"/>
        </w:rPr>
      </w:pPr>
      <w:r w:rsidRPr="009264A3">
        <w:rPr>
          <w:szCs w:val="22"/>
        </w:rPr>
        <w:lastRenderedPageBreak/>
        <w:t xml:space="preserve">Mohou se objevit gastrointestinální nežádoucí účinky, zejména </w:t>
      </w:r>
      <w:bookmarkEnd w:id="33"/>
      <w:r w:rsidR="00C82966" w:rsidRPr="006F3DE5">
        <w:rPr>
          <w:szCs w:val="22"/>
        </w:rPr>
        <w:t xml:space="preserve">nauzea a vomitus. </w:t>
      </w:r>
    </w:p>
    <w:p w14:paraId="23CD3206" w14:textId="294F4287" w:rsidR="009A6509" w:rsidRPr="006F3DE5" w:rsidRDefault="002173D0" w:rsidP="00231D97">
      <w:pPr>
        <w:pStyle w:val="Nadpis1"/>
        <w:tabs>
          <w:tab w:val="clear" w:pos="567"/>
        </w:tabs>
        <w:ind w:left="567" w:hanging="567"/>
        <w:rPr>
          <w:sz w:val="22"/>
          <w:szCs w:val="22"/>
        </w:rPr>
      </w:pPr>
      <w:bookmarkStart w:id="34" w:name="_Toc215117340"/>
      <w:r w:rsidRPr="006F3DE5">
        <w:rPr>
          <w:caps w:val="0"/>
          <w:sz w:val="22"/>
          <w:szCs w:val="22"/>
        </w:rPr>
        <w:t>3.11</w:t>
      </w:r>
      <w:r w:rsidRPr="006F3DE5">
        <w:rPr>
          <w:caps w:val="0"/>
          <w:sz w:val="22"/>
          <w:szCs w:val="22"/>
        </w:rPr>
        <w:tab/>
        <w:t>Zvláštní omezení pro použití a zvláštní podmínky pro použití, včetně omezení používání antimikrob</w:t>
      </w:r>
      <w:r w:rsidR="00202A85" w:rsidRPr="006F3DE5">
        <w:rPr>
          <w:caps w:val="0"/>
          <w:sz w:val="22"/>
          <w:szCs w:val="22"/>
        </w:rPr>
        <w:t>ních</w:t>
      </w:r>
      <w:r w:rsidRPr="006F3DE5">
        <w:rPr>
          <w:caps w:val="0"/>
          <w:sz w:val="22"/>
          <w:szCs w:val="22"/>
        </w:rPr>
        <w:t xml:space="preserve"> a </w:t>
      </w:r>
      <w:proofErr w:type="spellStart"/>
      <w:r w:rsidRPr="006F3DE5">
        <w:rPr>
          <w:caps w:val="0"/>
          <w:sz w:val="22"/>
          <w:szCs w:val="22"/>
        </w:rPr>
        <w:t>antiparazitárních</w:t>
      </w:r>
      <w:proofErr w:type="spellEnd"/>
      <w:r w:rsidRPr="006F3DE5">
        <w:rPr>
          <w:caps w:val="0"/>
          <w:sz w:val="22"/>
          <w:szCs w:val="22"/>
        </w:rPr>
        <w:t xml:space="preserve"> veterinárních léčivých přípravků, za účelem snížení rizika rozvoje rezistence</w:t>
      </w:r>
      <w:bookmarkEnd w:id="34"/>
    </w:p>
    <w:p w14:paraId="30D237E0" w14:textId="77777777" w:rsidR="00AC0700" w:rsidRPr="006F3DE5" w:rsidRDefault="00AC0700" w:rsidP="006F3DE5">
      <w:pPr>
        <w:tabs>
          <w:tab w:val="num" w:pos="1440"/>
        </w:tabs>
        <w:spacing w:line="240" w:lineRule="auto"/>
        <w:jc w:val="both"/>
        <w:rPr>
          <w:szCs w:val="22"/>
        </w:rPr>
      </w:pPr>
      <w:r w:rsidRPr="006F3DE5">
        <w:rPr>
          <w:szCs w:val="22"/>
        </w:rPr>
        <w:t>Nepoužívejte pro profylaxi.</w:t>
      </w:r>
    </w:p>
    <w:p w14:paraId="23AE7F4E" w14:textId="549ADB56" w:rsidR="009A6509" w:rsidRPr="006F3DE5" w:rsidRDefault="002173D0" w:rsidP="006F3DE5">
      <w:pPr>
        <w:spacing w:line="240" w:lineRule="auto"/>
        <w:rPr>
          <w:b/>
          <w:szCs w:val="22"/>
        </w:rPr>
      </w:pPr>
      <w:r w:rsidRPr="006F3DE5">
        <w:rPr>
          <w:szCs w:val="22"/>
        </w:rPr>
        <w:t xml:space="preserve">Tento veterinární léčivý přípravek je určen pro použití při přípravě </w:t>
      </w:r>
      <w:proofErr w:type="spellStart"/>
      <w:r w:rsidRPr="006F3DE5">
        <w:rPr>
          <w:szCs w:val="22"/>
        </w:rPr>
        <w:t>medikovaného</w:t>
      </w:r>
      <w:proofErr w:type="spellEnd"/>
      <w:r w:rsidRPr="006F3DE5">
        <w:rPr>
          <w:szCs w:val="22"/>
        </w:rPr>
        <w:t xml:space="preserve"> krmiva.</w:t>
      </w:r>
    </w:p>
    <w:p w14:paraId="23184928" w14:textId="77777777" w:rsidR="009A6509" w:rsidRPr="006F3DE5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6F3DE5" w:rsidRDefault="002173D0" w:rsidP="00231D97">
      <w:pPr>
        <w:pStyle w:val="Nadpis1"/>
        <w:rPr>
          <w:sz w:val="22"/>
          <w:szCs w:val="22"/>
        </w:rPr>
      </w:pPr>
      <w:bookmarkStart w:id="35" w:name="_Toc215117341"/>
      <w:r w:rsidRPr="006F3DE5">
        <w:rPr>
          <w:caps w:val="0"/>
          <w:sz w:val="22"/>
          <w:szCs w:val="22"/>
        </w:rPr>
        <w:t>3.12</w:t>
      </w:r>
      <w:r w:rsidRPr="006F3DE5">
        <w:rPr>
          <w:caps w:val="0"/>
          <w:sz w:val="22"/>
          <w:szCs w:val="22"/>
        </w:rPr>
        <w:tab/>
        <w:t>Ochranné lhůty</w:t>
      </w:r>
      <w:bookmarkEnd w:id="35"/>
    </w:p>
    <w:p w14:paraId="324DCFBE" w14:textId="77777777" w:rsidR="00C82966" w:rsidRPr="006F3DE5" w:rsidRDefault="00C82966" w:rsidP="00C82966">
      <w:pPr>
        <w:jc w:val="both"/>
        <w:rPr>
          <w:szCs w:val="22"/>
        </w:rPr>
      </w:pPr>
      <w:r w:rsidRPr="006F3DE5">
        <w:rPr>
          <w:szCs w:val="22"/>
        </w:rPr>
        <w:t>Prasata: Maso: 11 dní</w:t>
      </w:r>
    </w:p>
    <w:p w14:paraId="6E277C0B" w14:textId="7FC88C87" w:rsidR="00C82966" w:rsidRPr="006F3DE5" w:rsidRDefault="00A873EB" w:rsidP="00C82966">
      <w:pPr>
        <w:jc w:val="both"/>
        <w:rPr>
          <w:szCs w:val="22"/>
        </w:rPr>
      </w:pPr>
      <w:r w:rsidRPr="006F3DE5">
        <w:rPr>
          <w:szCs w:val="22"/>
        </w:rPr>
        <w:t>K</w:t>
      </w:r>
      <w:r w:rsidR="00EB3041" w:rsidRPr="006F3DE5">
        <w:rPr>
          <w:szCs w:val="22"/>
        </w:rPr>
        <w:t>ur domácí</w:t>
      </w:r>
      <w:r w:rsidRPr="006F3DE5">
        <w:rPr>
          <w:szCs w:val="22"/>
        </w:rPr>
        <w:t xml:space="preserve"> (brojleři)</w:t>
      </w:r>
      <w:r w:rsidR="00C82966" w:rsidRPr="006F3DE5">
        <w:rPr>
          <w:szCs w:val="22"/>
        </w:rPr>
        <w:t>: Maso: 5 dní</w:t>
      </w:r>
      <w:r w:rsidR="00C82966" w:rsidRPr="006F3DE5" w:rsidDel="00A57A1F">
        <w:rPr>
          <w:szCs w:val="22"/>
        </w:rPr>
        <w:t xml:space="preserve"> </w:t>
      </w:r>
    </w:p>
    <w:p w14:paraId="7BD31F7F" w14:textId="5FE99831" w:rsidR="00C82966" w:rsidRPr="006F3DE5" w:rsidRDefault="00F12928" w:rsidP="006F3DE5">
      <w:pPr>
        <w:jc w:val="both"/>
        <w:rPr>
          <w:szCs w:val="22"/>
        </w:rPr>
      </w:pPr>
      <w:bookmarkStart w:id="36" w:name="_Hlk215482054"/>
      <w:r w:rsidRPr="006F3DE5">
        <w:rPr>
          <w:szCs w:val="22"/>
        </w:rPr>
        <w:t>Nepoužívat u ptáků snášejících nebo určených ke snášce vajec pro lidskou spotřebu.</w:t>
      </w:r>
    </w:p>
    <w:bookmarkEnd w:id="36"/>
    <w:p w14:paraId="79358D5A" w14:textId="77777777" w:rsidR="00EB3041" w:rsidRPr="006F3DE5" w:rsidRDefault="00EB304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2A71BA38" w:rsidR="00C114FF" w:rsidRPr="006F3DE5" w:rsidRDefault="002173D0" w:rsidP="00231D97">
      <w:pPr>
        <w:pStyle w:val="Nadpis1"/>
        <w:rPr>
          <w:sz w:val="22"/>
          <w:szCs w:val="22"/>
        </w:rPr>
      </w:pPr>
      <w:bookmarkStart w:id="37" w:name="_Toc215117342"/>
      <w:r w:rsidRPr="006F3DE5">
        <w:rPr>
          <w:sz w:val="22"/>
          <w:szCs w:val="22"/>
        </w:rPr>
        <w:t>4.</w:t>
      </w:r>
      <w:r w:rsidRPr="006F3DE5">
        <w:rPr>
          <w:sz w:val="22"/>
          <w:szCs w:val="22"/>
        </w:rPr>
        <w:tab/>
        <w:t>FARMAKOLOGICKÉ INFORMACE</w:t>
      </w:r>
      <w:bookmarkEnd w:id="37"/>
    </w:p>
    <w:p w14:paraId="6DBE6E8E" w14:textId="1EB7A3A5" w:rsidR="005B04A8" w:rsidRPr="006F3DE5" w:rsidRDefault="002173D0" w:rsidP="00231D97">
      <w:pPr>
        <w:pStyle w:val="Nadpis1"/>
        <w:rPr>
          <w:sz w:val="22"/>
          <w:szCs w:val="22"/>
        </w:rPr>
      </w:pPr>
      <w:bookmarkStart w:id="38" w:name="_Toc215117343"/>
      <w:r w:rsidRPr="006F3DE5">
        <w:rPr>
          <w:caps w:val="0"/>
          <w:sz w:val="22"/>
          <w:szCs w:val="22"/>
        </w:rPr>
        <w:t>4.1</w:t>
      </w:r>
      <w:r w:rsidRPr="006F3DE5">
        <w:rPr>
          <w:caps w:val="0"/>
          <w:sz w:val="22"/>
          <w:szCs w:val="22"/>
        </w:rPr>
        <w:tab/>
      </w:r>
      <w:proofErr w:type="spellStart"/>
      <w:r w:rsidRPr="006F3DE5">
        <w:rPr>
          <w:caps w:val="0"/>
          <w:sz w:val="22"/>
          <w:szCs w:val="22"/>
        </w:rPr>
        <w:t>ATCvet</w:t>
      </w:r>
      <w:proofErr w:type="spellEnd"/>
      <w:r w:rsidRPr="006F3DE5">
        <w:rPr>
          <w:caps w:val="0"/>
          <w:sz w:val="22"/>
          <w:szCs w:val="22"/>
        </w:rPr>
        <w:t xml:space="preserve"> kód:</w:t>
      </w:r>
      <w:r w:rsidR="004F4E0B" w:rsidRPr="006F3DE5">
        <w:rPr>
          <w:bCs/>
          <w:sz w:val="22"/>
          <w:szCs w:val="22"/>
        </w:rPr>
        <w:t xml:space="preserve"> </w:t>
      </w:r>
      <w:r w:rsidR="004F4E0B" w:rsidRPr="006F3DE5">
        <w:rPr>
          <w:b w:val="0"/>
          <w:sz w:val="22"/>
          <w:szCs w:val="22"/>
        </w:rPr>
        <w:t>QJ01AA03</w:t>
      </w:r>
      <w:bookmarkEnd w:id="38"/>
    </w:p>
    <w:p w14:paraId="0DC4C65B" w14:textId="0B3D1BB9" w:rsidR="00C114FF" w:rsidRPr="006F3DE5" w:rsidRDefault="002173D0" w:rsidP="00231D97">
      <w:pPr>
        <w:pStyle w:val="Nadpis1"/>
        <w:rPr>
          <w:sz w:val="22"/>
          <w:szCs w:val="22"/>
        </w:rPr>
      </w:pPr>
      <w:bookmarkStart w:id="39" w:name="_Toc215117344"/>
      <w:r w:rsidRPr="006F3DE5">
        <w:rPr>
          <w:caps w:val="0"/>
          <w:sz w:val="22"/>
          <w:szCs w:val="22"/>
        </w:rPr>
        <w:t>4.2</w:t>
      </w:r>
      <w:r w:rsidRPr="006F3DE5">
        <w:rPr>
          <w:caps w:val="0"/>
          <w:sz w:val="22"/>
          <w:szCs w:val="22"/>
        </w:rPr>
        <w:tab/>
        <w:t>Farmakodynamika</w:t>
      </w:r>
      <w:bookmarkEnd w:id="39"/>
    </w:p>
    <w:p w14:paraId="3E0AD4FE" w14:textId="77777777" w:rsidR="00C82966" w:rsidRPr="006F3DE5" w:rsidRDefault="00C82966" w:rsidP="00C82966">
      <w:pPr>
        <w:keepNext/>
        <w:jc w:val="both"/>
        <w:rPr>
          <w:b/>
          <w:szCs w:val="22"/>
        </w:rPr>
      </w:pPr>
      <w:r w:rsidRPr="006F3DE5">
        <w:rPr>
          <w:b/>
          <w:szCs w:val="22"/>
        </w:rPr>
        <w:t>Mechanismus účinku</w:t>
      </w:r>
    </w:p>
    <w:p w14:paraId="4099F3A8" w14:textId="77777777" w:rsidR="00C82966" w:rsidRPr="006F3DE5" w:rsidRDefault="00C82966" w:rsidP="00C82966">
      <w:pPr>
        <w:tabs>
          <w:tab w:val="num" w:pos="1440"/>
        </w:tabs>
        <w:jc w:val="both"/>
        <w:rPr>
          <w:szCs w:val="22"/>
        </w:rPr>
      </w:pPr>
      <w:r w:rsidRPr="006F3DE5">
        <w:rPr>
          <w:szCs w:val="22"/>
        </w:rPr>
        <w:t xml:space="preserve">Chlortetracyklin působí převážně bakteriostaticky inhibicí proteosyntézy bakterií. Do bakteriální buňky se dostává energeticky dependentním transportním systémem, v cytoplasmě se váže na </w:t>
      </w:r>
      <w:proofErr w:type="gramStart"/>
      <w:r w:rsidRPr="006F3DE5">
        <w:rPr>
          <w:szCs w:val="22"/>
        </w:rPr>
        <w:t>30S</w:t>
      </w:r>
      <w:proofErr w:type="gramEnd"/>
      <w:r w:rsidRPr="006F3DE5">
        <w:rPr>
          <w:szCs w:val="22"/>
        </w:rPr>
        <w:t xml:space="preserve"> ribozomální podjednotku a zabraňuje vazbě </w:t>
      </w:r>
      <w:proofErr w:type="spellStart"/>
      <w:r w:rsidRPr="006F3DE5">
        <w:rPr>
          <w:szCs w:val="22"/>
        </w:rPr>
        <w:t>aminoacyl-tRNA</w:t>
      </w:r>
      <w:proofErr w:type="spellEnd"/>
      <w:r w:rsidRPr="006F3DE5">
        <w:rPr>
          <w:szCs w:val="22"/>
        </w:rPr>
        <w:t xml:space="preserve"> na komplex tvořený ribozomem a </w:t>
      </w:r>
      <w:proofErr w:type="spellStart"/>
      <w:r w:rsidRPr="006F3DE5">
        <w:rPr>
          <w:szCs w:val="22"/>
        </w:rPr>
        <w:t>mRNA</w:t>
      </w:r>
      <w:proofErr w:type="spellEnd"/>
      <w:r w:rsidRPr="006F3DE5">
        <w:rPr>
          <w:szCs w:val="22"/>
        </w:rPr>
        <w:t>. Tato vazba brání syntéze peptidového řetězce, čímž je dočasně narušena syntéza bakteriálních bílkovin.</w:t>
      </w:r>
    </w:p>
    <w:p w14:paraId="6D2556A2" w14:textId="77777777" w:rsidR="00C82966" w:rsidRPr="006F3DE5" w:rsidRDefault="00C82966" w:rsidP="00C82966">
      <w:pPr>
        <w:jc w:val="both"/>
        <w:rPr>
          <w:szCs w:val="22"/>
        </w:rPr>
      </w:pPr>
    </w:p>
    <w:p w14:paraId="4C79868D" w14:textId="77777777" w:rsidR="00C82966" w:rsidRPr="006F3DE5" w:rsidRDefault="00C82966" w:rsidP="00C82966">
      <w:pPr>
        <w:jc w:val="both"/>
        <w:rPr>
          <w:b/>
          <w:szCs w:val="22"/>
        </w:rPr>
      </w:pPr>
      <w:r w:rsidRPr="006F3DE5">
        <w:rPr>
          <w:b/>
          <w:szCs w:val="22"/>
        </w:rPr>
        <w:t>Spektrum působení</w:t>
      </w:r>
    </w:p>
    <w:p w14:paraId="6D2BB93E" w14:textId="0612F69B" w:rsidR="00C82966" w:rsidRPr="006F3DE5" w:rsidRDefault="00C82966" w:rsidP="00C82966">
      <w:pPr>
        <w:tabs>
          <w:tab w:val="num" w:pos="1440"/>
        </w:tabs>
        <w:jc w:val="both"/>
        <w:rPr>
          <w:szCs w:val="22"/>
        </w:rPr>
      </w:pPr>
      <w:r w:rsidRPr="006F3DE5">
        <w:rPr>
          <w:szCs w:val="22"/>
        </w:rPr>
        <w:t>Chlortetracyklin je širokospektré antibiotikum. Působí bakteriostaticky a ve vyšších dávkách</w:t>
      </w:r>
      <w:r w:rsidR="001C0509" w:rsidRPr="009264A3">
        <w:rPr>
          <w:szCs w:val="22"/>
        </w:rPr>
        <w:t xml:space="preserve"> může působit</w:t>
      </w:r>
      <w:r w:rsidRPr="006F3DE5">
        <w:rPr>
          <w:szCs w:val="22"/>
        </w:rPr>
        <w:t xml:space="preserve"> baktericidně </w:t>
      </w:r>
      <w:r w:rsidR="00BA3001" w:rsidRPr="009264A3">
        <w:rPr>
          <w:szCs w:val="22"/>
        </w:rPr>
        <w:t>proti</w:t>
      </w:r>
      <w:r w:rsidR="00BA3001" w:rsidRPr="006F3DE5">
        <w:rPr>
          <w:szCs w:val="22"/>
        </w:rPr>
        <w:t xml:space="preserve"> </w:t>
      </w:r>
      <w:proofErr w:type="spellStart"/>
      <w:r w:rsidRPr="006F3DE5">
        <w:rPr>
          <w:szCs w:val="22"/>
        </w:rPr>
        <w:t>grampozitivní</w:t>
      </w:r>
      <w:r w:rsidR="00BA3001" w:rsidRPr="009264A3">
        <w:rPr>
          <w:szCs w:val="22"/>
        </w:rPr>
        <w:t>m</w:t>
      </w:r>
      <w:proofErr w:type="spellEnd"/>
      <w:r w:rsidRPr="006F3DE5">
        <w:rPr>
          <w:szCs w:val="22"/>
        </w:rPr>
        <w:t xml:space="preserve"> i gramnegativní</w:t>
      </w:r>
      <w:r w:rsidR="00BA3001" w:rsidRPr="009264A3">
        <w:rPr>
          <w:szCs w:val="22"/>
        </w:rPr>
        <w:t>m</w:t>
      </w:r>
      <w:r w:rsidRPr="006F3DE5">
        <w:rPr>
          <w:szCs w:val="22"/>
        </w:rPr>
        <w:t xml:space="preserve"> </w:t>
      </w:r>
      <w:r w:rsidR="001C0509" w:rsidRPr="009264A3">
        <w:rPr>
          <w:szCs w:val="22"/>
        </w:rPr>
        <w:t>bakteri</w:t>
      </w:r>
      <w:r w:rsidR="00BA3001" w:rsidRPr="009264A3">
        <w:rPr>
          <w:szCs w:val="22"/>
        </w:rPr>
        <w:t>ím</w:t>
      </w:r>
      <w:r w:rsidRPr="006F3DE5">
        <w:rPr>
          <w:szCs w:val="22"/>
        </w:rPr>
        <w:t>, rickettsi</w:t>
      </w:r>
      <w:r w:rsidR="00BA3001" w:rsidRPr="009264A3">
        <w:rPr>
          <w:szCs w:val="22"/>
        </w:rPr>
        <w:t>ím</w:t>
      </w:r>
      <w:r w:rsidRPr="006F3DE5">
        <w:rPr>
          <w:szCs w:val="22"/>
        </w:rPr>
        <w:t xml:space="preserve"> a </w:t>
      </w:r>
      <w:r w:rsidR="00BA3001" w:rsidRPr="006F3DE5">
        <w:rPr>
          <w:szCs w:val="22"/>
        </w:rPr>
        <w:t>někter</w:t>
      </w:r>
      <w:r w:rsidR="00BA3001" w:rsidRPr="009264A3">
        <w:rPr>
          <w:szCs w:val="22"/>
        </w:rPr>
        <w:t>ým</w:t>
      </w:r>
      <w:r w:rsidR="00BA3001" w:rsidRPr="006F3DE5">
        <w:rPr>
          <w:szCs w:val="22"/>
        </w:rPr>
        <w:t xml:space="preserve"> </w:t>
      </w:r>
      <w:r w:rsidR="00BA3001" w:rsidRPr="009264A3">
        <w:rPr>
          <w:szCs w:val="22"/>
        </w:rPr>
        <w:t xml:space="preserve">zástupcům </w:t>
      </w:r>
      <w:r w:rsidR="00BA3001" w:rsidRPr="009264A3">
        <w:t>skupiny</w:t>
      </w:r>
      <w:r w:rsidR="00BA3001" w:rsidRPr="009264A3">
        <w:rPr>
          <w:szCs w:val="22"/>
        </w:rPr>
        <w:t xml:space="preserve"> P</w:t>
      </w:r>
      <w:r w:rsidR="00BA3001" w:rsidRPr="006F3DE5">
        <w:rPr>
          <w:szCs w:val="22"/>
        </w:rPr>
        <w:t>rotozoa</w:t>
      </w:r>
      <w:r w:rsidRPr="006F3DE5">
        <w:rPr>
          <w:szCs w:val="22"/>
        </w:rPr>
        <w:t xml:space="preserve">. Přirozenou rezistenci vykazují </w:t>
      </w:r>
      <w:proofErr w:type="spellStart"/>
      <w:r w:rsidRPr="006F3DE5">
        <w:rPr>
          <w:i/>
          <w:iCs/>
          <w:szCs w:val="22"/>
        </w:rPr>
        <w:t>Pseudomonas</w:t>
      </w:r>
      <w:proofErr w:type="spellEnd"/>
      <w:r w:rsidRPr="006F3DE5">
        <w:rPr>
          <w:i/>
          <w:iCs/>
          <w:szCs w:val="22"/>
        </w:rPr>
        <w:t xml:space="preserve"> </w:t>
      </w:r>
      <w:proofErr w:type="spellStart"/>
      <w:r w:rsidRPr="006F3DE5">
        <w:rPr>
          <w:iCs/>
          <w:szCs w:val="22"/>
        </w:rPr>
        <w:t>spp</w:t>
      </w:r>
      <w:proofErr w:type="spellEnd"/>
      <w:r w:rsidRPr="006F3DE5">
        <w:rPr>
          <w:iCs/>
          <w:szCs w:val="22"/>
        </w:rPr>
        <w:t>.</w:t>
      </w:r>
      <w:r w:rsidRPr="006F3DE5">
        <w:rPr>
          <w:i/>
          <w:iCs/>
          <w:szCs w:val="22"/>
        </w:rPr>
        <w:t xml:space="preserve">, </w:t>
      </w:r>
      <w:proofErr w:type="spellStart"/>
      <w:r w:rsidRPr="006F3DE5">
        <w:rPr>
          <w:i/>
          <w:iCs/>
          <w:szCs w:val="22"/>
        </w:rPr>
        <w:t>Aeromonas</w:t>
      </w:r>
      <w:proofErr w:type="spellEnd"/>
      <w:r w:rsidRPr="006F3DE5">
        <w:rPr>
          <w:i/>
          <w:iCs/>
          <w:szCs w:val="22"/>
        </w:rPr>
        <w:t xml:space="preserve"> </w:t>
      </w:r>
      <w:proofErr w:type="spellStart"/>
      <w:r w:rsidRPr="006F3DE5">
        <w:rPr>
          <w:iCs/>
          <w:szCs w:val="22"/>
        </w:rPr>
        <w:t>spp</w:t>
      </w:r>
      <w:proofErr w:type="spellEnd"/>
      <w:r w:rsidRPr="006F3DE5">
        <w:rPr>
          <w:iCs/>
          <w:szCs w:val="22"/>
        </w:rPr>
        <w:t>.</w:t>
      </w:r>
      <w:r w:rsidRPr="006F3DE5">
        <w:rPr>
          <w:i/>
          <w:iCs/>
          <w:szCs w:val="22"/>
        </w:rPr>
        <w:t xml:space="preserve"> </w:t>
      </w:r>
      <w:r w:rsidRPr="006F3DE5">
        <w:rPr>
          <w:szCs w:val="22"/>
        </w:rPr>
        <w:t xml:space="preserve">a </w:t>
      </w:r>
      <w:proofErr w:type="spellStart"/>
      <w:r w:rsidRPr="006F3DE5">
        <w:rPr>
          <w:i/>
          <w:iCs/>
          <w:szCs w:val="22"/>
        </w:rPr>
        <w:t>Mycobacterium</w:t>
      </w:r>
      <w:proofErr w:type="spellEnd"/>
      <w:r w:rsidRPr="006F3DE5">
        <w:rPr>
          <w:i/>
          <w:iCs/>
          <w:szCs w:val="22"/>
        </w:rPr>
        <w:t xml:space="preserve"> </w:t>
      </w:r>
      <w:proofErr w:type="spellStart"/>
      <w:r w:rsidRPr="006F3DE5">
        <w:rPr>
          <w:iCs/>
          <w:szCs w:val="22"/>
        </w:rPr>
        <w:t>spp</w:t>
      </w:r>
      <w:proofErr w:type="spellEnd"/>
      <w:r w:rsidRPr="006F3DE5">
        <w:rPr>
          <w:iCs/>
          <w:szCs w:val="22"/>
        </w:rPr>
        <w:t>.</w:t>
      </w:r>
      <w:r w:rsidRPr="006F3DE5">
        <w:rPr>
          <w:szCs w:val="22"/>
        </w:rPr>
        <w:t xml:space="preserve"> Velmi časté jsou rezistence u </w:t>
      </w:r>
      <w:r w:rsidRPr="006F3DE5">
        <w:rPr>
          <w:i/>
          <w:iCs/>
          <w:szCs w:val="22"/>
        </w:rPr>
        <w:t xml:space="preserve">E. coli, </w:t>
      </w:r>
      <w:proofErr w:type="spellStart"/>
      <w:r w:rsidRPr="006F3DE5">
        <w:rPr>
          <w:i/>
          <w:iCs/>
          <w:szCs w:val="22"/>
        </w:rPr>
        <w:t>Salmonella</w:t>
      </w:r>
      <w:proofErr w:type="spellEnd"/>
      <w:r w:rsidRPr="006F3DE5">
        <w:rPr>
          <w:iCs/>
          <w:szCs w:val="22"/>
        </w:rPr>
        <w:t xml:space="preserve"> </w:t>
      </w:r>
      <w:proofErr w:type="spellStart"/>
      <w:r w:rsidRPr="006F3DE5">
        <w:rPr>
          <w:iCs/>
          <w:szCs w:val="22"/>
        </w:rPr>
        <w:t>spp</w:t>
      </w:r>
      <w:proofErr w:type="spellEnd"/>
      <w:r w:rsidRPr="006F3DE5">
        <w:rPr>
          <w:iCs/>
          <w:szCs w:val="22"/>
        </w:rPr>
        <w:t>.</w:t>
      </w:r>
      <w:r w:rsidRPr="006F3DE5">
        <w:rPr>
          <w:i/>
          <w:iCs/>
          <w:szCs w:val="22"/>
        </w:rPr>
        <w:t xml:space="preserve">, </w:t>
      </w:r>
      <w:r w:rsidRPr="006F3DE5">
        <w:rPr>
          <w:szCs w:val="22"/>
        </w:rPr>
        <w:t xml:space="preserve">beta-hemolytických streptokoků, </w:t>
      </w:r>
      <w:proofErr w:type="spellStart"/>
      <w:r w:rsidRPr="006F3DE5">
        <w:rPr>
          <w:i/>
          <w:iCs/>
          <w:szCs w:val="22"/>
        </w:rPr>
        <w:t>Streptococcus</w:t>
      </w:r>
      <w:proofErr w:type="spellEnd"/>
      <w:r w:rsidRPr="006F3DE5">
        <w:rPr>
          <w:i/>
          <w:iCs/>
          <w:szCs w:val="22"/>
        </w:rPr>
        <w:t xml:space="preserve"> </w:t>
      </w:r>
      <w:proofErr w:type="spellStart"/>
      <w:r w:rsidRPr="006F3DE5">
        <w:rPr>
          <w:i/>
          <w:iCs/>
          <w:szCs w:val="22"/>
        </w:rPr>
        <w:t>suis</w:t>
      </w:r>
      <w:proofErr w:type="spellEnd"/>
      <w:r w:rsidRPr="006F3DE5">
        <w:rPr>
          <w:i/>
          <w:iCs/>
          <w:szCs w:val="22"/>
        </w:rPr>
        <w:t xml:space="preserve">, S. </w:t>
      </w:r>
      <w:proofErr w:type="spellStart"/>
      <w:r w:rsidRPr="006F3DE5">
        <w:rPr>
          <w:i/>
          <w:iCs/>
          <w:szCs w:val="22"/>
        </w:rPr>
        <w:t>uberis</w:t>
      </w:r>
      <w:proofErr w:type="spellEnd"/>
      <w:r w:rsidRPr="006F3DE5">
        <w:rPr>
          <w:i/>
          <w:iCs/>
          <w:szCs w:val="22"/>
        </w:rPr>
        <w:t>, S. </w:t>
      </w:r>
      <w:proofErr w:type="spellStart"/>
      <w:r w:rsidRPr="006F3DE5">
        <w:rPr>
          <w:i/>
          <w:iCs/>
          <w:szCs w:val="22"/>
        </w:rPr>
        <w:t>agalactiae</w:t>
      </w:r>
      <w:proofErr w:type="spellEnd"/>
      <w:r w:rsidRPr="006F3DE5">
        <w:rPr>
          <w:i/>
          <w:iCs/>
          <w:szCs w:val="22"/>
        </w:rPr>
        <w:t xml:space="preserve">. </w:t>
      </w:r>
      <w:r w:rsidRPr="006F3DE5">
        <w:rPr>
          <w:szCs w:val="22"/>
        </w:rPr>
        <w:t>Vzhledem k vysoké frekvenci výskytu získaných rezistencí doporučujeme</w:t>
      </w:r>
      <w:r w:rsidR="00066809" w:rsidRPr="009264A3">
        <w:rPr>
          <w:szCs w:val="22"/>
        </w:rPr>
        <w:t xml:space="preserve"> veterinární léčivý</w:t>
      </w:r>
      <w:r w:rsidRPr="006F3DE5">
        <w:rPr>
          <w:szCs w:val="22"/>
        </w:rPr>
        <w:t xml:space="preserve"> přípravek používat na základě vyšetření citlivosti původce.</w:t>
      </w:r>
    </w:p>
    <w:p w14:paraId="416E808D" w14:textId="77777777" w:rsidR="00C82966" w:rsidRPr="006F3DE5" w:rsidRDefault="00C82966" w:rsidP="00C82966">
      <w:pPr>
        <w:tabs>
          <w:tab w:val="num" w:pos="709"/>
        </w:tabs>
        <w:jc w:val="both"/>
        <w:rPr>
          <w:szCs w:val="22"/>
        </w:rPr>
      </w:pPr>
    </w:p>
    <w:p w14:paraId="474672F8" w14:textId="1B4EAB0A" w:rsidR="00C82966" w:rsidRPr="006F3DE5" w:rsidRDefault="00C82966" w:rsidP="00C82966">
      <w:pPr>
        <w:jc w:val="both"/>
        <w:rPr>
          <w:szCs w:val="22"/>
        </w:rPr>
      </w:pPr>
      <w:r w:rsidRPr="006F3DE5">
        <w:rPr>
          <w:szCs w:val="22"/>
        </w:rPr>
        <w:t xml:space="preserve">V tabulkách níže jsou prezentovány hodnoty MIC tetracyklinu (popř. doxycyklinu) pro vybrané patogeny izolované z klinicky nemocných zvířat. Hodnoty reflektují stav v čase a geografické lokalitě, a proto použití přípravku by mělo být vždy, kdy je to možné, založeno na výsledku </w:t>
      </w:r>
      <w:r w:rsidR="00066809" w:rsidRPr="009264A3">
        <w:rPr>
          <w:szCs w:val="22"/>
        </w:rPr>
        <w:t>stanovení</w:t>
      </w:r>
      <w:r w:rsidR="00066809" w:rsidRPr="006F3DE5">
        <w:rPr>
          <w:szCs w:val="22"/>
        </w:rPr>
        <w:t xml:space="preserve"> </w:t>
      </w:r>
      <w:r w:rsidRPr="006F3DE5">
        <w:rPr>
          <w:szCs w:val="22"/>
        </w:rPr>
        <w:t>citlivosti.</w:t>
      </w:r>
    </w:p>
    <w:p w14:paraId="74B57473" w14:textId="77777777" w:rsidR="00C82966" w:rsidRPr="006F3DE5" w:rsidRDefault="00C82966" w:rsidP="00C82966">
      <w:pPr>
        <w:contextualSpacing/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0"/>
        <w:gridCol w:w="1533"/>
        <w:gridCol w:w="1537"/>
        <w:gridCol w:w="1691"/>
      </w:tblGrid>
      <w:tr w:rsidR="00C82966" w:rsidRPr="009264A3" w14:paraId="1D0AAB35" w14:textId="77777777" w:rsidTr="00DC54ED">
        <w:trPr>
          <w:trHeight w:hRule="exact" w:val="525"/>
        </w:trPr>
        <w:tc>
          <w:tcPr>
            <w:tcW w:w="2373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41503E" w14:textId="340456C1" w:rsidR="00C82966" w:rsidRPr="006F3DE5" w:rsidRDefault="00C82966" w:rsidP="00450FF3">
            <w:pPr>
              <w:rPr>
                <w:b/>
                <w:szCs w:val="22"/>
              </w:rPr>
            </w:pPr>
            <w:r w:rsidRPr="006F3DE5">
              <w:rPr>
                <w:b/>
                <w:szCs w:val="22"/>
              </w:rPr>
              <w:t xml:space="preserve"> </w:t>
            </w:r>
            <w:r w:rsidR="003863E6" w:rsidRPr="009264A3">
              <w:rPr>
                <w:b/>
                <w:szCs w:val="22"/>
              </w:rPr>
              <w:t>P</w:t>
            </w:r>
            <w:r w:rsidR="003863E6" w:rsidRPr="006F3DE5">
              <w:rPr>
                <w:b/>
                <w:szCs w:val="22"/>
              </w:rPr>
              <w:t xml:space="preserve">ůvodce </w:t>
            </w:r>
            <w:r w:rsidRPr="006F3DE5">
              <w:rPr>
                <w:b/>
                <w:szCs w:val="22"/>
              </w:rPr>
              <w:t>onemocnění (počet izolátů)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B04D17" w14:textId="77777777" w:rsidR="00C82966" w:rsidRPr="006F3DE5" w:rsidRDefault="00C82966" w:rsidP="00450FF3">
            <w:pPr>
              <w:jc w:val="center"/>
              <w:rPr>
                <w:b/>
                <w:szCs w:val="22"/>
              </w:rPr>
            </w:pPr>
            <w:r w:rsidRPr="006F3DE5">
              <w:rPr>
                <w:b/>
                <w:szCs w:val="22"/>
              </w:rPr>
              <w:t>MIC</w:t>
            </w:r>
            <w:r w:rsidRPr="006F3DE5">
              <w:rPr>
                <w:b/>
                <w:szCs w:val="22"/>
                <w:vertAlign w:val="subscript"/>
              </w:rPr>
              <w:t>50</w:t>
            </w:r>
          </w:p>
          <w:p w14:paraId="4A8A3ADB" w14:textId="77777777" w:rsidR="00C82966" w:rsidRPr="006F3DE5" w:rsidRDefault="00C82966" w:rsidP="00450FF3">
            <w:pPr>
              <w:jc w:val="center"/>
              <w:rPr>
                <w:b/>
                <w:szCs w:val="22"/>
              </w:rPr>
            </w:pPr>
            <w:r w:rsidRPr="006F3DE5">
              <w:rPr>
                <w:b/>
                <w:szCs w:val="22"/>
              </w:rPr>
              <w:t>[</w:t>
            </w:r>
            <w:proofErr w:type="spellStart"/>
            <w:r w:rsidRPr="006F3DE5">
              <w:rPr>
                <w:b/>
                <w:szCs w:val="22"/>
              </w:rPr>
              <w:t>μg</w:t>
            </w:r>
            <w:proofErr w:type="spellEnd"/>
            <w:r w:rsidRPr="006F3DE5">
              <w:rPr>
                <w:b/>
                <w:szCs w:val="22"/>
              </w:rPr>
              <w:t>/ml]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400B2AF" w14:textId="77777777" w:rsidR="00C82966" w:rsidRPr="006F3DE5" w:rsidRDefault="00C82966" w:rsidP="00450FF3">
            <w:pPr>
              <w:ind w:right="-176"/>
              <w:jc w:val="center"/>
              <w:rPr>
                <w:b/>
                <w:szCs w:val="22"/>
                <w:vertAlign w:val="subscript"/>
              </w:rPr>
            </w:pPr>
            <w:r w:rsidRPr="006F3DE5">
              <w:rPr>
                <w:b/>
                <w:szCs w:val="22"/>
              </w:rPr>
              <w:t>MIC</w:t>
            </w:r>
            <w:r w:rsidRPr="006F3DE5">
              <w:rPr>
                <w:b/>
                <w:szCs w:val="22"/>
                <w:vertAlign w:val="subscript"/>
              </w:rPr>
              <w:t>90</w:t>
            </w:r>
          </w:p>
          <w:p w14:paraId="19D3B639" w14:textId="77777777" w:rsidR="00C82966" w:rsidRPr="006F3DE5" w:rsidRDefault="00C82966" w:rsidP="00450FF3">
            <w:pPr>
              <w:ind w:right="-176"/>
              <w:jc w:val="center"/>
              <w:rPr>
                <w:b/>
                <w:szCs w:val="22"/>
                <w:vertAlign w:val="subscript"/>
              </w:rPr>
            </w:pPr>
            <w:r w:rsidRPr="006F3DE5">
              <w:rPr>
                <w:b/>
                <w:szCs w:val="22"/>
              </w:rPr>
              <w:t>[</w:t>
            </w:r>
            <w:proofErr w:type="spellStart"/>
            <w:r w:rsidRPr="006F3DE5">
              <w:rPr>
                <w:b/>
                <w:szCs w:val="22"/>
              </w:rPr>
              <w:t>μg</w:t>
            </w:r>
            <w:proofErr w:type="spellEnd"/>
            <w:r w:rsidRPr="006F3DE5">
              <w:rPr>
                <w:b/>
                <w:szCs w:val="22"/>
              </w:rPr>
              <w:t>/ml]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A026998" w14:textId="77777777" w:rsidR="00C82966" w:rsidRPr="006F3DE5" w:rsidRDefault="00C82966" w:rsidP="00450FF3">
            <w:pPr>
              <w:ind w:right="-108"/>
              <w:rPr>
                <w:b/>
                <w:szCs w:val="22"/>
              </w:rPr>
            </w:pPr>
            <w:r w:rsidRPr="006F3DE5">
              <w:rPr>
                <w:b/>
                <w:szCs w:val="22"/>
              </w:rPr>
              <w:t>původ izolátů,</w:t>
            </w:r>
          </w:p>
          <w:p w14:paraId="7999D198" w14:textId="77777777" w:rsidR="00C82966" w:rsidRPr="006F3DE5" w:rsidRDefault="00C82966" w:rsidP="00450FF3">
            <w:pPr>
              <w:ind w:right="-107"/>
              <w:rPr>
                <w:b/>
                <w:szCs w:val="22"/>
              </w:rPr>
            </w:pPr>
            <w:r w:rsidRPr="006F3DE5">
              <w:rPr>
                <w:b/>
                <w:szCs w:val="22"/>
              </w:rPr>
              <w:t>rok sběru</w:t>
            </w:r>
          </w:p>
        </w:tc>
      </w:tr>
      <w:tr w:rsidR="00C82966" w:rsidRPr="009264A3" w14:paraId="472F111E" w14:textId="77777777" w:rsidTr="00DC54ED">
        <w:trPr>
          <w:trHeight w:hRule="exact" w:val="28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D56D4D0" w14:textId="77777777" w:rsidR="00C82966" w:rsidRPr="006F3DE5" w:rsidRDefault="00C82966" w:rsidP="00450FF3">
            <w:pPr>
              <w:ind w:right="-108"/>
              <w:jc w:val="center"/>
              <w:rPr>
                <w:b/>
                <w:szCs w:val="22"/>
              </w:rPr>
            </w:pPr>
            <w:r w:rsidRPr="006F3DE5">
              <w:rPr>
                <w:b/>
                <w:i/>
                <w:szCs w:val="22"/>
              </w:rPr>
              <w:t>Prase domácí</w:t>
            </w:r>
          </w:p>
        </w:tc>
      </w:tr>
      <w:tr w:rsidR="00C82966" w:rsidRPr="009264A3" w14:paraId="7AF638B8" w14:textId="77777777" w:rsidTr="00DC54ED">
        <w:trPr>
          <w:trHeight w:hRule="exact" w:val="255"/>
        </w:trPr>
        <w:tc>
          <w:tcPr>
            <w:tcW w:w="2373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3B098C4" w14:textId="77777777" w:rsidR="00C82966" w:rsidRPr="006F3DE5" w:rsidRDefault="00C82966" w:rsidP="00450FF3">
            <w:pPr>
              <w:ind w:right="-107"/>
              <w:rPr>
                <w:szCs w:val="22"/>
              </w:rPr>
            </w:pPr>
            <w:proofErr w:type="spellStart"/>
            <w:r w:rsidRPr="006F3DE5">
              <w:rPr>
                <w:i/>
                <w:szCs w:val="22"/>
              </w:rPr>
              <w:t>Actinobacillus</w:t>
            </w:r>
            <w:proofErr w:type="spellEnd"/>
            <w:r w:rsidRPr="006F3DE5">
              <w:rPr>
                <w:i/>
                <w:szCs w:val="22"/>
              </w:rPr>
              <w:t xml:space="preserve"> </w:t>
            </w:r>
            <w:proofErr w:type="spellStart"/>
            <w:r w:rsidRPr="006F3DE5">
              <w:rPr>
                <w:i/>
                <w:szCs w:val="22"/>
              </w:rPr>
              <w:t>pleuropneumoniae</w:t>
            </w:r>
            <w:proofErr w:type="spellEnd"/>
            <w:r w:rsidRPr="006F3DE5">
              <w:rPr>
                <w:szCs w:val="22"/>
              </w:rPr>
              <w:t xml:space="preserve"> (30)</w:t>
            </w:r>
          </w:p>
        </w:tc>
        <w:tc>
          <w:tcPr>
            <w:tcW w:w="846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8E1947B" w14:textId="77777777" w:rsidR="00C82966" w:rsidRPr="006F3DE5" w:rsidRDefault="00C82966" w:rsidP="00450FF3">
            <w:pPr>
              <w:rPr>
                <w:szCs w:val="22"/>
              </w:rPr>
            </w:pPr>
            <w:r w:rsidRPr="006F3DE5">
              <w:rPr>
                <w:szCs w:val="22"/>
              </w:rPr>
              <w:t>≤0,5</w:t>
            </w:r>
          </w:p>
        </w:tc>
        <w:tc>
          <w:tcPr>
            <w:tcW w:w="848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10A277F" w14:textId="77777777" w:rsidR="00C82966" w:rsidRPr="006F3DE5" w:rsidRDefault="00C82966" w:rsidP="00450FF3">
            <w:pPr>
              <w:rPr>
                <w:szCs w:val="22"/>
              </w:rPr>
            </w:pPr>
            <w:r w:rsidRPr="006F3DE5">
              <w:rPr>
                <w:szCs w:val="22"/>
              </w:rPr>
              <w:t>16</w:t>
            </w:r>
          </w:p>
        </w:tc>
        <w:tc>
          <w:tcPr>
            <w:tcW w:w="933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D9A13CB" w14:textId="77777777" w:rsidR="00C82966" w:rsidRPr="006F3DE5" w:rsidRDefault="00C82966" w:rsidP="00450FF3">
            <w:pPr>
              <w:jc w:val="both"/>
              <w:rPr>
                <w:szCs w:val="22"/>
              </w:rPr>
            </w:pPr>
            <w:r w:rsidRPr="006F3DE5">
              <w:rPr>
                <w:szCs w:val="22"/>
              </w:rPr>
              <w:t>ČR, 2020</w:t>
            </w:r>
          </w:p>
        </w:tc>
      </w:tr>
      <w:tr w:rsidR="00C82966" w:rsidRPr="009264A3" w14:paraId="30ABBACB" w14:textId="77777777" w:rsidTr="00DC54ED">
        <w:trPr>
          <w:trHeight w:hRule="exact" w:val="255"/>
        </w:trPr>
        <w:tc>
          <w:tcPr>
            <w:tcW w:w="237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EAF336" w14:textId="77777777" w:rsidR="00C82966" w:rsidRPr="006F3DE5" w:rsidRDefault="00C82966" w:rsidP="00450FF3">
            <w:pPr>
              <w:rPr>
                <w:szCs w:val="22"/>
              </w:rPr>
            </w:pPr>
            <w:proofErr w:type="spellStart"/>
            <w:r w:rsidRPr="006F3DE5">
              <w:rPr>
                <w:i/>
                <w:szCs w:val="22"/>
              </w:rPr>
              <w:t>Bordetella</w:t>
            </w:r>
            <w:proofErr w:type="spellEnd"/>
            <w:r w:rsidRPr="006F3DE5">
              <w:rPr>
                <w:i/>
                <w:szCs w:val="22"/>
              </w:rPr>
              <w:t xml:space="preserve"> </w:t>
            </w:r>
            <w:proofErr w:type="spellStart"/>
            <w:r w:rsidRPr="006F3DE5">
              <w:rPr>
                <w:i/>
                <w:szCs w:val="22"/>
              </w:rPr>
              <w:t>bronchiseptica</w:t>
            </w:r>
            <w:proofErr w:type="spellEnd"/>
            <w:r w:rsidRPr="006F3DE5">
              <w:rPr>
                <w:szCs w:val="22"/>
              </w:rPr>
              <w:t xml:space="preserve"> (90)</w:t>
            </w:r>
          </w:p>
        </w:tc>
        <w:tc>
          <w:tcPr>
            <w:tcW w:w="84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814EF0" w14:textId="77777777" w:rsidR="00C82966" w:rsidRPr="006F3DE5" w:rsidRDefault="00C82966" w:rsidP="00450FF3">
            <w:pPr>
              <w:rPr>
                <w:szCs w:val="22"/>
              </w:rPr>
            </w:pPr>
            <w:r w:rsidRPr="006F3DE5">
              <w:rPr>
                <w:szCs w:val="22"/>
              </w:rPr>
              <w:t>-</w:t>
            </w:r>
          </w:p>
        </w:tc>
        <w:tc>
          <w:tcPr>
            <w:tcW w:w="848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BE0B60" w14:textId="77777777" w:rsidR="00C82966" w:rsidRPr="006F3DE5" w:rsidRDefault="00C82966" w:rsidP="00450FF3">
            <w:pPr>
              <w:rPr>
                <w:szCs w:val="22"/>
              </w:rPr>
            </w:pPr>
            <w:r w:rsidRPr="006F3DE5">
              <w:rPr>
                <w:szCs w:val="22"/>
              </w:rPr>
              <w:t>2</w:t>
            </w:r>
          </w:p>
        </w:tc>
        <w:tc>
          <w:tcPr>
            <w:tcW w:w="93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C758F0" w14:textId="77777777" w:rsidR="00C82966" w:rsidRPr="006F3DE5" w:rsidRDefault="00C82966" w:rsidP="00450FF3">
            <w:pPr>
              <w:jc w:val="both"/>
              <w:rPr>
                <w:szCs w:val="22"/>
              </w:rPr>
            </w:pPr>
            <w:r w:rsidRPr="006F3DE5">
              <w:rPr>
                <w:szCs w:val="22"/>
              </w:rPr>
              <w:t>DE, 2015</w:t>
            </w:r>
          </w:p>
        </w:tc>
      </w:tr>
      <w:tr w:rsidR="00C82966" w:rsidRPr="009264A3" w14:paraId="41E28C43" w14:textId="77777777" w:rsidTr="00DC54ED">
        <w:trPr>
          <w:trHeight w:hRule="exact" w:val="255"/>
        </w:trPr>
        <w:tc>
          <w:tcPr>
            <w:tcW w:w="237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29BBC9" w14:textId="77777777" w:rsidR="00C82966" w:rsidRPr="006F3DE5" w:rsidRDefault="00C82966" w:rsidP="00450FF3">
            <w:pPr>
              <w:ind w:right="-107"/>
              <w:rPr>
                <w:szCs w:val="22"/>
              </w:rPr>
            </w:pPr>
            <w:proofErr w:type="spellStart"/>
            <w:r w:rsidRPr="006F3DE5">
              <w:rPr>
                <w:i/>
                <w:szCs w:val="22"/>
              </w:rPr>
              <w:t>Escherichia</w:t>
            </w:r>
            <w:proofErr w:type="spellEnd"/>
            <w:r w:rsidRPr="006F3DE5">
              <w:rPr>
                <w:i/>
                <w:szCs w:val="22"/>
              </w:rPr>
              <w:t xml:space="preserve"> coli</w:t>
            </w:r>
            <w:r w:rsidRPr="006F3DE5">
              <w:rPr>
                <w:szCs w:val="22"/>
              </w:rPr>
              <w:t xml:space="preserve"> (140)</w:t>
            </w:r>
          </w:p>
        </w:tc>
        <w:tc>
          <w:tcPr>
            <w:tcW w:w="84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15F725" w14:textId="77777777" w:rsidR="00C82966" w:rsidRPr="006F3DE5" w:rsidRDefault="00C82966" w:rsidP="00450FF3">
            <w:pPr>
              <w:rPr>
                <w:szCs w:val="22"/>
              </w:rPr>
            </w:pPr>
            <w:r w:rsidRPr="006F3DE5">
              <w:rPr>
                <w:szCs w:val="22"/>
              </w:rPr>
              <w:t>64</w:t>
            </w:r>
          </w:p>
        </w:tc>
        <w:tc>
          <w:tcPr>
            <w:tcW w:w="848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B71A37" w14:textId="77777777" w:rsidR="00C82966" w:rsidRPr="006F3DE5" w:rsidRDefault="00C82966" w:rsidP="00450FF3">
            <w:pPr>
              <w:rPr>
                <w:szCs w:val="22"/>
              </w:rPr>
            </w:pPr>
            <w:r w:rsidRPr="006F3DE5">
              <w:rPr>
                <w:szCs w:val="22"/>
              </w:rPr>
              <w:t>&gt;64</w:t>
            </w:r>
          </w:p>
        </w:tc>
        <w:tc>
          <w:tcPr>
            <w:tcW w:w="93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75664D" w14:textId="77777777" w:rsidR="00C82966" w:rsidRPr="006F3DE5" w:rsidRDefault="00C82966" w:rsidP="00450FF3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F3DE5">
              <w:rPr>
                <w:szCs w:val="22"/>
              </w:rPr>
              <w:t>ČR, 2020</w:t>
            </w:r>
          </w:p>
        </w:tc>
      </w:tr>
      <w:tr w:rsidR="00C82966" w:rsidRPr="009264A3" w14:paraId="27F6548B" w14:textId="77777777" w:rsidTr="00DC54ED">
        <w:trPr>
          <w:trHeight w:hRule="exact" w:val="255"/>
        </w:trPr>
        <w:tc>
          <w:tcPr>
            <w:tcW w:w="237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2BBC95" w14:textId="77777777" w:rsidR="00C82966" w:rsidRPr="006F3DE5" w:rsidRDefault="00C82966" w:rsidP="00450FF3">
            <w:pPr>
              <w:rPr>
                <w:szCs w:val="22"/>
              </w:rPr>
            </w:pPr>
            <w:proofErr w:type="spellStart"/>
            <w:r w:rsidRPr="006F3DE5">
              <w:rPr>
                <w:i/>
                <w:szCs w:val="22"/>
              </w:rPr>
              <w:t>Pasteurella</w:t>
            </w:r>
            <w:proofErr w:type="spellEnd"/>
            <w:r w:rsidRPr="006F3DE5">
              <w:rPr>
                <w:i/>
                <w:szCs w:val="22"/>
              </w:rPr>
              <w:t xml:space="preserve"> </w:t>
            </w:r>
            <w:proofErr w:type="spellStart"/>
            <w:r w:rsidRPr="006F3DE5">
              <w:rPr>
                <w:i/>
                <w:szCs w:val="22"/>
              </w:rPr>
              <w:t>multocida</w:t>
            </w:r>
            <w:proofErr w:type="spellEnd"/>
            <w:r w:rsidRPr="006F3DE5">
              <w:rPr>
                <w:szCs w:val="22"/>
              </w:rPr>
              <w:t xml:space="preserve"> (41)</w:t>
            </w:r>
          </w:p>
        </w:tc>
        <w:tc>
          <w:tcPr>
            <w:tcW w:w="84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EE7C97" w14:textId="77777777" w:rsidR="00C82966" w:rsidRPr="006F3DE5" w:rsidRDefault="00C82966" w:rsidP="00450FF3">
            <w:pPr>
              <w:rPr>
                <w:szCs w:val="22"/>
              </w:rPr>
            </w:pPr>
            <w:r w:rsidRPr="006F3DE5">
              <w:rPr>
                <w:szCs w:val="22"/>
              </w:rPr>
              <w:t>≤0,5</w:t>
            </w:r>
          </w:p>
        </w:tc>
        <w:tc>
          <w:tcPr>
            <w:tcW w:w="848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2E8C3E" w14:textId="77777777" w:rsidR="00C82966" w:rsidRPr="006F3DE5" w:rsidRDefault="00C82966" w:rsidP="00450FF3">
            <w:pPr>
              <w:rPr>
                <w:szCs w:val="22"/>
              </w:rPr>
            </w:pPr>
            <w:r w:rsidRPr="006F3DE5">
              <w:rPr>
                <w:szCs w:val="22"/>
              </w:rPr>
              <w:t>4</w:t>
            </w:r>
          </w:p>
        </w:tc>
        <w:tc>
          <w:tcPr>
            <w:tcW w:w="93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C6E2C4" w14:textId="77777777" w:rsidR="00C82966" w:rsidRPr="006F3DE5" w:rsidRDefault="00C82966" w:rsidP="00450FF3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F3DE5">
              <w:rPr>
                <w:szCs w:val="22"/>
              </w:rPr>
              <w:t>ČR, 2020</w:t>
            </w:r>
          </w:p>
        </w:tc>
      </w:tr>
      <w:tr w:rsidR="00C82966" w:rsidRPr="009264A3" w14:paraId="25DA2452" w14:textId="77777777" w:rsidTr="00DC54ED">
        <w:trPr>
          <w:trHeight w:hRule="exact" w:val="255"/>
        </w:trPr>
        <w:tc>
          <w:tcPr>
            <w:tcW w:w="237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161C15" w14:textId="77777777" w:rsidR="00C82966" w:rsidRPr="006F3DE5" w:rsidRDefault="00C82966" w:rsidP="00450FF3">
            <w:pPr>
              <w:rPr>
                <w:szCs w:val="22"/>
              </w:rPr>
            </w:pPr>
            <w:proofErr w:type="spellStart"/>
            <w:r w:rsidRPr="006F3DE5">
              <w:rPr>
                <w:i/>
                <w:szCs w:val="22"/>
              </w:rPr>
              <w:t>Streptococcus</w:t>
            </w:r>
            <w:proofErr w:type="spellEnd"/>
            <w:r w:rsidRPr="006F3DE5">
              <w:rPr>
                <w:i/>
                <w:szCs w:val="22"/>
              </w:rPr>
              <w:t xml:space="preserve"> </w:t>
            </w:r>
            <w:proofErr w:type="spellStart"/>
            <w:r w:rsidRPr="006F3DE5">
              <w:rPr>
                <w:i/>
                <w:szCs w:val="22"/>
              </w:rPr>
              <w:t>suis</w:t>
            </w:r>
            <w:proofErr w:type="spellEnd"/>
            <w:r w:rsidRPr="006F3DE5">
              <w:rPr>
                <w:szCs w:val="22"/>
              </w:rPr>
              <w:t xml:space="preserve"> (56)</w:t>
            </w:r>
          </w:p>
        </w:tc>
        <w:tc>
          <w:tcPr>
            <w:tcW w:w="84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402553" w14:textId="77777777" w:rsidR="00C82966" w:rsidRPr="006F3DE5" w:rsidRDefault="00C82966" w:rsidP="00450FF3">
            <w:pPr>
              <w:rPr>
                <w:szCs w:val="22"/>
              </w:rPr>
            </w:pPr>
            <w:r w:rsidRPr="006F3DE5">
              <w:rPr>
                <w:szCs w:val="22"/>
              </w:rPr>
              <w:t>32</w:t>
            </w:r>
          </w:p>
        </w:tc>
        <w:tc>
          <w:tcPr>
            <w:tcW w:w="848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E4B6DF" w14:textId="77777777" w:rsidR="00C82966" w:rsidRPr="006F3DE5" w:rsidRDefault="00C82966" w:rsidP="00450FF3">
            <w:pPr>
              <w:rPr>
                <w:szCs w:val="22"/>
              </w:rPr>
            </w:pPr>
            <w:r w:rsidRPr="006F3DE5">
              <w:rPr>
                <w:szCs w:val="22"/>
              </w:rPr>
              <w:t>64</w:t>
            </w:r>
          </w:p>
        </w:tc>
        <w:tc>
          <w:tcPr>
            <w:tcW w:w="93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485B0F" w14:textId="77777777" w:rsidR="00C82966" w:rsidRPr="006F3DE5" w:rsidRDefault="00C82966" w:rsidP="00450FF3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F3DE5">
              <w:rPr>
                <w:szCs w:val="22"/>
              </w:rPr>
              <w:t>ČR, 2020</w:t>
            </w:r>
          </w:p>
        </w:tc>
      </w:tr>
      <w:tr w:rsidR="00C82966" w:rsidRPr="009264A3" w14:paraId="4D09BF79" w14:textId="77777777" w:rsidTr="00DC54ED">
        <w:trPr>
          <w:trHeight w:hRule="exact" w:val="255"/>
        </w:trPr>
        <w:tc>
          <w:tcPr>
            <w:tcW w:w="237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B01769" w14:textId="77777777" w:rsidR="00C82966" w:rsidRPr="006F3DE5" w:rsidRDefault="00C82966" w:rsidP="00450FF3">
            <w:pPr>
              <w:rPr>
                <w:i/>
                <w:szCs w:val="22"/>
              </w:rPr>
            </w:pPr>
            <w:proofErr w:type="spellStart"/>
            <w:r w:rsidRPr="006F3DE5">
              <w:rPr>
                <w:i/>
                <w:szCs w:val="22"/>
              </w:rPr>
              <w:t>Staphylococcus</w:t>
            </w:r>
            <w:proofErr w:type="spellEnd"/>
            <w:r w:rsidRPr="006F3DE5">
              <w:rPr>
                <w:i/>
                <w:szCs w:val="22"/>
              </w:rPr>
              <w:t xml:space="preserve"> </w:t>
            </w:r>
            <w:proofErr w:type="spellStart"/>
            <w:r w:rsidRPr="006F3DE5">
              <w:rPr>
                <w:i/>
                <w:szCs w:val="22"/>
              </w:rPr>
              <w:t>hyicus</w:t>
            </w:r>
            <w:proofErr w:type="spellEnd"/>
            <w:r w:rsidRPr="006F3DE5">
              <w:rPr>
                <w:szCs w:val="22"/>
              </w:rPr>
              <w:t xml:space="preserve"> (15)</w:t>
            </w:r>
          </w:p>
        </w:tc>
        <w:tc>
          <w:tcPr>
            <w:tcW w:w="84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7EE4C5" w14:textId="77777777" w:rsidR="00C82966" w:rsidRPr="006F3DE5" w:rsidRDefault="00C82966" w:rsidP="00450FF3">
            <w:pPr>
              <w:rPr>
                <w:szCs w:val="22"/>
              </w:rPr>
            </w:pPr>
            <w:r w:rsidRPr="006F3DE5">
              <w:rPr>
                <w:szCs w:val="22"/>
              </w:rPr>
              <w:t>32</w:t>
            </w:r>
          </w:p>
        </w:tc>
        <w:tc>
          <w:tcPr>
            <w:tcW w:w="848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1B3A4E" w14:textId="77777777" w:rsidR="00C82966" w:rsidRPr="006F3DE5" w:rsidRDefault="00C82966" w:rsidP="00450FF3">
            <w:pPr>
              <w:rPr>
                <w:szCs w:val="22"/>
              </w:rPr>
            </w:pPr>
            <w:r w:rsidRPr="006F3DE5">
              <w:rPr>
                <w:szCs w:val="22"/>
              </w:rPr>
              <w:t>&gt;32</w:t>
            </w:r>
          </w:p>
        </w:tc>
        <w:tc>
          <w:tcPr>
            <w:tcW w:w="93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98628F" w14:textId="77777777" w:rsidR="00C82966" w:rsidRPr="006F3DE5" w:rsidRDefault="00C82966" w:rsidP="00450FF3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F3DE5">
              <w:rPr>
                <w:szCs w:val="22"/>
              </w:rPr>
              <w:t>ČR, 2020</w:t>
            </w:r>
          </w:p>
        </w:tc>
      </w:tr>
      <w:tr w:rsidR="00C82966" w:rsidRPr="009264A3" w14:paraId="3DBEC0AA" w14:textId="77777777" w:rsidTr="00DC54ED">
        <w:trPr>
          <w:trHeight w:hRule="exact" w:val="28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A035ACA" w14:textId="77777777" w:rsidR="00C82966" w:rsidRPr="006F3DE5" w:rsidRDefault="00C82966" w:rsidP="00450FF3">
            <w:pPr>
              <w:jc w:val="center"/>
              <w:rPr>
                <w:b/>
                <w:i/>
                <w:szCs w:val="22"/>
              </w:rPr>
            </w:pPr>
            <w:r w:rsidRPr="006F3DE5">
              <w:rPr>
                <w:b/>
                <w:i/>
                <w:szCs w:val="22"/>
              </w:rPr>
              <w:t>Brojler kura domácího</w:t>
            </w:r>
          </w:p>
        </w:tc>
      </w:tr>
      <w:tr w:rsidR="00C82966" w:rsidRPr="009264A3" w14:paraId="561FC073" w14:textId="77777777" w:rsidTr="00DC54ED">
        <w:trPr>
          <w:trHeight w:hRule="exact" w:val="255"/>
        </w:trPr>
        <w:tc>
          <w:tcPr>
            <w:tcW w:w="2373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9F205F5" w14:textId="77777777" w:rsidR="00C82966" w:rsidRPr="006F3DE5" w:rsidRDefault="00C82966" w:rsidP="00450FF3">
            <w:pPr>
              <w:rPr>
                <w:i/>
                <w:szCs w:val="22"/>
              </w:rPr>
            </w:pPr>
            <w:proofErr w:type="spellStart"/>
            <w:r w:rsidRPr="006F3DE5">
              <w:rPr>
                <w:i/>
                <w:iCs/>
                <w:szCs w:val="22"/>
              </w:rPr>
              <w:t>Bordetella</w:t>
            </w:r>
            <w:proofErr w:type="spellEnd"/>
            <w:r w:rsidRPr="006F3DE5">
              <w:rPr>
                <w:i/>
                <w:iCs/>
                <w:szCs w:val="22"/>
              </w:rPr>
              <w:t xml:space="preserve"> </w:t>
            </w:r>
            <w:proofErr w:type="spellStart"/>
            <w:r w:rsidRPr="006F3DE5">
              <w:rPr>
                <w:i/>
                <w:iCs/>
                <w:szCs w:val="22"/>
              </w:rPr>
              <w:t>avium</w:t>
            </w:r>
            <w:proofErr w:type="spellEnd"/>
            <w:r w:rsidRPr="006F3DE5">
              <w:rPr>
                <w:szCs w:val="22"/>
              </w:rPr>
              <w:t xml:space="preserve"> (19)</w:t>
            </w:r>
          </w:p>
        </w:tc>
        <w:tc>
          <w:tcPr>
            <w:tcW w:w="846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4DB7DCB" w14:textId="77777777" w:rsidR="00C82966" w:rsidRPr="006F3DE5" w:rsidRDefault="00C82966" w:rsidP="00450FF3">
            <w:pPr>
              <w:rPr>
                <w:szCs w:val="22"/>
              </w:rPr>
            </w:pPr>
            <w:r w:rsidRPr="006F3DE5">
              <w:rPr>
                <w:szCs w:val="22"/>
              </w:rPr>
              <w:t>0,06*</w:t>
            </w:r>
          </w:p>
        </w:tc>
        <w:tc>
          <w:tcPr>
            <w:tcW w:w="848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3759CE6" w14:textId="77777777" w:rsidR="00C82966" w:rsidRPr="006F3DE5" w:rsidRDefault="00C82966" w:rsidP="00450FF3">
            <w:pPr>
              <w:rPr>
                <w:szCs w:val="22"/>
              </w:rPr>
            </w:pPr>
          </w:p>
        </w:tc>
        <w:tc>
          <w:tcPr>
            <w:tcW w:w="933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21120B0" w14:textId="77777777" w:rsidR="00C82966" w:rsidRPr="006F3DE5" w:rsidRDefault="00C82966" w:rsidP="00450FF3">
            <w:pPr>
              <w:rPr>
                <w:szCs w:val="22"/>
              </w:rPr>
            </w:pPr>
            <w:r w:rsidRPr="006F3DE5">
              <w:rPr>
                <w:szCs w:val="22"/>
              </w:rPr>
              <w:t>HU, 2014</w:t>
            </w:r>
          </w:p>
        </w:tc>
      </w:tr>
      <w:tr w:rsidR="00C82966" w:rsidRPr="009264A3" w14:paraId="72045FDB" w14:textId="77777777" w:rsidTr="00DC54ED">
        <w:trPr>
          <w:trHeight w:hRule="exact" w:val="255"/>
        </w:trPr>
        <w:tc>
          <w:tcPr>
            <w:tcW w:w="237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26E4AE" w14:textId="77777777" w:rsidR="00C82966" w:rsidRPr="006F3DE5" w:rsidRDefault="00C82966" w:rsidP="00450FF3">
            <w:pPr>
              <w:rPr>
                <w:i/>
                <w:szCs w:val="22"/>
              </w:rPr>
            </w:pPr>
            <w:proofErr w:type="spellStart"/>
            <w:r w:rsidRPr="006F3DE5">
              <w:rPr>
                <w:i/>
                <w:szCs w:val="22"/>
              </w:rPr>
              <w:t>Escherichia</w:t>
            </w:r>
            <w:proofErr w:type="spellEnd"/>
            <w:r w:rsidRPr="006F3DE5">
              <w:rPr>
                <w:i/>
                <w:szCs w:val="22"/>
              </w:rPr>
              <w:t xml:space="preserve"> coli</w:t>
            </w:r>
            <w:r w:rsidRPr="006F3DE5">
              <w:rPr>
                <w:szCs w:val="22"/>
              </w:rPr>
              <w:t xml:space="preserve"> (190)</w:t>
            </w:r>
          </w:p>
        </w:tc>
        <w:tc>
          <w:tcPr>
            <w:tcW w:w="84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1FA614" w14:textId="77777777" w:rsidR="00C82966" w:rsidRPr="006F3DE5" w:rsidRDefault="00C82966" w:rsidP="00450FF3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F3DE5">
              <w:rPr>
                <w:szCs w:val="22"/>
              </w:rPr>
              <w:t>1</w:t>
            </w:r>
          </w:p>
        </w:tc>
        <w:tc>
          <w:tcPr>
            <w:tcW w:w="848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330FF3" w14:textId="77777777" w:rsidR="00C82966" w:rsidRPr="006F3DE5" w:rsidRDefault="00C82966" w:rsidP="00450FF3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F3DE5">
              <w:rPr>
                <w:szCs w:val="22"/>
              </w:rPr>
              <w:t>&gt;64</w:t>
            </w:r>
          </w:p>
        </w:tc>
        <w:tc>
          <w:tcPr>
            <w:tcW w:w="93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F7D071" w14:textId="77777777" w:rsidR="00C82966" w:rsidRPr="006F3DE5" w:rsidRDefault="00C82966" w:rsidP="00450FF3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F3DE5">
              <w:rPr>
                <w:szCs w:val="22"/>
              </w:rPr>
              <w:t>ČR, 2020</w:t>
            </w:r>
          </w:p>
        </w:tc>
      </w:tr>
      <w:tr w:rsidR="00C82966" w:rsidRPr="009264A3" w14:paraId="3C144E96" w14:textId="77777777" w:rsidTr="00DC54ED">
        <w:trPr>
          <w:trHeight w:hRule="exact" w:val="255"/>
        </w:trPr>
        <w:tc>
          <w:tcPr>
            <w:tcW w:w="237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DE4879" w14:textId="77777777" w:rsidR="00C82966" w:rsidRPr="006F3DE5" w:rsidRDefault="00C82966" w:rsidP="00450FF3">
            <w:pPr>
              <w:rPr>
                <w:i/>
                <w:szCs w:val="22"/>
              </w:rPr>
            </w:pPr>
            <w:proofErr w:type="spellStart"/>
            <w:r w:rsidRPr="006F3DE5">
              <w:rPr>
                <w:rStyle w:val="hps"/>
                <w:i/>
                <w:szCs w:val="22"/>
              </w:rPr>
              <w:t>Enterococcus</w:t>
            </w:r>
            <w:proofErr w:type="spellEnd"/>
            <w:r w:rsidRPr="006F3DE5">
              <w:rPr>
                <w:rStyle w:val="hps"/>
                <w:i/>
                <w:szCs w:val="22"/>
              </w:rPr>
              <w:t xml:space="preserve"> </w:t>
            </w:r>
            <w:proofErr w:type="spellStart"/>
            <w:r w:rsidRPr="006F3DE5">
              <w:rPr>
                <w:rStyle w:val="hps"/>
                <w:i/>
                <w:szCs w:val="22"/>
              </w:rPr>
              <w:t>faecalis</w:t>
            </w:r>
            <w:proofErr w:type="spellEnd"/>
            <w:r w:rsidRPr="006F3DE5">
              <w:rPr>
                <w:szCs w:val="22"/>
              </w:rPr>
              <w:t xml:space="preserve"> (164)</w:t>
            </w:r>
          </w:p>
        </w:tc>
        <w:tc>
          <w:tcPr>
            <w:tcW w:w="84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8F23CB" w14:textId="77777777" w:rsidR="00C82966" w:rsidRPr="006F3DE5" w:rsidRDefault="00C82966" w:rsidP="00450FF3">
            <w:pPr>
              <w:rPr>
                <w:szCs w:val="22"/>
              </w:rPr>
            </w:pPr>
            <w:r w:rsidRPr="006F3DE5">
              <w:rPr>
                <w:szCs w:val="22"/>
              </w:rPr>
              <w:t>32</w:t>
            </w:r>
          </w:p>
        </w:tc>
        <w:tc>
          <w:tcPr>
            <w:tcW w:w="848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5D1AC9" w14:textId="77777777" w:rsidR="00C82966" w:rsidRPr="006F3DE5" w:rsidRDefault="00C82966" w:rsidP="00450FF3">
            <w:pPr>
              <w:rPr>
                <w:szCs w:val="22"/>
              </w:rPr>
            </w:pPr>
            <w:r w:rsidRPr="006F3DE5">
              <w:rPr>
                <w:szCs w:val="22"/>
              </w:rPr>
              <w:t>&gt;32</w:t>
            </w:r>
          </w:p>
        </w:tc>
        <w:tc>
          <w:tcPr>
            <w:tcW w:w="93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D9440C" w14:textId="77777777" w:rsidR="00C82966" w:rsidRPr="006F3DE5" w:rsidRDefault="00C82966" w:rsidP="00450FF3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F3DE5">
              <w:rPr>
                <w:szCs w:val="22"/>
              </w:rPr>
              <w:t>ČR, 2020</w:t>
            </w:r>
          </w:p>
        </w:tc>
      </w:tr>
      <w:tr w:rsidR="00C82966" w:rsidRPr="009264A3" w14:paraId="36BD3B81" w14:textId="77777777" w:rsidTr="00DC54ED">
        <w:trPr>
          <w:trHeight w:hRule="exact" w:val="255"/>
        </w:trPr>
        <w:tc>
          <w:tcPr>
            <w:tcW w:w="237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179C3E" w14:textId="77777777" w:rsidR="00C82966" w:rsidRPr="006F3DE5" w:rsidRDefault="00C82966" w:rsidP="00450FF3">
            <w:pPr>
              <w:rPr>
                <w:i/>
                <w:szCs w:val="22"/>
              </w:rPr>
            </w:pPr>
            <w:proofErr w:type="spellStart"/>
            <w:r w:rsidRPr="006F3DE5">
              <w:rPr>
                <w:rStyle w:val="hps"/>
                <w:i/>
                <w:szCs w:val="22"/>
              </w:rPr>
              <w:t>Enterococcus</w:t>
            </w:r>
            <w:proofErr w:type="spellEnd"/>
            <w:r w:rsidRPr="006F3DE5">
              <w:rPr>
                <w:rStyle w:val="hps"/>
                <w:i/>
                <w:szCs w:val="22"/>
              </w:rPr>
              <w:t xml:space="preserve"> </w:t>
            </w:r>
            <w:proofErr w:type="spellStart"/>
            <w:r w:rsidRPr="006F3DE5">
              <w:rPr>
                <w:rStyle w:val="hps"/>
                <w:i/>
                <w:szCs w:val="22"/>
              </w:rPr>
              <w:t>faecium</w:t>
            </w:r>
            <w:proofErr w:type="spellEnd"/>
            <w:r w:rsidRPr="006F3DE5">
              <w:rPr>
                <w:szCs w:val="22"/>
              </w:rPr>
              <w:t xml:space="preserve"> (30)</w:t>
            </w:r>
          </w:p>
        </w:tc>
        <w:tc>
          <w:tcPr>
            <w:tcW w:w="84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D1E8DE" w14:textId="77777777" w:rsidR="00C82966" w:rsidRPr="006F3DE5" w:rsidRDefault="00C82966" w:rsidP="00450FF3">
            <w:pPr>
              <w:rPr>
                <w:szCs w:val="22"/>
              </w:rPr>
            </w:pPr>
            <w:r w:rsidRPr="006F3DE5">
              <w:rPr>
                <w:szCs w:val="22"/>
              </w:rPr>
              <w:t>32</w:t>
            </w:r>
          </w:p>
        </w:tc>
        <w:tc>
          <w:tcPr>
            <w:tcW w:w="848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DF4752" w14:textId="77777777" w:rsidR="00C82966" w:rsidRPr="006F3DE5" w:rsidRDefault="00C82966" w:rsidP="00450FF3">
            <w:pPr>
              <w:rPr>
                <w:szCs w:val="22"/>
              </w:rPr>
            </w:pPr>
            <w:r w:rsidRPr="006F3DE5">
              <w:rPr>
                <w:szCs w:val="22"/>
              </w:rPr>
              <w:t>&gt;32</w:t>
            </w:r>
          </w:p>
        </w:tc>
        <w:tc>
          <w:tcPr>
            <w:tcW w:w="93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BFD0E3" w14:textId="77777777" w:rsidR="00C82966" w:rsidRPr="006F3DE5" w:rsidRDefault="00C82966" w:rsidP="00450FF3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F3DE5">
              <w:rPr>
                <w:szCs w:val="22"/>
              </w:rPr>
              <w:t>ČR, 2020</w:t>
            </w:r>
          </w:p>
        </w:tc>
      </w:tr>
      <w:tr w:rsidR="00C82966" w:rsidRPr="009264A3" w14:paraId="247236C5" w14:textId="77777777" w:rsidTr="00DC54ED">
        <w:trPr>
          <w:trHeight w:hRule="exact" w:val="255"/>
        </w:trPr>
        <w:tc>
          <w:tcPr>
            <w:tcW w:w="237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A08FB2" w14:textId="77777777" w:rsidR="00C82966" w:rsidRPr="006F3DE5" w:rsidRDefault="00C82966" w:rsidP="00450FF3">
            <w:pPr>
              <w:rPr>
                <w:i/>
                <w:szCs w:val="22"/>
              </w:rPr>
            </w:pPr>
            <w:proofErr w:type="spellStart"/>
            <w:r w:rsidRPr="006F3DE5">
              <w:rPr>
                <w:rStyle w:val="hps"/>
                <w:i/>
                <w:szCs w:val="22"/>
              </w:rPr>
              <w:lastRenderedPageBreak/>
              <w:t>Enterococcus</w:t>
            </w:r>
            <w:proofErr w:type="spellEnd"/>
            <w:r w:rsidRPr="006F3DE5">
              <w:rPr>
                <w:rStyle w:val="hps"/>
                <w:i/>
                <w:szCs w:val="22"/>
              </w:rPr>
              <w:t xml:space="preserve"> </w:t>
            </w:r>
            <w:proofErr w:type="spellStart"/>
            <w:r w:rsidRPr="006F3DE5">
              <w:rPr>
                <w:rStyle w:val="hps"/>
                <w:i/>
                <w:szCs w:val="22"/>
              </w:rPr>
              <w:t>gallinarum</w:t>
            </w:r>
            <w:proofErr w:type="spellEnd"/>
            <w:r w:rsidRPr="006F3DE5">
              <w:rPr>
                <w:szCs w:val="22"/>
              </w:rPr>
              <w:t xml:space="preserve"> (9)</w:t>
            </w:r>
          </w:p>
        </w:tc>
        <w:tc>
          <w:tcPr>
            <w:tcW w:w="84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B5633F" w14:textId="77777777" w:rsidR="00C82966" w:rsidRPr="006F3DE5" w:rsidRDefault="00C82966" w:rsidP="00450FF3">
            <w:pPr>
              <w:rPr>
                <w:szCs w:val="22"/>
              </w:rPr>
            </w:pPr>
            <w:r w:rsidRPr="006F3DE5">
              <w:rPr>
                <w:szCs w:val="22"/>
              </w:rPr>
              <w:t>&gt;32</w:t>
            </w:r>
          </w:p>
        </w:tc>
        <w:tc>
          <w:tcPr>
            <w:tcW w:w="848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AD61F2" w14:textId="77777777" w:rsidR="00C82966" w:rsidRPr="006F3DE5" w:rsidRDefault="00C82966" w:rsidP="00450FF3">
            <w:pPr>
              <w:rPr>
                <w:szCs w:val="22"/>
              </w:rPr>
            </w:pPr>
            <w:r w:rsidRPr="006F3DE5">
              <w:rPr>
                <w:szCs w:val="22"/>
              </w:rPr>
              <w:t>&gt;32</w:t>
            </w:r>
          </w:p>
        </w:tc>
        <w:tc>
          <w:tcPr>
            <w:tcW w:w="93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9356B4" w14:textId="77777777" w:rsidR="00C82966" w:rsidRPr="006F3DE5" w:rsidRDefault="00C82966" w:rsidP="00450FF3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F3DE5">
              <w:rPr>
                <w:szCs w:val="22"/>
              </w:rPr>
              <w:t>ČR, 2020</w:t>
            </w:r>
          </w:p>
        </w:tc>
      </w:tr>
      <w:tr w:rsidR="00C82966" w:rsidRPr="009264A3" w14:paraId="40DB0CA0" w14:textId="77777777" w:rsidTr="00DC54ED">
        <w:trPr>
          <w:trHeight w:hRule="exact" w:val="255"/>
        </w:trPr>
        <w:tc>
          <w:tcPr>
            <w:tcW w:w="237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ABF550" w14:textId="77777777" w:rsidR="00C82966" w:rsidRPr="006F3DE5" w:rsidRDefault="00C82966" w:rsidP="00450FF3">
            <w:pPr>
              <w:rPr>
                <w:i/>
                <w:szCs w:val="22"/>
              </w:rPr>
            </w:pPr>
            <w:proofErr w:type="spellStart"/>
            <w:r w:rsidRPr="006F3DE5">
              <w:rPr>
                <w:rStyle w:val="hps"/>
                <w:i/>
                <w:szCs w:val="22"/>
              </w:rPr>
              <w:t>Enterococcus</w:t>
            </w:r>
            <w:proofErr w:type="spellEnd"/>
            <w:r w:rsidRPr="006F3DE5">
              <w:rPr>
                <w:rStyle w:val="hps"/>
                <w:i/>
                <w:szCs w:val="22"/>
              </w:rPr>
              <w:t xml:space="preserve"> </w:t>
            </w:r>
            <w:proofErr w:type="spellStart"/>
            <w:r w:rsidRPr="006F3DE5">
              <w:rPr>
                <w:rStyle w:val="hps"/>
                <w:i/>
                <w:szCs w:val="22"/>
              </w:rPr>
              <w:t>hirae</w:t>
            </w:r>
            <w:proofErr w:type="spellEnd"/>
            <w:r w:rsidRPr="006F3DE5">
              <w:rPr>
                <w:szCs w:val="22"/>
              </w:rPr>
              <w:t xml:space="preserve"> (7)</w:t>
            </w:r>
          </w:p>
        </w:tc>
        <w:tc>
          <w:tcPr>
            <w:tcW w:w="84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EEDE6B" w14:textId="77777777" w:rsidR="00C82966" w:rsidRPr="006F3DE5" w:rsidRDefault="00C82966" w:rsidP="00450FF3">
            <w:pPr>
              <w:rPr>
                <w:szCs w:val="22"/>
              </w:rPr>
            </w:pPr>
            <w:r w:rsidRPr="006F3DE5">
              <w:rPr>
                <w:szCs w:val="22"/>
              </w:rPr>
              <w:t>≤0,25</w:t>
            </w:r>
          </w:p>
        </w:tc>
        <w:tc>
          <w:tcPr>
            <w:tcW w:w="848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D79F57" w14:textId="77777777" w:rsidR="00C82966" w:rsidRPr="006F3DE5" w:rsidRDefault="00C82966" w:rsidP="00450FF3">
            <w:pPr>
              <w:rPr>
                <w:szCs w:val="22"/>
              </w:rPr>
            </w:pPr>
            <w:r w:rsidRPr="006F3DE5">
              <w:rPr>
                <w:szCs w:val="22"/>
              </w:rPr>
              <w:t>&gt;32</w:t>
            </w:r>
          </w:p>
        </w:tc>
        <w:tc>
          <w:tcPr>
            <w:tcW w:w="93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0898D0" w14:textId="77777777" w:rsidR="00C82966" w:rsidRPr="006F3DE5" w:rsidRDefault="00C82966" w:rsidP="00450FF3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F3DE5">
              <w:rPr>
                <w:szCs w:val="22"/>
              </w:rPr>
              <w:t>ČR, 2020</w:t>
            </w:r>
          </w:p>
        </w:tc>
      </w:tr>
      <w:tr w:rsidR="00C82966" w:rsidRPr="009264A3" w14:paraId="30614D45" w14:textId="77777777" w:rsidTr="00DC54ED">
        <w:trPr>
          <w:trHeight w:hRule="exact" w:val="255"/>
        </w:trPr>
        <w:tc>
          <w:tcPr>
            <w:tcW w:w="237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801E48" w14:textId="77777777" w:rsidR="00C82966" w:rsidRPr="006F3DE5" w:rsidRDefault="00C82966" w:rsidP="00450FF3">
            <w:pPr>
              <w:rPr>
                <w:i/>
                <w:szCs w:val="22"/>
              </w:rPr>
            </w:pPr>
            <w:proofErr w:type="spellStart"/>
            <w:r w:rsidRPr="006F3DE5">
              <w:rPr>
                <w:rStyle w:val="hps"/>
                <w:i/>
                <w:szCs w:val="22"/>
              </w:rPr>
              <w:t>Enterobacter</w:t>
            </w:r>
            <w:proofErr w:type="spellEnd"/>
            <w:r w:rsidRPr="006F3DE5">
              <w:rPr>
                <w:rStyle w:val="hps"/>
                <w:i/>
                <w:szCs w:val="22"/>
              </w:rPr>
              <w:t xml:space="preserve"> </w:t>
            </w:r>
            <w:proofErr w:type="spellStart"/>
            <w:r w:rsidRPr="006F3DE5">
              <w:rPr>
                <w:rStyle w:val="hps"/>
                <w:szCs w:val="22"/>
              </w:rPr>
              <w:t>spp</w:t>
            </w:r>
            <w:proofErr w:type="spellEnd"/>
            <w:r w:rsidRPr="006F3DE5">
              <w:rPr>
                <w:rStyle w:val="hps"/>
                <w:szCs w:val="22"/>
              </w:rPr>
              <w:t>.</w:t>
            </w:r>
            <w:r w:rsidRPr="006F3DE5">
              <w:rPr>
                <w:szCs w:val="22"/>
              </w:rPr>
              <w:t xml:space="preserve"> (2)</w:t>
            </w:r>
          </w:p>
        </w:tc>
        <w:tc>
          <w:tcPr>
            <w:tcW w:w="84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1686ED" w14:textId="77777777" w:rsidR="00C82966" w:rsidRPr="006F3DE5" w:rsidRDefault="00C82966" w:rsidP="00450FF3">
            <w:pPr>
              <w:rPr>
                <w:szCs w:val="22"/>
              </w:rPr>
            </w:pPr>
            <w:r w:rsidRPr="006F3DE5">
              <w:rPr>
                <w:szCs w:val="22"/>
              </w:rPr>
              <w:t>2</w:t>
            </w:r>
          </w:p>
        </w:tc>
        <w:tc>
          <w:tcPr>
            <w:tcW w:w="848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42F29C" w14:textId="77777777" w:rsidR="00C82966" w:rsidRPr="006F3DE5" w:rsidRDefault="00C82966" w:rsidP="00450FF3">
            <w:pPr>
              <w:rPr>
                <w:szCs w:val="22"/>
              </w:rPr>
            </w:pPr>
            <w:r w:rsidRPr="006F3DE5">
              <w:rPr>
                <w:szCs w:val="22"/>
              </w:rPr>
              <w:t>2</w:t>
            </w:r>
          </w:p>
        </w:tc>
        <w:tc>
          <w:tcPr>
            <w:tcW w:w="93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623392" w14:textId="77777777" w:rsidR="00C82966" w:rsidRPr="006F3DE5" w:rsidRDefault="00C82966" w:rsidP="00450FF3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F3DE5">
              <w:rPr>
                <w:szCs w:val="22"/>
              </w:rPr>
              <w:t>ČR, 2020</w:t>
            </w:r>
          </w:p>
        </w:tc>
      </w:tr>
      <w:tr w:rsidR="00C82966" w:rsidRPr="009264A3" w14:paraId="7F0DBF73" w14:textId="77777777" w:rsidTr="00DC54ED">
        <w:trPr>
          <w:trHeight w:hRule="exact" w:val="255"/>
        </w:trPr>
        <w:tc>
          <w:tcPr>
            <w:tcW w:w="2373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FDE12D4" w14:textId="77777777" w:rsidR="00C82966" w:rsidRPr="006F3DE5" w:rsidRDefault="00C82966" w:rsidP="00450FF3">
            <w:pPr>
              <w:rPr>
                <w:i/>
                <w:szCs w:val="22"/>
              </w:rPr>
            </w:pPr>
            <w:proofErr w:type="spellStart"/>
            <w:r w:rsidRPr="006F3DE5">
              <w:rPr>
                <w:rStyle w:val="hps"/>
                <w:i/>
                <w:szCs w:val="22"/>
              </w:rPr>
              <w:t>Staphylococcus</w:t>
            </w:r>
            <w:proofErr w:type="spellEnd"/>
            <w:r w:rsidRPr="006F3DE5">
              <w:rPr>
                <w:rStyle w:val="hps"/>
                <w:i/>
                <w:szCs w:val="22"/>
              </w:rPr>
              <w:t xml:space="preserve"> aureus</w:t>
            </w:r>
            <w:r w:rsidRPr="006F3DE5">
              <w:rPr>
                <w:szCs w:val="22"/>
              </w:rPr>
              <w:t xml:space="preserve"> (12)</w:t>
            </w:r>
          </w:p>
        </w:tc>
        <w:tc>
          <w:tcPr>
            <w:tcW w:w="846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58522CA" w14:textId="77777777" w:rsidR="00C82966" w:rsidRPr="006F3DE5" w:rsidRDefault="00C82966" w:rsidP="00450FF3">
            <w:pPr>
              <w:rPr>
                <w:szCs w:val="22"/>
              </w:rPr>
            </w:pPr>
            <w:r w:rsidRPr="006F3DE5">
              <w:rPr>
                <w:szCs w:val="22"/>
              </w:rPr>
              <w:t>≤0,25</w:t>
            </w:r>
          </w:p>
        </w:tc>
        <w:tc>
          <w:tcPr>
            <w:tcW w:w="848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F9455B4" w14:textId="77777777" w:rsidR="00C82966" w:rsidRPr="006F3DE5" w:rsidRDefault="00C82966" w:rsidP="00450FF3">
            <w:pPr>
              <w:rPr>
                <w:szCs w:val="22"/>
              </w:rPr>
            </w:pPr>
            <w:r w:rsidRPr="006F3DE5">
              <w:rPr>
                <w:szCs w:val="22"/>
              </w:rPr>
              <w:t>≤0,25</w:t>
            </w:r>
          </w:p>
        </w:tc>
        <w:tc>
          <w:tcPr>
            <w:tcW w:w="933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8A8CEAD" w14:textId="77777777" w:rsidR="00C82966" w:rsidRPr="006F3DE5" w:rsidRDefault="00C82966" w:rsidP="00450FF3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F3DE5">
              <w:rPr>
                <w:szCs w:val="22"/>
              </w:rPr>
              <w:t>ČR, 2020</w:t>
            </w:r>
          </w:p>
        </w:tc>
      </w:tr>
    </w:tbl>
    <w:p w14:paraId="4D76A1AD" w14:textId="77777777" w:rsidR="00C82966" w:rsidRPr="006F3DE5" w:rsidRDefault="00C82966" w:rsidP="00C82966">
      <w:pPr>
        <w:jc w:val="both"/>
        <w:rPr>
          <w:i/>
          <w:szCs w:val="22"/>
        </w:rPr>
      </w:pPr>
      <w:r w:rsidRPr="006F3DE5">
        <w:rPr>
          <w:i/>
          <w:szCs w:val="22"/>
        </w:rPr>
        <w:t>* hodnota platná pro doxycyklin</w:t>
      </w:r>
    </w:p>
    <w:p w14:paraId="5B255046" w14:textId="77777777" w:rsidR="00C82966" w:rsidRPr="006F3DE5" w:rsidRDefault="00C82966" w:rsidP="00C82966">
      <w:pPr>
        <w:jc w:val="both"/>
        <w:rPr>
          <w:szCs w:val="22"/>
        </w:rPr>
      </w:pPr>
    </w:p>
    <w:p w14:paraId="418572E2" w14:textId="77777777" w:rsidR="00C82966" w:rsidRPr="006F3DE5" w:rsidRDefault="00C82966" w:rsidP="00C82966">
      <w:pPr>
        <w:tabs>
          <w:tab w:val="num" w:pos="1440"/>
        </w:tabs>
        <w:jc w:val="both"/>
        <w:rPr>
          <w:szCs w:val="22"/>
        </w:rPr>
      </w:pPr>
      <w:r w:rsidRPr="006F3DE5">
        <w:rPr>
          <w:szCs w:val="22"/>
        </w:rPr>
        <w:t>Hraniční hodnoty MIC stanovené pro skupinu základních tetracyklinů podle CLSI (2018) jsou následující (mikroorganismy s výjimkou streptokoků): citlivé: ≤4 mg/ml, intermediární: 8 mg/ml, rezistentní: ≥16 mg/ml.</w:t>
      </w:r>
    </w:p>
    <w:p w14:paraId="37951FB2" w14:textId="77777777" w:rsidR="00C82966" w:rsidRPr="006F3DE5" w:rsidRDefault="00C82966" w:rsidP="00C82966">
      <w:pPr>
        <w:tabs>
          <w:tab w:val="num" w:pos="1440"/>
        </w:tabs>
        <w:jc w:val="both"/>
        <w:rPr>
          <w:szCs w:val="22"/>
        </w:rPr>
      </w:pPr>
    </w:p>
    <w:p w14:paraId="6EEDB01A" w14:textId="77777777" w:rsidR="00C82966" w:rsidRPr="006F3DE5" w:rsidRDefault="00C82966" w:rsidP="00C82966">
      <w:pPr>
        <w:jc w:val="both"/>
        <w:rPr>
          <w:b/>
          <w:szCs w:val="22"/>
        </w:rPr>
      </w:pPr>
      <w:r w:rsidRPr="006F3DE5">
        <w:rPr>
          <w:b/>
          <w:szCs w:val="22"/>
        </w:rPr>
        <w:t>Rezistence</w:t>
      </w:r>
    </w:p>
    <w:p w14:paraId="2F89B761" w14:textId="77777777" w:rsidR="00C82966" w:rsidRPr="006F3DE5" w:rsidRDefault="00C82966" w:rsidP="00C82966">
      <w:pPr>
        <w:pStyle w:val="Zkladntextodsazen"/>
        <w:ind w:left="0" w:firstLine="0"/>
        <w:jc w:val="both"/>
        <w:rPr>
          <w:b w:val="0"/>
          <w:bCs/>
          <w:szCs w:val="22"/>
        </w:rPr>
      </w:pPr>
      <w:r w:rsidRPr="006F3DE5">
        <w:rPr>
          <w:b w:val="0"/>
          <w:bCs/>
          <w:szCs w:val="22"/>
        </w:rPr>
        <w:t xml:space="preserve">Rezistence k tetracyklinům je častá. Byly zaznamenány čtyři mechanismy získané rezistence mikroorganismů proti tetracyklinům obecně: snížená akumulace tetracyklinů (snížená propustnost bakteriální buněčné stěny a aktivní </w:t>
      </w:r>
      <w:proofErr w:type="spellStart"/>
      <w:r w:rsidRPr="006F3DE5">
        <w:rPr>
          <w:b w:val="0"/>
          <w:bCs/>
          <w:szCs w:val="22"/>
        </w:rPr>
        <w:t>eflux</w:t>
      </w:r>
      <w:proofErr w:type="spellEnd"/>
      <w:r w:rsidRPr="006F3DE5">
        <w:rPr>
          <w:b w:val="0"/>
          <w:bCs/>
          <w:szCs w:val="22"/>
        </w:rPr>
        <w:t xml:space="preserve">), ochrana bakteriálního ribozomu specifickými proteiny, enzymatická inaktivace antibiotik a změna primární struktury ribozomální RNA (brání tetracyklinu navázat se na ribozom). </w:t>
      </w:r>
    </w:p>
    <w:p w14:paraId="50FA42E3" w14:textId="514CC74C" w:rsidR="00C114FF" w:rsidRPr="006F3DE5" w:rsidRDefault="00C82966" w:rsidP="0033129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F3DE5">
        <w:rPr>
          <w:bCs/>
          <w:szCs w:val="22"/>
        </w:rPr>
        <w:t>Rezistence vůči tetracyklinu</w:t>
      </w:r>
      <w:r w:rsidRPr="006F3DE5">
        <w:rPr>
          <w:szCs w:val="22"/>
        </w:rPr>
        <w:t xml:space="preserve"> je obvykle přenášena prostřednictvím </w:t>
      </w:r>
      <w:proofErr w:type="spellStart"/>
      <w:r w:rsidRPr="006F3DE5">
        <w:rPr>
          <w:szCs w:val="22"/>
        </w:rPr>
        <w:t>plazmidů</w:t>
      </w:r>
      <w:proofErr w:type="spellEnd"/>
      <w:r w:rsidRPr="006F3DE5">
        <w:rPr>
          <w:szCs w:val="22"/>
        </w:rPr>
        <w:t xml:space="preserve"> nebo jiných mobilních elementů (např. </w:t>
      </w:r>
      <w:proofErr w:type="spellStart"/>
      <w:r w:rsidRPr="006F3DE5">
        <w:rPr>
          <w:szCs w:val="22"/>
        </w:rPr>
        <w:t>konjugativních</w:t>
      </w:r>
      <w:proofErr w:type="spellEnd"/>
      <w:r w:rsidRPr="006F3DE5">
        <w:rPr>
          <w:szCs w:val="22"/>
        </w:rPr>
        <w:t xml:space="preserve"> </w:t>
      </w:r>
      <w:proofErr w:type="spellStart"/>
      <w:r w:rsidRPr="006F3DE5">
        <w:rPr>
          <w:szCs w:val="22"/>
        </w:rPr>
        <w:t>transpozonů</w:t>
      </w:r>
      <w:proofErr w:type="spellEnd"/>
      <w:r w:rsidRPr="006F3DE5">
        <w:rPr>
          <w:szCs w:val="22"/>
        </w:rPr>
        <w:t>). Byla rovněž popsána zkřížená rezistence mezi tetracykliny.</w:t>
      </w:r>
    </w:p>
    <w:p w14:paraId="3BB23B3F" w14:textId="77777777" w:rsidR="00C82966" w:rsidRPr="006F3DE5" w:rsidRDefault="00C82966" w:rsidP="00C82966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0F206ABB" w:rsidR="00C114FF" w:rsidRPr="006F3DE5" w:rsidRDefault="002173D0" w:rsidP="00231D97">
      <w:pPr>
        <w:pStyle w:val="Nadpis1"/>
        <w:rPr>
          <w:sz w:val="22"/>
          <w:szCs w:val="22"/>
        </w:rPr>
      </w:pPr>
      <w:bookmarkStart w:id="40" w:name="_Toc215117345"/>
      <w:r w:rsidRPr="006F3DE5">
        <w:rPr>
          <w:caps w:val="0"/>
          <w:sz w:val="22"/>
          <w:szCs w:val="22"/>
        </w:rPr>
        <w:t>4.3</w:t>
      </w:r>
      <w:r w:rsidRPr="006F3DE5">
        <w:rPr>
          <w:caps w:val="0"/>
          <w:sz w:val="22"/>
          <w:szCs w:val="22"/>
        </w:rPr>
        <w:tab/>
        <w:t>Farmakokinetika</w:t>
      </w:r>
      <w:bookmarkEnd w:id="40"/>
    </w:p>
    <w:p w14:paraId="223A65DA" w14:textId="30AEED83" w:rsidR="00C82966" w:rsidRPr="006F3DE5" w:rsidRDefault="00C82966" w:rsidP="00C82966">
      <w:pPr>
        <w:tabs>
          <w:tab w:val="num" w:pos="1440"/>
        </w:tabs>
        <w:jc w:val="both"/>
        <w:rPr>
          <w:szCs w:val="22"/>
        </w:rPr>
      </w:pPr>
      <w:r w:rsidRPr="006F3DE5">
        <w:rPr>
          <w:szCs w:val="22"/>
        </w:rPr>
        <w:t>Chlortetracyklin se z trávicího traktu velmi dobře vstřebává. Tetracykliny velmi snadno vytváří cheláty s polyvalentními kationty, čímž se výrazně snižuje jejich absorpce. Takto účinkují zejména ionty: Ca</w:t>
      </w:r>
      <w:r w:rsidRPr="006F3DE5">
        <w:rPr>
          <w:szCs w:val="22"/>
          <w:vertAlign w:val="superscript"/>
        </w:rPr>
        <w:t>2+</w:t>
      </w:r>
      <w:r w:rsidRPr="006F3DE5">
        <w:rPr>
          <w:szCs w:val="22"/>
        </w:rPr>
        <w:t xml:space="preserve"> - obsažené především v mléčných produktech, Mg</w:t>
      </w:r>
      <w:r w:rsidRPr="006F3DE5">
        <w:rPr>
          <w:szCs w:val="22"/>
          <w:vertAlign w:val="superscript"/>
        </w:rPr>
        <w:t>2+</w:t>
      </w:r>
      <w:r w:rsidRPr="006F3DE5">
        <w:rPr>
          <w:szCs w:val="22"/>
        </w:rPr>
        <w:t xml:space="preserve"> - obsažené v některých laxativech, Fe</w:t>
      </w:r>
      <w:r w:rsidRPr="006F3DE5">
        <w:rPr>
          <w:szCs w:val="22"/>
          <w:vertAlign w:val="superscript"/>
        </w:rPr>
        <w:t>2+</w:t>
      </w:r>
      <w:r w:rsidRPr="006F3DE5">
        <w:rPr>
          <w:szCs w:val="22"/>
        </w:rPr>
        <w:t>, Al</w:t>
      </w:r>
      <w:r w:rsidRPr="006F3DE5">
        <w:rPr>
          <w:szCs w:val="22"/>
          <w:vertAlign w:val="superscript"/>
        </w:rPr>
        <w:t>3+</w:t>
      </w:r>
      <w:r w:rsidRPr="006F3DE5">
        <w:rPr>
          <w:szCs w:val="22"/>
        </w:rPr>
        <w:t xml:space="preserve">, kaolin/pektinové preparáty a </w:t>
      </w:r>
      <w:proofErr w:type="spellStart"/>
      <w:r w:rsidRPr="006F3DE5">
        <w:rPr>
          <w:szCs w:val="22"/>
        </w:rPr>
        <w:t>antacida</w:t>
      </w:r>
      <w:proofErr w:type="spellEnd"/>
      <w:r w:rsidRPr="006F3DE5">
        <w:rPr>
          <w:szCs w:val="22"/>
        </w:rPr>
        <w:t>. Chlortetracyklin po vstřebání dosahuje maximálních plazmatických koncentrací (</w:t>
      </w:r>
      <w:proofErr w:type="spellStart"/>
      <w:r w:rsidRPr="006F3DE5">
        <w:rPr>
          <w:szCs w:val="22"/>
        </w:rPr>
        <w:t>C</w:t>
      </w:r>
      <w:r w:rsidRPr="006F3DE5">
        <w:rPr>
          <w:szCs w:val="22"/>
          <w:vertAlign w:val="subscript"/>
        </w:rPr>
        <w:t>max</w:t>
      </w:r>
      <w:proofErr w:type="spellEnd"/>
      <w:r w:rsidRPr="006F3DE5">
        <w:rPr>
          <w:szCs w:val="22"/>
        </w:rPr>
        <w:t xml:space="preserve">) za 4 hodiny. Po perorálním podání chlortetracyklin dosahuje vysokých koncentrací v ledvinách, játrech, slezině a v plicích a v místech aktivní osifikace. Přestupuje do mléka. Je distribuován do většiny tělních tekutin, jako jsou extracelulární tekutina, žluč, synoviální a pleurální tekutina. Chlortetracyklin prostupuje placentární bariérou, hematoencefalickou bariérou však jen nepatrně.  Koncentrace v cerebrospinální tekutině dosahují jen 10–25 % plasmatických koncentrací. Z tohoto důvodu se tetracykliny nedoporučují k terapii infekcí CNS. Sérum, krev a hnis neinaktivují jeho účinky. Chlortetracyklin se z organismu vylučuje z přibližně 60 % ledvinami do moči, avšak jen 5–10 % vylučovaného chlortetracyklinu je metabolicky aktivních. Ledvinami se vylučuje glomerulární filtrací. Eliminační poločas kolísá mezi 6–11 hodinami; při anurii se prodlužuje až na 57–108 hodin. Při snížené funkci ledvin se tedy eliminace značně snižuje a zvyšuje se tak riziko toxického působení tetracyklinů. Asi 40 % chlortetracyklinu se vylučuje žlučí a částečně se zpětně vstřebává ze střeva. Tímto </w:t>
      </w:r>
      <w:proofErr w:type="spellStart"/>
      <w:r w:rsidRPr="006F3DE5">
        <w:rPr>
          <w:szCs w:val="22"/>
        </w:rPr>
        <w:t>enterohepatálním</w:t>
      </w:r>
      <w:proofErr w:type="spellEnd"/>
      <w:r w:rsidRPr="006F3DE5">
        <w:rPr>
          <w:szCs w:val="22"/>
        </w:rPr>
        <w:t xml:space="preserve"> cyklem se prodlužuje účinek chlortetracyklinu v organismu.</w:t>
      </w:r>
    </w:p>
    <w:p w14:paraId="0A06DF6E" w14:textId="77777777" w:rsidR="00C114FF" w:rsidRPr="006F3DE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6F3DE5" w:rsidRDefault="002173D0" w:rsidP="00231D97">
      <w:pPr>
        <w:pStyle w:val="Nadpis1"/>
        <w:rPr>
          <w:sz w:val="22"/>
          <w:szCs w:val="22"/>
        </w:rPr>
      </w:pPr>
      <w:bookmarkStart w:id="41" w:name="_Toc215117346"/>
      <w:r w:rsidRPr="006F3DE5">
        <w:rPr>
          <w:sz w:val="22"/>
          <w:szCs w:val="22"/>
        </w:rPr>
        <w:t>5.</w:t>
      </w:r>
      <w:r w:rsidRPr="006F3DE5">
        <w:rPr>
          <w:sz w:val="22"/>
          <w:szCs w:val="22"/>
        </w:rPr>
        <w:tab/>
        <w:t>FARMACEUTICKÉ ÚDAJE</w:t>
      </w:r>
      <w:bookmarkEnd w:id="41"/>
    </w:p>
    <w:p w14:paraId="57E8B708" w14:textId="77777777" w:rsidR="00C114FF" w:rsidRPr="006F3DE5" w:rsidRDefault="002173D0" w:rsidP="00231D97">
      <w:pPr>
        <w:pStyle w:val="Nadpis1"/>
        <w:rPr>
          <w:sz w:val="22"/>
          <w:szCs w:val="22"/>
        </w:rPr>
      </w:pPr>
      <w:bookmarkStart w:id="42" w:name="_Toc215117347"/>
      <w:r w:rsidRPr="006F3DE5">
        <w:rPr>
          <w:caps w:val="0"/>
          <w:sz w:val="22"/>
          <w:szCs w:val="22"/>
        </w:rPr>
        <w:t>5.1</w:t>
      </w:r>
      <w:r w:rsidRPr="006F3DE5">
        <w:rPr>
          <w:caps w:val="0"/>
          <w:sz w:val="22"/>
          <w:szCs w:val="22"/>
        </w:rPr>
        <w:tab/>
        <w:t>Hlavní inkompatibility</w:t>
      </w:r>
      <w:bookmarkEnd w:id="42"/>
    </w:p>
    <w:p w14:paraId="6448ABC3" w14:textId="3C7249DD" w:rsidR="00C114FF" w:rsidRPr="006F3DE5" w:rsidRDefault="004E03D1" w:rsidP="00953E4C">
      <w:pPr>
        <w:tabs>
          <w:tab w:val="clear" w:pos="567"/>
        </w:tabs>
        <w:spacing w:line="240" w:lineRule="auto"/>
        <w:rPr>
          <w:szCs w:val="22"/>
        </w:rPr>
      </w:pPr>
      <w:bookmarkStart w:id="43" w:name="_Hlk215462764"/>
      <w:r w:rsidRPr="004E03D1">
        <w:rPr>
          <w:szCs w:val="22"/>
        </w:rPr>
        <w:t>Studie kompatibility nejsou k dispozici, a proto tento veterinární léčivý přípravek nesmí být mísen s žádnými dalšími veterinárními léčivými přípravky</w:t>
      </w:r>
      <w:r w:rsidR="002173D0" w:rsidRPr="006F3DE5">
        <w:rPr>
          <w:szCs w:val="22"/>
        </w:rPr>
        <w:t>.</w:t>
      </w:r>
      <w:bookmarkEnd w:id="43"/>
    </w:p>
    <w:p w14:paraId="13005D63" w14:textId="77777777" w:rsidR="00C114FF" w:rsidRPr="006F3DE5" w:rsidRDefault="002173D0" w:rsidP="00231D97">
      <w:pPr>
        <w:pStyle w:val="Nadpis1"/>
        <w:rPr>
          <w:sz w:val="22"/>
          <w:szCs w:val="22"/>
        </w:rPr>
      </w:pPr>
      <w:bookmarkStart w:id="44" w:name="_Toc215117348"/>
      <w:r w:rsidRPr="006F3DE5">
        <w:rPr>
          <w:caps w:val="0"/>
          <w:sz w:val="22"/>
          <w:szCs w:val="22"/>
        </w:rPr>
        <w:t>5.2</w:t>
      </w:r>
      <w:r w:rsidRPr="006F3DE5">
        <w:rPr>
          <w:caps w:val="0"/>
          <w:sz w:val="22"/>
          <w:szCs w:val="22"/>
        </w:rPr>
        <w:tab/>
        <w:t>Doba použitelnosti</w:t>
      </w:r>
      <w:bookmarkEnd w:id="44"/>
    </w:p>
    <w:p w14:paraId="4BC319FA" w14:textId="77777777" w:rsidR="00C82966" w:rsidRPr="006F3DE5" w:rsidRDefault="00C82966" w:rsidP="00C82966">
      <w:pPr>
        <w:jc w:val="both"/>
        <w:rPr>
          <w:szCs w:val="22"/>
        </w:rPr>
      </w:pPr>
      <w:bookmarkStart w:id="45" w:name="_Hlk215488579"/>
      <w:r w:rsidRPr="006F3DE5">
        <w:rPr>
          <w:szCs w:val="22"/>
        </w:rPr>
        <w:t>Doba použitelnosti veterinárního léčivého přípravku v neporušeném obalu: 3 roky.</w:t>
      </w:r>
    </w:p>
    <w:p w14:paraId="16C8618B" w14:textId="77777777" w:rsidR="00C82966" w:rsidRPr="006F3DE5" w:rsidRDefault="00C82966" w:rsidP="00C82966">
      <w:pPr>
        <w:jc w:val="both"/>
        <w:rPr>
          <w:szCs w:val="22"/>
        </w:rPr>
      </w:pPr>
      <w:r w:rsidRPr="006F3DE5">
        <w:rPr>
          <w:szCs w:val="22"/>
        </w:rPr>
        <w:t>Doba použitelnosti po prvním otevření vnitřního obalu: 6 měsíců.</w:t>
      </w:r>
    </w:p>
    <w:p w14:paraId="2EFA7EA1" w14:textId="6C6D9B1F" w:rsidR="00C114FF" w:rsidRPr="006F3DE5" w:rsidRDefault="002173D0" w:rsidP="00A9226B">
      <w:pPr>
        <w:tabs>
          <w:tab w:val="clear" w:pos="567"/>
        </w:tabs>
        <w:spacing w:line="240" w:lineRule="auto"/>
        <w:rPr>
          <w:szCs w:val="22"/>
        </w:rPr>
      </w:pPr>
      <w:r w:rsidRPr="006F3DE5">
        <w:rPr>
          <w:szCs w:val="22"/>
        </w:rPr>
        <w:t>Doba použitelnosti po zamíchání</w:t>
      </w:r>
      <w:r w:rsidR="002C1F27" w:rsidRPr="006F3DE5">
        <w:rPr>
          <w:szCs w:val="22"/>
        </w:rPr>
        <w:t xml:space="preserve"> </w:t>
      </w:r>
      <w:r w:rsidRPr="006F3DE5">
        <w:rPr>
          <w:szCs w:val="22"/>
        </w:rPr>
        <w:t xml:space="preserve">do </w:t>
      </w:r>
      <w:r w:rsidR="00861F86" w:rsidRPr="006F3DE5">
        <w:rPr>
          <w:szCs w:val="22"/>
        </w:rPr>
        <w:t xml:space="preserve">sypkého </w:t>
      </w:r>
      <w:r w:rsidRPr="006F3DE5">
        <w:rPr>
          <w:szCs w:val="22"/>
        </w:rPr>
        <w:t xml:space="preserve">nebo </w:t>
      </w:r>
      <w:proofErr w:type="spellStart"/>
      <w:r w:rsidRPr="006F3DE5">
        <w:rPr>
          <w:szCs w:val="22"/>
        </w:rPr>
        <w:t>peletovaného</w:t>
      </w:r>
      <w:proofErr w:type="spellEnd"/>
      <w:r w:rsidRPr="006F3DE5">
        <w:rPr>
          <w:szCs w:val="22"/>
        </w:rPr>
        <w:t xml:space="preserve"> krmiva:</w:t>
      </w:r>
      <w:r w:rsidR="004F4E0B" w:rsidRPr="006F3DE5">
        <w:rPr>
          <w:szCs w:val="22"/>
        </w:rPr>
        <w:t xml:space="preserve"> 6 měsíců.</w:t>
      </w:r>
    </w:p>
    <w:bookmarkEnd w:id="45"/>
    <w:p w14:paraId="4CD9C987" w14:textId="77777777" w:rsidR="00C114FF" w:rsidRPr="006F3DE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6F3DE5" w:rsidRDefault="002173D0" w:rsidP="00231D97">
      <w:pPr>
        <w:pStyle w:val="Nadpis1"/>
        <w:rPr>
          <w:sz w:val="22"/>
          <w:szCs w:val="22"/>
        </w:rPr>
      </w:pPr>
      <w:bookmarkStart w:id="46" w:name="_Toc215117349"/>
      <w:r w:rsidRPr="006F3DE5">
        <w:rPr>
          <w:caps w:val="0"/>
          <w:sz w:val="22"/>
          <w:szCs w:val="22"/>
        </w:rPr>
        <w:t>5.3</w:t>
      </w:r>
      <w:r w:rsidRPr="006F3DE5">
        <w:rPr>
          <w:caps w:val="0"/>
          <w:sz w:val="22"/>
          <w:szCs w:val="22"/>
        </w:rPr>
        <w:tab/>
        <w:t>Zvláštní opatření pro uchovávání</w:t>
      </w:r>
      <w:bookmarkEnd w:id="46"/>
    </w:p>
    <w:p w14:paraId="250C72A9" w14:textId="77777777" w:rsidR="00C82966" w:rsidRPr="006F3DE5" w:rsidRDefault="00C82966" w:rsidP="00C82966">
      <w:pPr>
        <w:jc w:val="both"/>
        <w:rPr>
          <w:szCs w:val="22"/>
        </w:rPr>
      </w:pPr>
      <w:r w:rsidRPr="006F3DE5">
        <w:rPr>
          <w:szCs w:val="22"/>
        </w:rPr>
        <w:t>Uchovávejte při teplotě do 25 °C.</w:t>
      </w:r>
    </w:p>
    <w:p w14:paraId="6997749D" w14:textId="77777777" w:rsidR="00C82966" w:rsidRPr="006F3DE5" w:rsidRDefault="00C82966" w:rsidP="00C82966">
      <w:pPr>
        <w:jc w:val="both"/>
        <w:rPr>
          <w:szCs w:val="22"/>
        </w:rPr>
      </w:pPr>
      <w:r w:rsidRPr="006F3DE5">
        <w:rPr>
          <w:szCs w:val="22"/>
        </w:rPr>
        <w:lastRenderedPageBreak/>
        <w:t xml:space="preserve">Uchovávejte v suchu. </w:t>
      </w:r>
    </w:p>
    <w:p w14:paraId="7261A637" w14:textId="77777777" w:rsidR="00C82966" w:rsidRPr="006F3DE5" w:rsidRDefault="00C82966" w:rsidP="00C82966">
      <w:pPr>
        <w:jc w:val="both"/>
        <w:rPr>
          <w:szCs w:val="22"/>
        </w:rPr>
      </w:pPr>
      <w:r w:rsidRPr="006F3DE5">
        <w:rPr>
          <w:szCs w:val="22"/>
        </w:rPr>
        <w:t>Chraňte před přímým slunečním zářením.</w:t>
      </w:r>
    </w:p>
    <w:p w14:paraId="42EAA46B" w14:textId="56CE0F50" w:rsidR="00C114FF" w:rsidRPr="006F3DE5" w:rsidRDefault="002173D0" w:rsidP="00231D97">
      <w:pPr>
        <w:pStyle w:val="Nadpis1"/>
        <w:rPr>
          <w:sz w:val="22"/>
          <w:szCs w:val="22"/>
        </w:rPr>
      </w:pPr>
      <w:bookmarkStart w:id="47" w:name="_Toc215117350"/>
      <w:bookmarkStart w:id="48" w:name="_GoBack"/>
      <w:bookmarkEnd w:id="48"/>
      <w:r w:rsidRPr="006F3DE5">
        <w:rPr>
          <w:caps w:val="0"/>
          <w:sz w:val="22"/>
          <w:szCs w:val="22"/>
        </w:rPr>
        <w:t>5.4</w:t>
      </w:r>
      <w:r w:rsidRPr="006F3DE5">
        <w:rPr>
          <w:caps w:val="0"/>
          <w:sz w:val="22"/>
          <w:szCs w:val="22"/>
        </w:rPr>
        <w:tab/>
        <w:t>Druh a složení vnitřního obalu</w:t>
      </w:r>
      <w:bookmarkEnd w:id="47"/>
    </w:p>
    <w:p w14:paraId="46FD9F81" w14:textId="50AA55E7" w:rsidR="00C82966" w:rsidRPr="006F3DE5" w:rsidRDefault="00C82966" w:rsidP="00ED3AF5">
      <w:pPr>
        <w:spacing w:after="120"/>
        <w:jc w:val="both"/>
        <w:rPr>
          <w:szCs w:val="22"/>
        </w:rPr>
      </w:pPr>
      <w:r w:rsidRPr="006F3DE5">
        <w:rPr>
          <w:szCs w:val="22"/>
        </w:rPr>
        <w:t>Třívrstvý papírový vak s vloženou PE vrstvou (papír/papír/</w:t>
      </w:r>
      <w:r w:rsidR="00331296" w:rsidRPr="006F3DE5">
        <w:rPr>
          <w:szCs w:val="22"/>
        </w:rPr>
        <w:t>LDPE – vnitřní</w:t>
      </w:r>
      <w:r w:rsidRPr="006F3DE5">
        <w:rPr>
          <w:szCs w:val="22"/>
        </w:rPr>
        <w:t xml:space="preserve"> vrstva) uzavřený sešitím nebo vak z třívrstvé metalické folie (PP/PET-</w:t>
      </w:r>
      <w:r w:rsidRPr="006F3DE5">
        <w:rPr>
          <w:caps/>
          <w:szCs w:val="22"/>
        </w:rPr>
        <w:t>A</w:t>
      </w:r>
      <w:r w:rsidRPr="006F3DE5">
        <w:rPr>
          <w:szCs w:val="22"/>
        </w:rPr>
        <w:t>l/LDPE) uzavřený zatavením.</w:t>
      </w:r>
    </w:p>
    <w:p w14:paraId="0ADCFC1F" w14:textId="77777777" w:rsidR="00C82966" w:rsidRPr="006F3DE5" w:rsidRDefault="00C82966" w:rsidP="00ED3AF5">
      <w:pPr>
        <w:spacing w:after="120"/>
        <w:jc w:val="both"/>
        <w:rPr>
          <w:szCs w:val="22"/>
        </w:rPr>
      </w:pPr>
    </w:p>
    <w:p w14:paraId="5AC0E616" w14:textId="77777777" w:rsidR="00C82966" w:rsidRPr="006F3DE5" w:rsidRDefault="00C82966" w:rsidP="00ED3AF5">
      <w:pPr>
        <w:spacing w:after="120"/>
        <w:jc w:val="both"/>
        <w:rPr>
          <w:szCs w:val="22"/>
        </w:rPr>
      </w:pPr>
      <w:r w:rsidRPr="006F3DE5">
        <w:rPr>
          <w:szCs w:val="22"/>
        </w:rPr>
        <w:t>Velikosti balení</w:t>
      </w:r>
    </w:p>
    <w:p w14:paraId="3547B601" w14:textId="77777777" w:rsidR="00C82966" w:rsidRPr="006F3DE5" w:rsidRDefault="00C82966" w:rsidP="00ED3AF5">
      <w:pPr>
        <w:spacing w:after="120"/>
        <w:jc w:val="both"/>
        <w:rPr>
          <w:szCs w:val="22"/>
        </w:rPr>
      </w:pPr>
      <w:r w:rsidRPr="006F3DE5">
        <w:rPr>
          <w:szCs w:val="22"/>
        </w:rPr>
        <w:t>Vak s PE vrstvou: 5 kg, 8 kg, 10 kg, 16 kg, 20 kg a 25 kg.</w:t>
      </w:r>
    </w:p>
    <w:p w14:paraId="1B1E204E" w14:textId="14F3F9B6" w:rsidR="00C82966" w:rsidRPr="006F3DE5" w:rsidRDefault="00C82966" w:rsidP="00ED3AF5">
      <w:pPr>
        <w:spacing w:after="120"/>
        <w:jc w:val="both"/>
        <w:rPr>
          <w:szCs w:val="22"/>
        </w:rPr>
      </w:pPr>
      <w:bookmarkStart w:id="49" w:name="_Hlk35919261"/>
      <w:r w:rsidRPr="006F3DE5">
        <w:rPr>
          <w:szCs w:val="22"/>
        </w:rPr>
        <w:t>Vak z metalické folie: 1 kg, 5 kg.</w:t>
      </w:r>
      <w:bookmarkEnd w:id="49"/>
    </w:p>
    <w:p w14:paraId="6DC9FEF0" w14:textId="77777777" w:rsidR="00C82966" w:rsidRPr="006F3DE5" w:rsidRDefault="00C82966" w:rsidP="00ED3AF5">
      <w:pPr>
        <w:spacing w:after="120"/>
        <w:jc w:val="both"/>
        <w:rPr>
          <w:szCs w:val="22"/>
        </w:rPr>
      </w:pPr>
      <w:r w:rsidRPr="006F3DE5">
        <w:rPr>
          <w:szCs w:val="22"/>
        </w:rPr>
        <w:t>Na trhu nemusí být všechny velikosti balení.</w:t>
      </w:r>
    </w:p>
    <w:p w14:paraId="584B339F" w14:textId="77777777" w:rsidR="00C114FF" w:rsidRPr="006F3DE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0F579E04" w:rsidR="00C114FF" w:rsidRPr="006F3DE5" w:rsidRDefault="002173D0" w:rsidP="00CC3956">
      <w:pPr>
        <w:pStyle w:val="Nadpis1"/>
        <w:keepNext/>
        <w:spacing w:before="0" w:after="0" w:line="240" w:lineRule="auto"/>
        <w:rPr>
          <w:caps w:val="0"/>
          <w:sz w:val="22"/>
          <w:szCs w:val="22"/>
        </w:rPr>
      </w:pPr>
      <w:bookmarkStart w:id="50" w:name="_Toc215117351"/>
      <w:r w:rsidRPr="006F3DE5">
        <w:rPr>
          <w:caps w:val="0"/>
          <w:sz w:val="22"/>
          <w:szCs w:val="22"/>
        </w:rPr>
        <w:t>5.5</w:t>
      </w:r>
      <w:r w:rsidRPr="006F3DE5">
        <w:rPr>
          <w:caps w:val="0"/>
          <w:sz w:val="22"/>
          <w:szCs w:val="22"/>
        </w:rPr>
        <w:tab/>
        <w:t xml:space="preserve">Zvláštní opatření pro </w:t>
      </w:r>
      <w:r w:rsidR="00CF069C" w:rsidRPr="006F3DE5">
        <w:rPr>
          <w:caps w:val="0"/>
          <w:sz w:val="22"/>
          <w:szCs w:val="22"/>
        </w:rPr>
        <w:t xml:space="preserve">likvidaci </w:t>
      </w:r>
      <w:r w:rsidRPr="006F3DE5">
        <w:rPr>
          <w:caps w:val="0"/>
          <w:sz w:val="22"/>
          <w:szCs w:val="22"/>
        </w:rPr>
        <w:t>nepoužit</w:t>
      </w:r>
      <w:r w:rsidR="002F64C6" w:rsidRPr="006F3DE5">
        <w:rPr>
          <w:caps w:val="0"/>
          <w:sz w:val="22"/>
          <w:szCs w:val="22"/>
        </w:rPr>
        <w:t>ých</w:t>
      </w:r>
      <w:r w:rsidR="00905CAB" w:rsidRPr="006F3DE5">
        <w:rPr>
          <w:caps w:val="0"/>
          <w:sz w:val="22"/>
          <w:szCs w:val="22"/>
        </w:rPr>
        <w:t xml:space="preserve"> </w:t>
      </w:r>
      <w:r w:rsidRPr="006F3DE5">
        <w:rPr>
          <w:caps w:val="0"/>
          <w:sz w:val="22"/>
          <w:szCs w:val="22"/>
        </w:rPr>
        <w:t>veterinární</w:t>
      </w:r>
      <w:r w:rsidR="002F64C6" w:rsidRPr="006F3DE5">
        <w:rPr>
          <w:caps w:val="0"/>
          <w:sz w:val="22"/>
          <w:szCs w:val="22"/>
        </w:rPr>
        <w:t>ch</w:t>
      </w:r>
      <w:r w:rsidRPr="006F3DE5">
        <w:rPr>
          <w:caps w:val="0"/>
          <w:sz w:val="22"/>
          <w:szCs w:val="22"/>
        </w:rPr>
        <w:t xml:space="preserve"> léčiv</w:t>
      </w:r>
      <w:r w:rsidR="002F64C6" w:rsidRPr="006F3DE5">
        <w:rPr>
          <w:caps w:val="0"/>
          <w:sz w:val="22"/>
          <w:szCs w:val="22"/>
        </w:rPr>
        <w:t>ých</w:t>
      </w:r>
      <w:r w:rsidRPr="006F3DE5">
        <w:rPr>
          <w:caps w:val="0"/>
          <w:sz w:val="22"/>
          <w:szCs w:val="22"/>
        </w:rPr>
        <w:t xml:space="preserve"> přípravk</w:t>
      </w:r>
      <w:r w:rsidR="002F64C6" w:rsidRPr="006F3DE5">
        <w:rPr>
          <w:caps w:val="0"/>
          <w:sz w:val="22"/>
          <w:szCs w:val="22"/>
        </w:rPr>
        <w:t>ů</w:t>
      </w:r>
      <w:r w:rsidRPr="006F3DE5">
        <w:rPr>
          <w:caps w:val="0"/>
          <w:sz w:val="22"/>
          <w:szCs w:val="22"/>
        </w:rPr>
        <w:t xml:space="preserve"> nebo odpad</w:t>
      </w:r>
      <w:r w:rsidR="00F84AED" w:rsidRPr="006F3DE5">
        <w:rPr>
          <w:caps w:val="0"/>
          <w:sz w:val="22"/>
          <w:szCs w:val="22"/>
        </w:rPr>
        <w:t>ů</w:t>
      </w:r>
      <w:r w:rsidR="00B36E65" w:rsidRPr="006F3DE5">
        <w:rPr>
          <w:caps w:val="0"/>
          <w:sz w:val="22"/>
          <w:szCs w:val="22"/>
        </w:rPr>
        <w:t>, kter</w:t>
      </w:r>
      <w:r w:rsidR="00F84AED" w:rsidRPr="006F3DE5">
        <w:rPr>
          <w:caps w:val="0"/>
          <w:sz w:val="22"/>
          <w:szCs w:val="22"/>
        </w:rPr>
        <w:t>é</w:t>
      </w:r>
      <w:r w:rsidRPr="006F3DE5">
        <w:rPr>
          <w:caps w:val="0"/>
          <w:sz w:val="22"/>
          <w:szCs w:val="22"/>
        </w:rPr>
        <w:t xml:space="preserve"> pocház</w:t>
      </w:r>
      <w:r w:rsidR="00B36E65" w:rsidRPr="006F3DE5">
        <w:rPr>
          <w:caps w:val="0"/>
          <w:sz w:val="22"/>
          <w:szCs w:val="22"/>
        </w:rPr>
        <w:t>í</w:t>
      </w:r>
      <w:r w:rsidRPr="006F3DE5">
        <w:rPr>
          <w:caps w:val="0"/>
          <w:sz w:val="22"/>
          <w:szCs w:val="22"/>
        </w:rPr>
        <w:t xml:space="preserve"> z</w:t>
      </w:r>
      <w:r w:rsidR="002F64C6" w:rsidRPr="006F3DE5">
        <w:rPr>
          <w:caps w:val="0"/>
          <w:sz w:val="22"/>
          <w:szCs w:val="22"/>
        </w:rPr>
        <w:t> </w:t>
      </w:r>
      <w:r w:rsidRPr="006F3DE5">
        <w:rPr>
          <w:caps w:val="0"/>
          <w:sz w:val="22"/>
          <w:szCs w:val="22"/>
        </w:rPr>
        <w:t>t</w:t>
      </w:r>
      <w:r w:rsidR="002F64C6" w:rsidRPr="006F3DE5">
        <w:rPr>
          <w:caps w:val="0"/>
          <w:sz w:val="22"/>
          <w:szCs w:val="22"/>
        </w:rPr>
        <w:t xml:space="preserve">ěchto </w:t>
      </w:r>
      <w:r w:rsidRPr="006F3DE5">
        <w:rPr>
          <w:caps w:val="0"/>
          <w:sz w:val="22"/>
          <w:szCs w:val="22"/>
        </w:rPr>
        <w:t>přípravk</w:t>
      </w:r>
      <w:r w:rsidR="002F64C6" w:rsidRPr="006F3DE5">
        <w:rPr>
          <w:caps w:val="0"/>
          <w:sz w:val="22"/>
          <w:szCs w:val="22"/>
        </w:rPr>
        <w:t>ů</w:t>
      </w:r>
      <w:bookmarkEnd w:id="50"/>
    </w:p>
    <w:p w14:paraId="2F55BA6C" w14:textId="77777777" w:rsidR="00CC3956" w:rsidRPr="009264A3" w:rsidRDefault="00CC3956" w:rsidP="00CC3956">
      <w:pPr>
        <w:keepNext/>
        <w:spacing w:line="240" w:lineRule="auto"/>
        <w:rPr>
          <w:szCs w:val="22"/>
        </w:rPr>
      </w:pPr>
    </w:p>
    <w:p w14:paraId="3F2195DA" w14:textId="7B2968F7" w:rsidR="00C114FF" w:rsidRPr="006F3DE5" w:rsidRDefault="002173D0" w:rsidP="00CC3956">
      <w:pPr>
        <w:spacing w:line="240" w:lineRule="auto"/>
        <w:jc w:val="both"/>
        <w:rPr>
          <w:szCs w:val="22"/>
        </w:rPr>
      </w:pPr>
      <w:r w:rsidRPr="006F3DE5">
        <w:rPr>
          <w:szCs w:val="22"/>
        </w:rPr>
        <w:t>Léčivé přípravky se nesmí likvidovat prostřednictvím odpadní vody či domovního odpadu.</w:t>
      </w:r>
    </w:p>
    <w:p w14:paraId="2CAB4DC2" w14:textId="205FA5BB" w:rsidR="0078538F" w:rsidRPr="006F3DE5" w:rsidRDefault="002173D0" w:rsidP="00CC395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F3DE5">
        <w:rPr>
          <w:szCs w:val="22"/>
        </w:rPr>
        <w:t>Všechen n</w:t>
      </w:r>
      <w:r w:rsidR="00DA2A06" w:rsidRPr="006F3DE5">
        <w:rPr>
          <w:szCs w:val="22"/>
        </w:rPr>
        <w:t xml:space="preserve">epoužitý veterinární léčivý přípravek nebo </w:t>
      </w:r>
      <w:r w:rsidR="00905CAB" w:rsidRPr="006F3DE5">
        <w:rPr>
          <w:szCs w:val="22"/>
        </w:rPr>
        <w:t>odpad, který pochází z tohoto přípravku,</w:t>
      </w:r>
      <w:r w:rsidR="00DA2A06" w:rsidRPr="006F3DE5">
        <w:rPr>
          <w:szCs w:val="22"/>
        </w:rPr>
        <w:t xml:space="preserve"> </w:t>
      </w:r>
      <w:bookmarkStart w:id="51" w:name="_Hlk215485661"/>
      <w:r w:rsidR="004C0568" w:rsidRPr="006F3DE5">
        <w:rPr>
          <w:szCs w:val="22"/>
        </w:rPr>
        <w:t xml:space="preserve">likvidujte </w:t>
      </w:r>
      <w:r w:rsidR="007464DA" w:rsidRPr="006F3DE5">
        <w:rPr>
          <w:szCs w:val="22"/>
        </w:rPr>
        <w:t>odevzdáním</w:t>
      </w:r>
      <w:r w:rsidR="00730908" w:rsidRPr="006F3DE5">
        <w:rPr>
          <w:szCs w:val="22"/>
        </w:rPr>
        <w:t xml:space="preserve"> </w:t>
      </w:r>
      <w:r w:rsidR="00DA2A06" w:rsidRPr="006F3DE5">
        <w:rPr>
          <w:szCs w:val="22"/>
        </w:rPr>
        <w:t>v souladu s místními požadavky a národními systémy sběru, které jsou platné pro příslušný veterinární léčivý přípravek.</w:t>
      </w:r>
      <w:bookmarkEnd w:id="51"/>
    </w:p>
    <w:p w14:paraId="47363B7A" w14:textId="77777777" w:rsidR="00C114FF" w:rsidRPr="006F3DE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6F3DE5" w:rsidRDefault="002173D0" w:rsidP="00231D97">
      <w:pPr>
        <w:pStyle w:val="Nadpis1"/>
        <w:rPr>
          <w:sz w:val="22"/>
          <w:szCs w:val="22"/>
        </w:rPr>
      </w:pPr>
      <w:bookmarkStart w:id="52" w:name="_Toc215117352"/>
      <w:r w:rsidRPr="006F3DE5">
        <w:rPr>
          <w:sz w:val="22"/>
          <w:szCs w:val="22"/>
        </w:rPr>
        <w:t>6.</w:t>
      </w:r>
      <w:r w:rsidRPr="006F3DE5">
        <w:rPr>
          <w:sz w:val="22"/>
          <w:szCs w:val="22"/>
        </w:rPr>
        <w:tab/>
        <w:t>JMÉNO DRŽITELE ROZHODNUTÍ O REGISTRACI</w:t>
      </w:r>
      <w:bookmarkEnd w:id="52"/>
    </w:p>
    <w:p w14:paraId="24F48A10" w14:textId="77777777" w:rsidR="002231FE" w:rsidRPr="006F3DE5" w:rsidRDefault="002231FE" w:rsidP="002231FE">
      <w:pPr>
        <w:jc w:val="both"/>
        <w:rPr>
          <w:szCs w:val="22"/>
        </w:rPr>
      </w:pPr>
      <w:bookmarkStart w:id="53" w:name="_Hlk106165137"/>
      <w:proofErr w:type="spellStart"/>
      <w:r w:rsidRPr="006F3DE5">
        <w:rPr>
          <w:szCs w:val="22"/>
        </w:rPr>
        <w:t>Tekro</w:t>
      </w:r>
      <w:proofErr w:type="spellEnd"/>
      <w:r w:rsidRPr="006F3DE5">
        <w:rPr>
          <w:szCs w:val="22"/>
        </w:rPr>
        <w:t>, spol. s r.o.</w:t>
      </w:r>
    </w:p>
    <w:bookmarkEnd w:id="53"/>
    <w:p w14:paraId="1F61240C" w14:textId="77777777" w:rsidR="00C114FF" w:rsidRPr="006F3DE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61AD7C8C" w:rsidR="00C114FF" w:rsidRPr="006F3DE5" w:rsidRDefault="002173D0" w:rsidP="00231D97">
      <w:pPr>
        <w:pStyle w:val="Nadpis1"/>
        <w:rPr>
          <w:sz w:val="22"/>
          <w:szCs w:val="22"/>
        </w:rPr>
      </w:pPr>
      <w:bookmarkStart w:id="54" w:name="_Toc215117353"/>
      <w:r w:rsidRPr="006F3DE5">
        <w:rPr>
          <w:sz w:val="22"/>
          <w:szCs w:val="22"/>
        </w:rPr>
        <w:t>7.</w:t>
      </w:r>
      <w:r w:rsidRPr="006F3DE5">
        <w:rPr>
          <w:sz w:val="22"/>
          <w:szCs w:val="22"/>
        </w:rPr>
        <w:tab/>
        <w:t>REGISTRAČNÍ ČÍSLO</w:t>
      </w:r>
      <w:bookmarkEnd w:id="54"/>
    </w:p>
    <w:p w14:paraId="4670075C" w14:textId="0061A381" w:rsidR="002231FE" w:rsidRPr="006F3DE5" w:rsidRDefault="002231FE" w:rsidP="002231FE">
      <w:pPr>
        <w:rPr>
          <w:szCs w:val="22"/>
        </w:rPr>
      </w:pPr>
      <w:r w:rsidRPr="006F3DE5">
        <w:rPr>
          <w:szCs w:val="22"/>
        </w:rPr>
        <w:t>98/023/</w:t>
      </w:r>
      <w:proofErr w:type="gramStart"/>
      <w:r w:rsidRPr="006F3DE5">
        <w:rPr>
          <w:szCs w:val="22"/>
        </w:rPr>
        <w:t>22-C</w:t>
      </w:r>
      <w:proofErr w:type="gramEnd"/>
    </w:p>
    <w:p w14:paraId="427D05E5" w14:textId="77777777" w:rsidR="00C114FF" w:rsidRPr="006F3DE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6F3DE5" w:rsidRDefault="002173D0" w:rsidP="00231D97">
      <w:pPr>
        <w:pStyle w:val="Nadpis1"/>
        <w:rPr>
          <w:sz w:val="22"/>
          <w:szCs w:val="22"/>
        </w:rPr>
      </w:pPr>
      <w:bookmarkStart w:id="55" w:name="_Toc215117354"/>
      <w:r w:rsidRPr="006F3DE5">
        <w:rPr>
          <w:sz w:val="22"/>
          <w:szCs w:val="22"/>
        </w:rPr>
        <w:t>8.</w:t>
      </w:r>
      <w:r w:rsidRPr="006F3DE5">
        <w:rPr>
          <w:sz w:val="22"/>
          <w:szCs w:val="22"/>
        </w:rPr>
        <w:tab/>
        <w:t>DATUM PRVNÍ REGISTRACE</w:t>
      </w:r>
      <w:bookmarkEnd w:id="55"/>
    </w:p>
    <w:p w14:paraId="146F9B87" w14:textId="71434F3B" w:rsidR="002231FE" w:rsidRPr="006F3DE5" w:rsidRDefault="002231FE" w:rsidP="002231FE">
      <w:pPr>
        <w:rPr>
          <w:bCs/>
          <w:szCs w:val="22"/>
        </w:rPr>
      </w:pPr>
      <w:r w:rsidRPr="006F3DE5">
        <w:rPr>
          <w:bCs/>
          <w:szCs w:val="22"/>
        </w:rPr>
        <w:t>15. 6. 2022</w:t>
      </w:r>
    </w:p>
    <w:p w14:paraId="70B0A25D" w14:textId="77777777" w:rsidR="00D65777" w:rsidRPr="006F3DE5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6F3DE5" w:rsidRDefault="002173D0" w:rsidP="00231D97">
      <w:pPr>
        <w:pStyle w:val="Nadpis1"/>
        <w:rPr>
          <w:sz w:val="22"/>
          <w:szCs w:val="22"/>
        </w:rPr>
      </w:pPr>
      <w:bookmarkStart w:id="56" w:name="_Toc215117355"/>
      <w:r w:rsidRPr="006F3DE5">
        <w:rPr>
          <w:sz w:val="22"/>
          <w:szCs w:val="22"/>
        </w:rPr>
        <w:t>9.</w:t>
      </w:r>
      <w:r w:rsidRPr="006F3DE5">
        <w:rPr>
          <w:sz w:val="22"/>
          <w:szCs w:val="22"/>
        </w:rPr>
        <w:tab/>
        <w:t>DATUM POSLEDNÍ AKTUALIZACE SOUHRNU ÚDAJŮ O PŘÍPRAVKU</w:t>
      </w:r>
      <w:bookmarkEnd w:id="56"/>
    </w:p>
    <w:p w14:paraId="2DB0E157" w14:textId="0DA74D36" w:rsidR="00B113B9" w:rsidRPr="006F3DE5" w:rsidRDefault="003863E6" w:rsidP="00A9226B">
      <w:pPr>
        <w:tabs>
          <w:tab w:val="clear" w:pos="567"/>
        </w:tabs>
        <w:spacing w:line="240" w:lineRule="auto"/>
        <w:rPr>
          <w:szCs w:val="22"/>
        </w:rPr>
      </w:pPr>
      <w:r w:rsidRPr="006F3DE5">
        <w:rPr>
          <w:szCs w:val="22"/>
        </w:rPr>
        <w:t>0</w:t>
      </w:r>
      <w:r w:rsidR="00054183" w:rsidRPr="006F3DE5">
        <w:rPr>
          <w:szCs w:val="22"/>
        </w:rPr>
        <w:t>5</w:t>
      </w:r>
      <w:r w:rsidRPr="006F3DE5">
        <w:rPr>
          <w:szCs w:val="22"/>
        </w:rPr>
        <w:t>/2026</w:t>
      </w:r>
      <w:bookmarkStart w:id="57" w:name="_Hlk197075322"/>
    </w:p>
    <w:p w14:paraId="75C198E0" w14:textId="77777777" w:rsidR="00C114FF" w:rsidRPr="006F3DE5" w:rsidRDefault="002173D0" w:rsidP="00231D97">
      <w:pPr>
        <w:pStyle w:val="Nadpis1"/>
        <w:rPr>
          <w:sz w:val="22"/>
          <w:szCs w:val="22"/>
        </w:rPr>
      </w:pPr>
      <w:bookmarkStart w:id="58" w:name="_Toc215117356"/>
      <w:r w:rsidRPr="006F3DE5">
        <w:rPr>
          <w:sz w:val="22"/>
          <w:szCs w:val="22"/>
        </w:rPr>
        <w:t>10.</w:t>
      </w:r>
      <w:r w:rsidRPr="006F3DE5">
        <w:rPr>
          <w:sz w:val="22"/>
          <w:szCs w:val="22"/>
        </w:rPr>
        <w:tab/>
        <w:t>KLASIFIKACE VETERINÁRNÍCH LÉČIVÝCH PŘÍPRAVKŮ</w:t>
      </w:r>
      <w:bookmarkEnd w:id="58"/>
    </w:p>
    <w:p w14:paraId="2B95E980" w14:textId="7F28F8C2" w:rsidR="0078538F" w:rsidRPr="006F3DE5" w:rsidRDefault="002173D0" w:rsidP="0078538F">
      <w:pPr>
        <w:numPr>
          <w:ilvl w:val="12"/>
          <w:numId w:val="0"/>
        </w:numPr>
        <w:rPr>
          <w:szCs w:val="22"/>
        </w:rPr>
      </w:pPr>
      <w:bookmarkStart w:id="59" w:name="_Hlk215485820"/>
      <w:r w:rsidRPr="006F3DE5">
        <w:rPr>
          <w:szCs w:val="22"/>
        </w:rPr>
        <w:t>Veterinární léčivý přípravek je vydáván pouze na předpis.</w:t>
      </w:r>
    </w:p>
    <w:bookmarkEnd w:id="59"/>
    <w:p w14:paraId="05E12133" w14:textId="77777777" w:rsidR="0078538F" w:rsidRPr="006F3DE5" w:rsidRDefault="0078538F" w:rsidP="0078538F">
      <w:pPr>
        <w:ind w:right="-318"/>
        <w:rPr>
          <w:szCs w:val="22"/>
        </w:rPr>
      </w:pPr>
    </w:p>
    <w:p w14:paraId="72BBFD3F" w14:textId="74CC3605" w:rsidR="005F346D" w:rsidRPr="006F3DE5" w:rsidRDefault="002173D0" w:rsidP="00331296">
      <w:pPr>
        <w:ind w:right="-318"/>
        <w:jc w:val="both"/>
        <w:rPr>
          <w:i/>
          <w:szCs w:val="22"/>
        </w:rPr>
      </w:pPr>
      <w:bookmarkStart w:id="60" w:name="_Hlk73467306"/>
      <w:r w:rsidRPr="006F3DE5">
        <w:rPr>
          <w:szCs w:val="22"/>
        </w:rPr>
        <w:t>Podrobné informace o tomto veterinárním léčivém přípravku jsou k dispozici v databázi přípravků Unie (</w:t>
      </w:r>
      <w:hyperlink r:id="rId8" w:history="1">
        <w:r w:rsidR="0078538F" w:rsidRPr="006F3DE5">
          <w:rPr>
            <w:rStyle w:val="Hypertextovodkaz"/>
            <w:color w:val="auto"/>
            <w:szCs w:val="22"/>
          </w:rPr>
          <w:t>https://medicines.health.europa.eu/veterinary</w:t>
        </w:r>
      </w:hyperlink>
      <w:r w:rsidRPr="006F3DE5">
        <w:rPr>
          <w:szCs w:val="22"/>
        </w:rPr>
        <w:t>)</w:t>
      </w:r>
      <w:r w:rsidRPr="006F3DE5">
        <w:rPr>
          <w:i/>
          <w:szCs w:val="22"/>
        </w:rPr>
        <w:t>.</w:t>
      </w:r>
      <w:bookmarkEnd w:id="60"/>
    </w:p>
    <w:p w14:paraId="47E73C94" w14:textId="77777777" w:rsidR="00331296" w:rsidRPr="006F3DE5" w:rsidRDefault="00331296" w:rsidP="00331296">
      <w:pPr>
        <w:ind w:right="-318"/>
        <w:jc w:val="both"/>
        <w:rPr>
          <w:szCs w:val="22"/>
        </w:rPr>
      </w:pPr>
    </w:p>
    <w:p w14:paraId="2BC778CF" w14:textId="4F5A89AE" w:rsidR="00331296" w:rsidRPr="006F3DE5" w:rsidRDefault="00331296" w:rsidP="00331296">
      <w:pPr>
        <w:ind w:right="-318"/>
        <w:jc w:val="both"/>
        <w:rPr>
          <w:szCs w:val="22"/>
        </w:rPr>
      </w:pPr>
      <w:r w:rsidRPr="006F3DE5">
        <w:rPr>
          <w:szCs w:val="22"/>
        </w:rPr>
        <w:t>Podrobné informace o tomto veterinárním léčivém přípravku naleznete také v národní databázi (</w:t>
      </w:r>
      <w:hyperlink r:id="rId9" w:history="1">
        <w:r w:rsidRPr="006F3DE5">
          <w:rPr>
            <w:rStyle w:val="Hypertextovodkaz"/>
            <w:color w:val="auto"/>
            <w:szCs w:val="22"/>
          </w:rPr>
          <w:t>https://www.uskvbl.cz</w:t>
        </w:r>
      </w:hyperlink>
      <w:r w:rsidRPr="006F3DE5">
        <w:rPr>
          <w:szCs w:val="22"/>
        </w:rPr>
        <w:t>).</w:t>
      </w:r>
      <w:bookmarkEnd w:id="57"/>
    </w:p>
    <w:sectPr w:rsidR="00331296" w:rsidRPr="006F3DE5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72B61" w14:textId="77777777" w:rsidR="0007683E" w:rsidRDefault="0007683E">
      <w:pPr>
        <w:spacing w:line="240" w:lineRule="auto"/>
      </w:pPr>
      <w:r>
        <w:separator/>
      </w:r>
    </w:p>
  </w:endnote>
  <w:endnote w:type="continuationSeparator" w:id="0">
    <w:p w14:paraId="4FBC37F1" w14:textId="77777777" w:rsidR="0007683E" w:rsidRDefault="000768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0D098B" w:rsidRPr="00E0068C" w:rsidRDefault="000D098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0D098B" w:rsidRPr="00E0068C" w:rsidRDefault="000D098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9F987" w14:textId="77777777" w:rsidR="0007683E" w:rsidRDefault="0007683E">
      <w:pPr>
        <w:spacing w:line="240" w:lineRule="auto"/>
      </w:pPr>
      <w:r>
        <w:separator/>
      </w:r>
    </w:p>
  </w:footnote>
  <w:footnote w:type="continuationSeparator" w:id="0">
    <w:p w14:paraId="7EF0C180" w14:textId="77777777" w:rsidR="0007683E" w:rsidRDefault="000768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65D88" w14:textId="4BB84646" w:rsidR="000D098B" w:rsidRDefault="000D09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3184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78D5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9EAC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E6BC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00A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9051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509F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D85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BE06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8B8DAD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6A688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FC0D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D49C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E094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F4D3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125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427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F8FB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D99241C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754B5F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CA0E6E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818FD2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9E6C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BF08DF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C46C37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B1A9A3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D66314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8E2C6B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7A2F09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194173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7260F8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F8024B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0A416B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BA2237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69CA05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3E6B03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C7163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107A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FE2C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0263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E60E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10F2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2AD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4B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BE56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622D8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03EF5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3AFF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F82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0C1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8484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AAA2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7C24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0AFB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A3C65B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30AB2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ACCF8B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8660D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FB4C3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A58476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EBE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CAB33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F8A0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C92FE4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B04EB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7C0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9C13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469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46C4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4EE4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49E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E4AD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6AE43F7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8469AE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F4600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78B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48B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3AC7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1041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633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70EF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C96A93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F07C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161F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F2E1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D26D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30E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B444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C2E7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6A8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5563B9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42CC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360D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2694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242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267D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7CE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D4A1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18D7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5BCE51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9FA8C2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27665A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2400DB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A427C0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8BC6F3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88A0CB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A5AAF4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F84655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8376C3A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2E056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DACB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C72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64CF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BA5F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4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C295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4A1F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B5A63E0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43F0AD74" w:tentative="1">
      <w:start w:val="1"/>
      <w:numFmt w:val="lowerLetter"/>
      <w:lvlText w:val="%2."/>
      <w:lvlJc w:val="left"/>
      <w:pPr>
        <w:ind w:left="1440" w:hanging="360"/>
      </w:pPr>
    </w:lvl>
    <w:lvl w:ilvl="2" w:tplc="CBDC2AC8" w:tentative="1">
      <w:start w:val="1"/>
      <w:numFmt w:val="lowerRoman"/>
      <w:lvlText w:val="%3."/>
      <w:lvlJc w:val="right"/>
      <w:pPr>
        <w:ind w:left="2160" w:hanging="180"/>
      </w:pPr>
    </w:lvl>
    <w:lvl w:ilvl="3" w:tplc="9954AB0C" w:tentative="1">
      <w:start w:val="1"/>
      <w:numFmt w:val="decimal"/>
      <w:lvlText w:val="%4."/>
      <w:lvlJc w:val="left"/>
      <w:pPr>
        <w:ind w:left="2880" w:hanging="360"/>
      </w:pPr>
    </w:lvl>
    <w:lvl w:ilvl="4" w:tplc="5A68B3B8" w:tentative="1">
      <w:start w:val="1"/>
      <w:numFmt w:val="lowerLetter"/>
      <w:lvlText w:val="%5."/>
      <w:lvlJc w:val="left"/>
      <w:pPr>
        <w:ind w:left="3600" w:hanging="360"/>
      </w:pPr>
    </w:lvl>
    <w:lvl w:ilvl="5" w:tplc="2F9A79FC" w:tentative="1">
      <w:start w:val="1"/>
      <w:numFmt w:val="lowerRoman"/>
      <w:lvlText w:val="%6."/>
      <w:lvlJc w:val="right"/>
      <w:pPr>
        <w:ind w:left="4320" w:hanging="180"/>
      </w:pPr>
    </w:lvl>
    <w:lvl w:ilvl="6" w:tplc="4E8E1654" w:tentative="1">
      <w:start w:val="1"/>
      <w:numFmt w:val="decimal"/>
      <w:lvlText w:val="%7."/>
      <w:lvlJc w:val="left"/>
      <w:pPr>
        <w:ind w:left="5040" w:hanging="360"/>
      </w:pPr>
    </w:lvl>
    <w:lvl w:ilvl="7" w:tplc="1136A3BC" w:tentative="1">
      <w:start w:val="1"/>
      <w:numFmt w:val="lowerLetter"/>
      <w:lvlText w:val="%8."/>
      <w:lvlJc w:val="left"/>
      <w:pPr>
        <w:ind w:left="5760" w:hanging="360"/>
      </w:pPr>
    </w:lvl>
    <w:lvl w:ilvl="8" w:tplc="0A48D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C3C04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E98AA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700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4E2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E680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C49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182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206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5872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13225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D2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885E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7219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CAA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40CC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244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90F7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0CD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7632E93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EF491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4E3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2CE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4098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18BE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B2F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8CB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0A3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17EEDDA">
      <w:start w:val="1"/>
      <w:numFmt w:val="decimal"/>
      <w:lvlText w:val="%1."/>
      <w:lvlJc w:val="left"/>
      <w:pPr>
        <w:ind w:left="720" w:hanging="360"/>
      </w:pPr>
    </w:lvl>
    <w:lvl w:ilvl="1" w:tplc="73DE8AFE" w:tentative="1">
      <w:start w:val="1"/>
      <w:numFmt w:val="lowerLetter"/>
      <w:lvlText w:val="%2."/>
      <w:lvlJc w:val="left"/>
      <w:pPr>
        <w:ind w:left="1440" w:hanging="360"/>
      </w:pPr>
    </w:lvl>
    <w:lvl w:ilvl="2" w:tplc="987A1C0A" w:tentative="1">
      <w:start w:val="1"/>
      <w:numFmt w:val="lowerRoman"/>
      <w:lvlText w:val="%3."/>
      <w:lvlJc w:val="right"/>
      <w:pPr>
        <w:ind w:left="2160" w:hanging="180"/>
      </w:pPr>
    </w:lvl>
    <w:lvl w:ilvl="3" w:tplc="2E5A9838" w:tentative="1">
      <w:start w:val="1"/>
      <w:numFmt w:val="decimal"/>
      <w:lvlText w:val="%4."/>
      <w:lvlJc w:val="left"/>
      <w:pPr>
        <w:ind w:left="2880" w:hanging="360"/>
      </w:pPr>
    </w:lvl>
    <w:lvl w:ilvl="4" w:tplc="25AEDCBE" w:tentative="1">
      <w:start w:val="1"/>
      <w:numFmt w:val="lowerLetter"/>
      <w:lvlText w:val="%5."/>
      <w:lvlJc w:val="left"/>
      <w:pPr>
        <w:ind w:left="3600" w:hanging="360"/>
      </w:pPr>
    </w:lvl>
    <w:lvl w:ilvl="5" w:tplc="F7E23412" w:tentative="1">
      <w:start w:val="1"/>
      <w:numFmt w:val="lowerRoman"/>
      <w:lvlText w:val="%6."/>
      <w:lvlJc w:val="right"/>
      <w:pPr>
        <w:ind w:left="4320" w:hanging="180"/>
      </w:pPr>
    </w:lvl>
    <w:lvl w:ilvl="6" w:tplc="F12E1840" w:tentative="1">
      <w:start w:val="1"/>
      <w:numFmt w:val="decimal"/>
      <w:lvlText w:val="%7."/>
      <w:lvlJc w:val="left"/>
      <w:pPr>
        <w:ind w:left="5040" w:hanging="360"/>
      </w:pPr>
    </w:lvl>
    <w:lvl w:ilvl="7" w:tplc="8D4888B0" w:tentative="1">
      <w:start w:val="1"/>
      <w:numFmt w:val="lowerLetter"/>
      <w:lvlText w:val="%8."/>
      <w:lvlJc w:val="left"/>
      <w:pPr>
        <w:ind w:left="5760" w:hanging="360"/>
      </w:pPr>
    </w:lvl>
    <w:lvl w:ilvl="8" w:tplc="4636DB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672D11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92DE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E49E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40D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5AC3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E079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4223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AC61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C2B4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23EE"/>
    <w:rsid w:val="00024777"/>
    <w:rsid w:val="00024E21"/>
    <w:rsid w:val="00025BA6"/>
    <w:rsid w:val="00027100"/>
    <w:rsid w:val="000349AA"/>
    <w:rsid w:val="00036C50"/>
    <w:rsid w:val="000453A3"/>
    <w:rsid w:val="00052D2B"/>
    <w:rsid w:val="00054183"/>
    <w:rsid w:val="00054F55"/>
    <w:rsid w:val="00056EE7"/>
    <w:rsid w:val="00062945"/>
    <w:rsid w:val="00063946"/>
    <w:rsid w:val="00066809"/>
    <w:rsid w:val="0007683E"/>
    <w:rsid w:val="00077EFB"/>
    <w:rsid w:val="00080453"/>
    <w:rsid w:val="0008169A"/>
    <w:rsid w:val="00082200"/>
    <w:rsid w:val="000838BB"/>
    <w:rsid w:val="000860CE"/>
    <w:rsid w:val="00087E01"/>
    <w:rsid w:val="00092A37"/>
    <w:rsid w:val="000938A6"/>
    <w:rsid w:val="000950E4"/>
    <w:rsid w:val="00096E78"/>
    <w:rsid w:val="00097C1E"/>
    <w:rsid w:val="000A0C0C"/>
    <w:rsid w:val="000A1DF5"/>
    <w:rsid w:val="000B3346"/>
    <w:rsid w:val="000B7873"/>
    <w:rsid w:val="000C02A1"/>
    <w:rsid w:val="000C1D4F"/>
    <w:rsid w:val="000C3ED7"/>
    <w:rsid w:val="000C55E6"/>
    <w:rsid w:val="000C687A"/>
    <w:rsid w:val="000D098B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21F1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261A"/>
    <w:rsid w:val="00153B3A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0509"/>
    <w:rsid w:val="001C5288"/>
    <w:rsid w:val="001C5B03"/>
    <w:rsid w:val="001D4CE4"/>
    <w:rsid w:val="001D6052"/>
    <w:rsid w:val="001D6D96"/>
    <w:rsid w:val="001E5621"/>
    <w:rsid w:val="001F1014"/>
    <w:rsid w:val="001F1C7E"/>
    <w:rsid w:val="001F3239"/>
    <w:rsid w:val="001F3EF9"/>
    <w:rsid w:val="001F627D"/>
    <w:rsid w:val="001F6602"/>
    <w:rsid w:val="001F6622"/>
    <w:rsid w:val="001F6F38"/>
    <w:rsid w:val="00200EFE"/>
    <w:rsid w:val="0020126C"/>
    <w:rsid w:val="00202A85"/>
    <w:rsid w:val="00202EA3"/>
    <w:rsid w:val="00205B92"/>
    <w:rsid w:val="002100FC"/>
    <w:rsid w:val="00211F60"/>
    <w:rsid w:val="00213890"/>
    <w:rsid w:val="00214E52"/>
    <w:rsid w:val="00216E96"/>
    <w:rsid w:val="002173D0"/>
    <w:rsid w:val="002207C0"/>
    <w:rsid w:val="002231FE"/>
    <w:rsid w:val="0022380D"/>
    <w:rsid w:val="00224B93"/>
    <w:rsid w:val="00226630"/>
    <w:rsid w:val="00231D97"/>
    <w:rsid w:val="00235D64"/>
    <w:rsid w:val="0023676E"/>
    <w:rsid w:val="0024129C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2C46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153B"/>
    <w:rsid w:val="002D300D"/>
    <w:rsid w:val="002E0CD4"/>
    <w:rsid w:val="002E3A90"/>
    <w:rsid w:val="002E46CC"/>
    <w:rsid w:val="002E4F48"/>
    <w:rsid w:val="002E62CB"/>
    <w:rsid w:val="002E6DF1"/>
    <w:rsid w:val="002E6ED9"/>
    <w:rsid w:val="002F0878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26136"/>
    <w:rsid w:val="00330CC1"/>
    <w:rsid w:val="00331296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56BA5"/>
    <w:rsid w:val="00361607"/>
    <w:rsid w:val="0036298B"/>
    <w:rsid w:val="00365C0D"/>
    <w:rsid w:val="00366F56"/>
    <w:rsid w:val="003737C8"/>
    <w:rsid w:val="0037589D"/>
    <w:rsid w:val="00376BB1"/>
    <w:rsid w:val="00377E23"/>
    <w:rsid w:val="00380122"/>
    <w:rsid w:val="003806A2"/>
    <w:rsid w:val="00380765"/>
    <w:rsid w:val="003812AC"/>
    <w:rsid w:val="003817EF"/>
    <w:rsid w:val="0038277C"/>
    <w:rsid w:val="003837F1"/>
    <w:rsid w:val="003841FC"/>
    <w:rsid w:val="00385CE3"/>
    <w:rsid w:val="0038638B"/>
    <w:rsid w:val="003863E6"/>
    <w:rsid w:val="003909E0"/>
    <w:rsid w:val="00391622"/>
    <w:rsid w:val="00391B09"/>
    <w:rsid w:val="00393E09"/>
    <w:rsid w:val="00395B15"/>
    <w:rsid w:val="00396026"/>
    <w:rsid w:val="003A31B9"/>
    <w:rsid w:val="003A3E2F"/>
    <w:rsid w:val="003A4BC4"/>
    <w:rsid w:val="003A6CCB"/>
    <w:rsid w:val="003B0F22"/>
    <w:rsid w:val="003B10C4"/>
    <w:rsid w:val="003B38A3"/>
    <w:rsid w:val="003B48EB"/>
    <w:rsid w:val="003B5CD1"/>
    <w:rsid w:val="003C33FF"/>
    <w:rsid w:val="003C3E0E"/>
    <w:rsid w:val="003C64A5"/>
    <w:rsid w:val="003D03CC"/>
    <w:rsid w:val="003D170D"/>
    <w:rsid w:val="003D2995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4924"/>
    <w:rsid w:val="00406BDA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3785B"/>
    <w:rsid w:val="00446960"/>
    <w:rsid w:val="00446F37"/>
    <w:rsid w:val="00450FF3"/>
    <w:rsid w:val="004518A6"/>
    <w:rsid w:val="00453E1D"/>
    <w:rsid w:val="004544B6"/>
    <w:rsid w:val="00454589"/>
    <w:rsid w:val="00456ED0"/>
    <w:rsid w:val="00457550"/>
    <w:rsid w:val="00457B74"/>
    <w:rsid w:val="00461B2A"/>
    <w:rsid w:val="004620A4"/>
    <w:rsid w:val="00474C50"/>
    <w:rsid w:val="004758C2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7C84"/>
    <w:rsid w:val="004B1A75"/>
    <w:rsid w:val="004B2344"/>
    <w:rsid w:val="004B2901"/>
    <w:rsid w:val="004B29BE"/>
    <w:rsid w:val="004B5066"/>
    <w:rsid w:val="004B507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3D1"/>
    <w:rsid w:val="004E0F32"/>
    <w:rsid w:val="004E23A1"/>
    <w:rsid w:val="004E493C"/>
    <w:rsid w:val="004E623E"/>
    <w:rsid w:val="004E7092"/>
    <w:rsid w:val="004E7ECE"/>
    <w:rsid w:val="004F4DB1"/>
    <w:rsid w:val="004F4E0B"/>
    <w:rsid w:val="004F6F64"/>
    <w:rsid w:val="005004EC"/>
    <w:rsid w:val="00506AAE"/>
    <w:rsid w:val="0051274E"/>
    <w:rsid w:val="0051634E"/>
    <w:rsid w:val="00517756"/>
    <w:rsid w:val="005202C6"/>
    <w:rsid w:val="00523C53"/>
    <w:rsid w:val="005272F4"/>
    <w:rsid w:val="00527B8F"/>
    <w:rsid w:val="00536031"/>
    <w:rsid w:val="0054134B"/>
    <w:rsid w:val="00542012"/>
    <w:rsid w:val="005423A7"/>
    <w:rsid w:val="00543DF5"/>
    <w:rsid w:val="00545A61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E68A7"/>
    <w:rsid w:val="005F0542"/>
    <w:rsid w:val="005F0F72"/>
    <w:rsid w:val="005F1C1F"/>
    <w:rsid w:val="005F2FAD"/>
    <w:rsid w:val="005F346D"/>
    <w:rsid w:val="005F38FB"/>
    <w:rsid w:val="005F710B"/>
    <w:rsid w:val="00602D3B"/>
    <w:rsid w:val="0060326F"/>
    <w:rsid w:val="00604C97"/>
    <w:rsid w:val="00606EA1"/>
    <w:rsid w:val="006128F0"/>
    <w:rsid w:val="0061726B"/>
    <w:rsid w:val="00617B81"/>
    <w:rsid w:val="0062387A"/>
    <w:rsid w:val="00627E6A"/>
    <w:rsid w:val="006326D8"/>
    <w:rsid w:val="0063377D"/>
    <w:rsid w:val="006344BE"/>
    <w:rsid w:val="00634A66"/>
    <w:rsid w:val="00640336"/>
    <w:rsid w:val="00640FC9"/>
    <w:rsid w:val="006414D3"/>
    <w:rsid w:val="006432F2"/>
    <w:rsid w:val="006509DB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07D"/>
    <w:rsid w:val="00685BAF"/>
    <w:rsid w:val="00686E69"/>
    <w:rsid w:val="00690463"/>
    <w:rsid w:val="00693DE5"/>
    <w:rsid w:val="006A0D03"/>
    <w:rsid w:val="006A39B9"/>
    <w:rsid w:val="006A41E9"/>
    <w:rsid w:val="006A6621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45BE"/>
    <w:rsid w:val="006D53A3"/>
    <w:rsid w:val="006D7C6E"/>
    <w:rsid w:val="006E06C6"/>
    <w:rsid w:val="006E15A2"/>
    <w:rsid w:val="006E2F95"/>
    <w:rsid w:val="006F148B"/>
    <w:rsid w:val="006F3DE5"/>
    <w:rsid w:val="00705EAF"/>
    <w:rsid w:val="0070773E"/>
    <w:rsid w:val="00707974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3AC9"/>
    <w:rsid w:val="007464DA"/>
    <w:rsid w:val="007568D8"/>
    <w:rsid w:val="007603E6"/>
    <w:rsid w:val="007616B4"/>
    <w:rsid w:val="00765316"/>
    <w:rsid w:val="007708C8"/>
    <w:rsid w:val="007711AB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67F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5B30"/>
    <w:rsid w:val="00866DCF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08F1"/>
    <w:rsid w:val="008B24A8"/>
    <w:rsid w:val="008B25E4"/>
    <w:rsid w:val="008B3D78"/>
    <w:rsid w:val="008B3DAA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09BB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74FF"/>
    <w:rsid w:val="00921CAD"/>
    <w:rsid w:val="009264A3"/>
    <w:rsid w:val="009311ED"/>
    <w:rsid w:val="00931D41"/>
    <w:rsid w:val="00933D18"/>
    <w:rsid w:val="00940BA1"/>
    <w:rsid w:val="00942221"/>
    <w:rsid w:val="00950FBB"/>
    <w:rsid w:val="00951118"/>
    <w:rsid w:val="0095122F"/>
    <w:rsid w:val="00953349"/>
    <w:rsid w:val="00953E4C"/>
    <w:rsid w:val="00954E0C"/>
    <w:rsid w:val="0095747E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3E35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2B42"/>
    <w:rsid w:val="00A00C78"/>
    <w:rsid w:val="00A0479E"/>
    <w:rsid w:val="00A07979"/>
    <w:rsid w:val="00A11755"/>
    <w:rsid w:val="00A16BAC"/>
    <w:rsid w:val="00A17CF1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5EAF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873EB"/>
    <w:rsid w:val="00A9226B"/>
    <w:rsid w:val="00A9575C"/>
    <w:rsid w:val="00A95B56"/>
    <w:rsid w:val="00A95E81"/>
    <w:rsid w:val="00A969AF"/>
    <w:rsid w:val="00AA048D"/>
    <w:rsid w:val="00AB1A2E"/>
    <w:rsid w:val="00AB328A"/>
    <w:rsid w:val="00AB4918"/>
    <w:rsid w:val="00AB4BC8"/>
    <w:rsid w:val="00AB6BA7"/>
    <w:rsid w:val="00AB7BE8"/>
    <w:rsid w:val="00AC0700"/>
    <w:rsid w:val="00AC7793"/>
    <w:rsid w:val="00AD0710"/>
    <w:rsid w:val="00AD4DB9"/>
    <w:rsid w:val="00AD63C0"/>
    <w:rsid w:val="00AE35B2"/>
    <w:rsid w:val="00AE6AA0"/>
    <w:rsid w:val="00AF3014"/>
    <w:rsid w:val="00AF406C"/>
    <w:rsid w:val="00AF45ED"/>
    <w:rsid w:val="00B00072"/>
    <w:rsid w:val="00B00CA4"/>
    <w:rsid w:val="00B02195"/>
    <w:rsid w:val="00B075D6"/>
    <w:rsid w:val="00B113B9"/>
    <w:rsid w:val="00B119A2"/>
    <w:rsid w:val="00B13B6D"/>
    <w:rsid w:val="00B177F2"/>
    <w:rsid w:val="00B201F1"/>
    <w:rsid w:val="00B20D4F"/>
    <w:rsid w:val="00B2603F"/>
    <w:rsid w:val="00B304E7"/>
    <w:rsid w:val="00B318B6"/>
    <w:rsid w:val="00B3499B"/>
    <w:rsid w:val="00B36E65"/>
    <w:rsid w:val="00B41D57"/>
    <w:rsid w:val="00B41F47"/>
    <w:rsid w:val="00B44468"/>
    <w:rsid w:val="00B57545"/>
    <w:rsid w:val="00B60905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64D1"/>
    <w:rsid w:val="00B9784D"/>
    <w:rsid w:val="00BA3001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4E83"/>
    <w:rsid w:val="00BF58FC"/>
    <w:rsid w:val="00C01F77"/>
    <w:rsid w:val="00C01FFC"/>
    <w:rsid w:val="00C05321"/>
    <w:rsid w:val="00C06AE4"/>
    <w:rsid w:val="00C114FF"/>
    <w:rsid w:val="00C11D49"/>
    <w:rsid w:val="00C12F42"/>
    <w:rsid w:val="00C13155"/>
    <w:rsid w:val="00C149D1"/>
    <w:rsid w:val="00C171A1"/>
    <w:rsid w:val="00C171A4"/>
    <w:rsid w:val="00C17F12"/>
    <w:rsid w:val="00C20734"/>
    <w:rsid w:val="00C21C1A"/>
    <w:rsid w:val="00C237E9"/>
    <w:rsid w:val="00C30EA1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47E"/>
    <w:rsid w:val="00C56F31"/>
    <w:rsid w:val="00C57A81"/>
    <w:rsid w:val="00C60193"/>
    <w:rsid w:val="00C61FE2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2966"/>
    <w:rsid w:val="00C840C2"/>
    <w:rsid w:val="00C84101"/>
    <w:rsid w:val="00C8535F"/>
    <w:rsid w:val="00C90611"/>
    <w:rsid w:val="00C90EDA"/>
    <w:rsid w:val="00C959E7"/>
    <w:rsid w:val="00CA28D8"/>
    <w:rsid w:val="00CC1E65"/>
    <w:rsid w:val="00CC3956"/>
    <w:rsid w:val="00CC567A"/>
    <w:rsid w:val="00CD4059"/>
    <w:rsid w:val="00CD4E5A"/>
    <w:rsid w:val="00CD6AFD"/>
    <w:rsid w:val="00CE03CE"/>
    <w:rsid w:val="00CE0F5D"/>
    <w:rsid w:val="00CE1A6A"/>
    <w:rsid w:val="00CF069C"/>
    <w:rsid w:val="00CF0840"/>
    <w:rsid w:val="00CF0DFF"/>
    <w:rsid w:val="00D011AE"/>
    <w:rsid w:val="00D028A9"/>
    <w:rsid w:val="00D0359D"/>
    <w:rsid w:val="00D04DED"/>
    <w:rsid w:val="00D0581B"/>
    <w:rsid w:val="00D06233"/>
    <w:rsid w:val="00D1089A"/>
    <w:rsid w:val="00D116BD"/>
    <w:rsid w:val="00D16FE0"/>
    <w:rsid w:val="00D2001A"/>
    <w:rsid w:val="00D20684"/>
    <w:rsid w:val="00D2298D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09D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132A"/>
    <w:rsid w:val="00DC2946"/>
    <w:rsid w:val="00DC4340"/>
    <w:rsid w:val="00DC54ED"/>
    <w:rsid w:val="00DC550F"/>
    <w:rsid w:val="00DC64FD"/>
    <w:rsid w:val="00DD2D36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2698"/>
    <w:rsid w:val="00E25B7C"/>
    <w:rsid w:val="00E265A9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3041"/>
    <w:rsid w:val="00EB457B"/>
    <w:rsid w:val="00EC27E1"/>
    <w:rsid w:val="00EC3E4B"/>
    <w:rsid w:val="00EC47C4"/>
    <w:rsid w:val="00EC4F3A"/>
    <w:rsid w:val="00EC5045"/>
    <w:rsid w:val="00EC5E74"/>
    <w:rsid w:val="00ED3AF5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28"/>
    <w:rsid w:val="00F144BE"/>
    <w:rsid w:val="00F14ACA"/>
    <w:rsid w:val="00F17A0C"/>
    <w:rsid w:val="00F23927"/>
    <w:rsid w:val="00F26644"/>
    <w:rsid w:val="00F26A05"/>
    <w:rsid w:val="00F27B08"/>
    <w:rsid w:val="00F307CE"/>
    <w:rsid w:val="00F343C8"/>
    <w:rsid w:val="00F345A8"/>
    <w:rsid w:val="00F354C5"/>
    <w:rsid w:val="00F37108"/>
    <w:rsid w:val="00F40449"/>
    <w:rsid w:val="00F42F21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6D6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7E92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35AA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2593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Zdraznnintenzivn">
    <w:name w:val="Intense Emphasis"/>
    <w:uiPriority w:val="21"/>
    <w:qFormat/>
    <w:rsid w:val="004B2901"/>
    <w:rPr>
      <w:b/>
      <w:bCs/>
      <w:i/>
      <w:iCs/>
      <w:color w:val="4F81BD"/>
    </w:rPr>
  </w:style>
  <w:style w:type="character" w:customStyle="1" w:styleId="hps">
    <w:name w:val="hps"/>
    <w:rsid w:val="00C82966"/>
  </w:style>
  <w:style w:type="paragraph" w:styleId="Obsah2">
    <w:name w:val="toc 2"/>
    <w:basedOn w:val="Normln"/>
    <w:next w:val="Normln"/>
    <w:autoRedefine/>
    <w:uiPriority w:val="39"/>
    <w:unhideWhenUsed/>
    <w:rsid w:val="00235D64"/>
    <w:pPr>
      <w:tabs>
        <w:tab w:val="clear" w:pos="567"/>
        <w:tab w:val="left" w:pos="709"/>
        <w:tab w:val="right" w:pos="9061"/>
      </w:tabs>
      <w:spacing w:after="100"/>
      <w:ind w:left="220"/>
    </w:pPr>
  </w:style>
  <w:style w:type="character" w:styleId="Nevyeenzmnka">
    <w:name w:val="Unresolved Mention"/>
    <w:basedOn w:val="Standardnpsmoodstavce"/>
    <w:rsid w:val="00077EFB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D06233"/>
    <w:pPr>
      <w:keepNext/>
      <w:keepLines/>
      <w:tabs>
        <w:tab w:val="clear" w:pos="567"/>
      </w:tabs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06233"/>
    <w:pPr>
      <w:tabs>
        <w:tab w:val="clear" w:pos="567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16CA8-61E0-43A3-8E6E-95E318F6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7</Pages>
  <Words>2169</Words>
  <Characters>12803</Characters>
  <Application>Microsoft Office Word</Application>
  <DocSecurity>0</DocSecurity>
  <Lines>106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14943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Bačová Lucie</cp:lastModifiedBy>
  <cp:revision>42</cp:revision>
  <cp:lastPrinted>2022-10-26T09:04:00Z</cp:lastPrinted>
  <dcterms:created xsi:type="dcterms:W3CDTF">2024-12-04T09:05:00Z</dcterms:created>
  <dcterms:modified xsi:type="dcterms:W3CDTF">2026-05-11T09:23:00Z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