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F3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880A39" w:rsidRPr="00537999" w:rsidRDefault="00880A39" w:rsidP="004268F3">
      <w:pPr>
        <w:tabs>
          <w:tab w:val="clear" w:pos="567"/>
        </w:tabs>
        <w:spacing w:line="240" w:lineRule="auto"/>
        <w:rPr>
          <w:szCs w:val="22"/>
        </w:rPr>
      </w:pPr>
    </w:p>
    <w:p w:rsidR="004268F3" w:rsidRPr="00537999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4268F3" w:rsidRPr="00537999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4268F3" w:rsidRPr="00537999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4268F3" w:rsidRPr="00537999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4268F3" w:rsidRPr="00537999" w:rsidRDefault="004268F3" w:rsidP="004268F3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B. PŘÍBALOVÁ INFORMACE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es-ES"/>
        </w:rPr>
      </w:pPr>
      <w:r w:rsidRPr="008C5570">
        <w:rPr>
          <w:szCs w:val="22"/>
          <w:lang w:val="es-ES"/>
        </w:rPr>
        <w:br w:type="page"/>
      </w:r>
      <w:r w:rsidRPr="008C5570">
        <w:rPr>
          <w:b/>
          <w:bCs/>
          <w:szCs w:val="22"/>
          <w:lang w:val="es-ES"/>
        </w:rPr>
        <w:lastRenderedPageBreak/>
        <w:t>PŘÍBALOVÁ INFORMACE</w:t>
      </w:r>
      <w:r w:rsidR="00367FE9">
        <w:rPr>
          <w:b/>
          <w:bCs/>
          <w:szCs w:val="22"/>
          <w:lang w:val="es-ES"/>
        </w:rPr>
        <w:t xml:space="preserve"> PRO</w:t>
      </w:r>
    </w:p>
    <w:p w:rsidR="00C114FF" w:rsidRPr="008C5570" w:rsidRDefault="00280316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es-ES"/>
        </w:rPr>
      </w:pPr>
      <w:r w:rsidRPr="008C5570">
        <w:rPr>
          <w:b/>
          <w:bCs/>
          <w:sz w:val="24"/>
          <w:szCs w:val="24"/>
          <w:lang w:val="es-ES"/>
        </w:rPr>
        <w:t>Dormazolam 5 mg/ml injekční roztok pro koně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1.</w:t>
      </w:r>
      <w:r w:rsidRPr="008C5570">
        <w:rPr>
          <w:b/>
          <w:bCs/>
          <w:szCs w:val="22"/>
          <w:lang w:val="es-ES"/>
        </w:rPr>
        <w:tab/>
        <w:t>JMÉNO A ADRESA DRŽITELE ROZHODNUTÍ O REGISTRACI A DRŽITELE POVOLENÍ K VÝROBĚ ODPOVĚDNÉHO ZA UVOLNĚNÍ ŠARŽE, POKUD SE NESHODUJE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iCs/>
          <w:szCs w:val="22"/>
          <w:lang w:val="es-ES"/>
        </w:rPr>
      </w:pPr>
      <w:r w:rsidRPr="008C5570">
        <w:rPr>
          <w:szCs w:val="22"/>
          <w:u w:val="single"/>
          <w:lang w:val="es-ES"/>
        </w:rPr>
        <w:t>Držitel rozhodnutí o registraci</w:t>
      </w:r>
      <w:r w:rsidRPr="008C5570">
        <w:rPr>
          <w:szCs w:val="22"/>
          <w:lang w:val="es-ES"/>
        </w:rPr>
        <w:t>: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iCs/>
          <w:szCs w:val="24"/>
          <w:lang w:val="es-ES"/>
        </w:rPr>
      </w:pPr>
      <w:r w:rsidRPr="008C5570">
        <w:rPr>
          <w:szCs w:val="24"/>
          <w:lang w:val="es-ES"/>
        </w:rPr>
        <w:t>Le Vet Beheer B.V.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iCs/>
          <w:szCs w:val="24"/>
          <w:lang w:val="es-ES"/>
        </w:rPr>
      </w:pPr>
      <w:r w:rsidRPr="008C5570">
        <w:rPr>
          <w:szCs w:val="24"/>
          <w:lang w:val="es-ES"/>
        </w:rPr>
        <w:t>Wilgenweg 7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iCs/>
          <w:szCs w:val="24"/>
          <w:lang w:val="es-ES"/>
        </w:rPr>
      </w:pPr>
      <w:r w:rsidRPr="008C5570">
        <w:rPr>
          <w:szCs w:val="24"/>
          <w:lang w:val="es-ES"/>
        </w:rPr>
        <w:t>3421 TV Oudewater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iCs/>
          <w:szCs w:val="24"/>
          <w:lang w:val="es-ES"/>
        </w:rPr>
      </w:pPr>
      <w:r w:rsidRPr="008C5570">
        <w:rPr>
          <w:szCs w:val="24"/>
          <w:lang w:val="es-ES"/>
        </w:rPr>
        <w:t>Nizozemsko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bCs/>
          <w:szCs w:val="22"/>
          <w:u w:val="single"/>
          <w:lang w:val="es-ES"/>
        </w:rPr>
      </w:pPr>
      <w:r w:rsidRPr="008C5570">
        <w:rPr>
          <w:szCs w:val="22"/>
          <w:u w:val="single"/>
          <w:lang w:val="es-ES"/>
        </w:rPr>
        <w:t>Výrobce odpovědný za uvolnění šarže</w:t>
      </w:r>
      <w:r w:rsidRPr="008C5570">
        <w:rPr>
          <w:szCs w:val="22"/>
          <w:lang w:val="es-ES"/>
        </w:rPr>
        <w:t>: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bCs/>
          <w:szCs w:val="24"/>
          <w:lang w:val="es-ES"/>
        </w:rPr>
      </w:pPr>
      <w:r w:rsidRPr="008C5570">
        <w:rPr>
          <w:szCs w:val="24"/>
          <w:lang w:val="es-ES"/>
        </w:rPr>
        <w:t>Produlab Pharma B.V.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bCs/>
          <w:szCs w:val="24"/>
          <w:lang w:val="es-ES"/>
        </w:rPr>
      </w:pPr>
      <w:r w:rsidRPr="008C5570">
        <w:rPr>
          <w:szCs w:val="24"/>
          <w:lang w:val="es-ES"/>
        </w:rPr>
        <w:t>Forellenweg 16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bCs/>
          <w:szCs w:val="24"/>
          <w:lang w:val="es-ES"/>
        </w:rPr>
      </w:pPr>
      <w:r w:rsidRPr="008C5570">
        <w:rPr>
          <w:szCs w:val="24"/>
          <w:lang w:val="es-ES"/>
        </w:rPr>
        <w:t>4941 SJ Raamsdonksveer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bCs/>
          <w:szCs w:val="24"/>
          <w:u w:val="single"/>
          <w:lang w:val="es-ES"/>
        </w:rPr>
      </w:pPr>
      <w:r w:rsidRPr="008C5570">
        <w:rPr>
          <w:szCs w:val="24"/>
          <w:lang w:val="es-ES"/>
        </w:rPr>
        <w:t>Nizozemsko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2.</w:t>
      </w:r>
      <w:r w:rsidRPr="008C5570">
        <w:rPr>
          <w:b/>
          <w:bCs/>
          <w:szCs w:val="22"/>
          <w:lang w:val="es-ES"/>
        </w:rPr>
        <w:tab/>
        <w:t>NÁZEV VETERINÁRNÍHO LÉČIVÉHO PŘÍPRAVKU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280316" w:rsidRPr="008C5570" w:rsidRDefault="00280316" w:rsidP="00280316">
      <w:pPr>
        <w:tabs>
          <w:tab w:val="clear" w:pos="567"/>
        </w:tabs>
        <w:spacing w:line="240" w:lineRule="auto"/>
        <w:rPr>
          <w:bCs/>
          <w:szCs w:val="22"/>
          <w:lang w:val="es-ES"/>
        </w:rPr>
      </w:pPr>
      <w:r w:rsidRPr="008C5570">
        <w:rPr>
          <w:szCs w:val="22"/>
          <w:lang w:val="es-ES"/>
        </w:rPr>
        <w:t>Dormazolam 5 mg/ml injekční roztok pro koně</w:t>
      </w:r>
    </w:p>
    <w:p w:rsidR="00C114FF" w:rsidRPr="008C5570" w:rsidRDefault="00367FE9" w:rsidP="00280316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szCs w:val="22"/>
          <w:lang w:val="es-ES"/>
        </w:rPr>
        <w:t>M</w:t>
      </w:r>
      <w:r w:rsidR="00280316" w:rsidRPr="008C5570">
        <w:rPr>
          <w:szCs w:val="22"/>
          <w:lang w:val="es-ES"/>
        </w:rPr>
        <w:t>idazolam</w:t>
      </w:r>
      <w:r>
        <w:rPr>
          <w:szCs w:val="22"/>
          <w:lang w:val="es-ES"/>
        </w:rPr>
        <w:t>um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3.</w:t>
      </w:r>
      <w:r w:rsidRPr="008C5570">
        <w:rPr>
          <w:b/>
          <w:bCs/>
          <w:szCs w:val="22"/>
          <w:lang w:val="es-ES"/>
        </w:rPr>
        <w:tab/>
        <w:t>OBSAH LÉČIVÝCH A OSTATNÍCH LÁTEK</w:t>
      </w:r>
    </w:p>
    <w:p w:rsidR="00280316" w:rsidRPr="008C5570" w:rsidRDefault="00280316" w:rsidP="000B597F">
      <w:pPr>
        <w:keepNext/>
        <w:tabs>
          <w:tab w:val="clear" w:pos="567"/>
          <w:tab w:val="left" w:pos="708"/>
        </w:tabs>
        <w:spacing w:line="240" w:lineRule="auto"/>
        <w:rPr>
          <w:iCs/>
          <w:szCs w:val="22"/>
          <w:lang w:val="es-ES"/>
        </w:rPr>
      </w:pPr>
    </w:p>
    <w:p w:rsidR="00280316" w:rsidRPr="008C5570" w:rsidRDefault="00DF7847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Jeden ml obsahuje:</w:t>
      </w: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Léčivá látka:</w:t>
      </w:r>
    </w:p>
    <w:p w:rsidR="00280316" w:rsidRPr="008C5570" w:rsidRDefault="00280316" w:rsidP="00280316">
      <w:pPr>
        <w:pStyle w:val="BODY"/>
        <w:rPr>
          <w:szCs w:val="22"/>
          <w:lang w:val="es-ES"/>
        </w:rPr>
      </w:pPr>
      <w:r w:rsidRPr="008C5570">
        <w:rPr>
          <w:szCs w:val="22"/>
          <w:lang w:val="es-ES"/>
        </w:rPr>
        <w:t>Midazolamum</w:t>
      </w:r>
      <w:r w:rsidRPr="008C5570">
        <w:rPr>
          <w:szCs w:val="22"/>
          <w:lang w:val="es-ES"/>
        </w:rPr>
        <w:tab/>
      </w:r>
      <w:r w:rsidRPr="008C5570">
        <w:rPr>
          <w:szCs w:val="22"/>
          <w:lang w:val="es-ES"/>
        </w:rPr>
        <w:tab/>
        <w:t>5,0 mg</w:t>
      </w:r>
    </w:p>
    <w:p w:rsidR="00280316" w:rsidRPr="008C5570" w:rsidRDefault="00280316" w:rsidP="00280316">
      <w:pPr>
        <w:pStyle w:val="BODY"/>
        <w:spacing w:after="0"/>
        <w:rPr>
          <w:b/>
          <w:szCs w:val="22"/>
          <w:lang w:val="es-ES"/>
        </w:rPr>
      </w:pPr>
    </w:p>
    <w:p w:rsidR="00280316" w:rsidRPr="008C5570" w:rsidRDefault="00280316" w:rsidP="00280316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 xml:space="preserve">Pomocné látky: </w:t>
      </w:r>
      <w:r w:rsidRPr="008C5570">
        <w:rPr>
          <w:szCs w:val="22"/>
          <w:lang w:val="es-ES"/>
        </w:rPr>
        <w:br/>
        <w:t>Benzylalkohol (E</w:t>
      </w:r>
      <w:r w:rsidR="00367FE9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1519)</w:t>
      </w:r>
      <w:r w:rsidRPr="008C5570">
        <w:rPr>
          <w:szCs w:val="22"/>
          <w:lang w:val="es-ES"/>
        </w:rPr>
        <w:tab/>
        <w:t>10,0 mg</w:t>
      </w:r>
    </w:p>
    <w:p w:rsidR="00280316" w:rsidRPr="008C5570" w:rsidRDefault="00280316" w:rsidP="00280316">
      <w:pPr>
        <w:pStyle w:val="BODY"/>
        <w:spacing w:after="0"/>
        <w:rPr>
          <w:szCs w:val="22"/>
          <w:lang w:val="es-ES"/>
        </w:rPr>
      </w:pPr>
    </w:p>
    <w:p w:rsidR="00280316" w:rsidRPr="008C5570" w:rsidRDefault="00280316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Čirý bezbarvý roztok.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4.</w:t>
      </w:r>
      <w:r w:rsidRPr="008C5570">
        <w:rPr>
          <w:b/>
          <w:bCs/>
          <w:szCs w:val="22"/>
          <w:lang w:val="es-ES"/>
        </w:rPr>
        <w:tab/>
        <w:t>INDIKACE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14729D" w:rsidRPr="0095764C" w:rsidRDefault="0014729D" w:rsidP="0014729D">
      <w:pPr>
        <w:tabs>
          <w:tab w:val="clear" w:pos="567"/>
        </w:tabs>
        <w:spacing w:line="240" w:lineRule="auto"/>
        <w:rPr>
          <w:lang w:val="cs-CZ"/>
        </w:rPr>
      </w:pPr>
      <w:r>
        <w:rPr>
          <w:szCs w:val="22"/>
          <w:lang w:val="cs-CZ"/>
        </w:rPr>
        <w:t>Anestézie vyvolaná současným i</w:t>
      </w:r>
      <w:r w:rsidRPr="001E2A83">
        <w:rPr>
          <w:szCs w:val="22"/>
          <w:lang w:val="cs-CZ"/>
        </w:rPr>
        <w:t>ntravenózní</w:t>
      </w:r>
      <w:r>
        <w:rPr>
          <w:szCs w:val="22"/>
          <w:lang w:val="cs-CZ"/>
        </w:rPr>
        <w:t>m</w:t>
      </w:r>
      <w:r w:rsidRPr="001E2A83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podáním </w:t>
      </w:r>
      <w:r w:rsidRPr="001E2A83">
        <w:rPr>
          <w:szCs w:val="22"/>
          <w:lang w:val="cs-CZ"/>
        </w:rPr>
        <w:t xml:space="preserve">s </w:t>
      </w:r>
      <w:proofErr w:type="spellStart"/>
      <w:r w:rsidRPr="001E2A83">
        <w:rPr>
          <w:szCs w:val="22"/>
          <w:lang w:val="cs-CZ"/>
        </w:rPr>
        <w:t>ketaminem</w:t>
      </w:r>
      <w:proofErr w:type="spellEnd"/>
      <w:r w:rsidRPr="001E2A83">
        <w:rPr>
          <w:szCs w:val="22"/>
          <w:lang w:val="cs-CZ"/>
        </w:rPr>
        <w:t xml:space="preserve"> pro hladký průběh indukce a intubace a hlubokou relaxaci svalů během anestezie.</w:t>
      </w:r>
      <w:r w:rsidRPr="0095764C">
        <w:rPr>
          <w:lang w:val="cs-CZ"/>
        </w:rPr>
        <w:t xml:space="preserve"> 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5.</w:t>
      </w:r>
      <w:r w:rsidRPr="008C5570">
        <w:rPr>
          <w:b/>
          <w:bCs/>
          <w:szCs w:val="22"/>
          <w:lang w:val="es-ES"/>
        </w:rPr>
        <w:tab/>
        <w:t>KONTRAINDIKACE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0B597F" w:rsidRPr="008C5570" w:rsidRDefault="000B597F" w:rsidP="000B597F">
      <w:pPr>
        <w:tabs>
          <w:tab w:val="left" w:pos="709"/>
        </w:tabs>
        <w:ind w:left="709" w:hanging="709"/>
        <w:rPr>
          <w:szCs w:val="22"/>
          <w:lang w:val="es-ES"/>
        </w:rPr>
      </w:pPr>
      <w:r w:rsidRPr="008C5570">
        <w:rPr>
          <w:szCs w:val="22"/>
          <w:lang w:val="es-ES"/>
        </w:rPr>
        <w:t>Nepoužívat u zvířat s těžkým respiračním selháním.</w:t>
      </w:r>
    </w:p>
    <w:p w:rsidR="000B597F" w:rsidRPr="008C5570" w:rsidRDefault="000B597F" w:rsidP="000B597F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U koní nepoužív</w:t>
      </w:r>
      <w:r w:rsidR="00ED0B65" w:rsidRPr="008C5570">
        <w:rPr>
          <w:szCs w:val="22"/>
          <w:lang w:val="es-ES"/>
        </w:rPr>
        <w:t>at</w:t>
      </w:r>
      <w:r w:rsidRPr="008C5570">
        <w:rPr>
          <w:szCs w:val="22"/>
          <w:lang w:val="es-ES"/>
        </w:rPr>
        <w:t xml:space="preserve"> </w:t>
      </w:r>
      <w:r w:rsidR="00086140">
        <w:rPr>
          <w:szCs w:val="22"/>
          <w:lang w:val="es-ES"/>
        </w:rPr>
        <w:t>přípravek samostatně</w:t>
      </w:r>
      <w:r w:rsidRPr="008C5570">
        <w:rPr>
          <w:szCs w:val="22"/>
          <w:lang w:val="es-ES"/>
        </w:rPr>
        <w:t>.</w:t>
      </w:r>
    </w:p>
    <w:p w:rsidR="000B597F" w:rsidRPr="008C5570" w:rsidRDefault="000B597F" w:rsidP="000B597F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Nepoužívat v případě přecitlivělosti na léčivou látku nebo na některou z pomocných látek.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6.</w:t>
      </w:r>
      <w:r w:rsidRPr="008C5570">
        <w:rPr>
          <w:b/>
          <w:bCs/>
          <w:szCs w:val="22"/>
          <w:lang w:val="es-ES"/>
        </w:rPr>
        <w:tab/>
        <w:t>NEŽÁDOUCÍ ÚČINKY</w:t>
      </w:r>
    </w:p>
    <w:p w:rsidR="000B597F" w:rsidRPr="008C5570" w:rsidRDefault="000B597F" w:rsidP="000B597F">
      <w:pPr>
        <w:keepNext/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</w:p>
    <w:p w:rsidR="00730518" w:rsidRPr="008C5570" w:rsidRDefault="00730518" w:rsidP="00730518">
      <w:pPr>
        <w:tabs>
          <w:tab w:val="clear" w:pos="567"/>
          <w:tab w:val="left" w:pos="720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 xml:space="preserve">Během </w:t>
      </w:r>
      <w:r w:rsidR="009D5D3A">
        <w:rPr>
          <w:szCs w:val="22"/>
          <w:lang w:val="es-ES"/>
        </w:rPr>
        <w:t>probouzení</w:t>
      </w:r>
      <w:r w:rsidR="009D5D3A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 xml:space="preserve">z anestezie se </w:t>
      </w:r>
      <w:r w:rsidR="009D5D3A">
        <w:rPr>
          <w:szCs w:val="22"/>
          <w:lang w:val="es-ES"/>
        </w:rPr>
        <w:t>často</w:t>
      </w:r>
      <w:r w:rsidR="009D5D3A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vyskytuje ataxie/</w:t>
      </w:r>
      <w:r w:rsidR="009D5D3A">
        <w:rPr>
          <w:szCs w:val="22"/>
          <w:lang w:val="es-ES"/>
        </w:rPr>
        <w:t>poruchy koordinace</w:t>
      </w:r>
      <w:r w:rsidRPr="008C5570">
        <w:rPr>
          <w:szCs w:val="22"/>
          <w:lang w:val="es-ES"/>
        </w:rPr>
        <w:t>.</w:t>
      </w:r>
      <w:r w:rsidR="009F3ADB" w:rsidRPr="008C5570">
        <w:rPr>
          <w:szCs w:val="22"/>
          <w:lang w:val="es-ES"/>
        </w:rPr>
        <w:t xml:space="preserve"> </w:t>
      </w:r>
    </w:p>
    <w:p w:rsidR="00730518" w:rsidRPr="008C5570" w:rsidRDefault="009D5D3A" w:rsidP="00730518">
      <w:pPr>
        <w:tabs>
          <w:tab w:val="clear" w:pos="567"/>
          <w:tab w:val="left" w:pos="720"/>
        </w:tabs>
        <w:spacing w:line="240" w:lineRule="auto"/>
        <w:rPr>
          <w:szCs w:val="22"/>
          <w:lang w:val="es-ES"/>
        </w:rPr>
      </w:pPr>
      <w:r>
        <w:rPr>
          <w:szCs w:val="22"/>
          <w:lang w:val="es-ES"/>
        </w:rPr>
        <w:t>Při indukci anestezie se výjimečně objevuje útlum dýchání a samovolné močení</w:t>
      </w:r>
      <w:r w:rsidR="002873CA" w:rsidRPr="008C5570">
        <w:rPr>
          <w:szCs w:val="22"/>
          <w:lang w:val="es-ES"/>
        </w:rPr>
        <w:t>.</w:t>
      </w:r>
    </w:p>
    <w:p w:rsidR="00730518" w:rsidRPr="008C5570" w:rsidRDefault="00730518" w:rsidP="00730518">
      <w:pPr>
        <w:tabs>
          <w:tab w:val="clear" w:pos="567"/>
          <w:tab w:val="left" w:pos="720"/>
        </w:tabs>
        <w:spacing w:line="240" w:lineRule="auto"/>
        <w:rPr>
          <w:szCs w:val="22"/>
          <w:lang w:val="es-ES"/>
        </w:rPr>
      </w:pPr>
    </w:p>
    <w:p w:rsidR="002873CA" w:rsidRPr="008C5570" w:rsidRDefault="002873CA" w:rsidP="002873CA">
      <w:pPr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Četnost nežádoucích účinků je charakterizována podle následujících pravidel:</w:t>
      </w:r>
    </w:p>
    <w:p w:rsidR="002873CA" w:rsidRPr="008C5570" w:rsidRDefault="002873CA" w:rsidP="002873CA">
      <w:pPr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- velmi časté (nežádoucí účinek(nky) se projevil(y) u více než 1 z 10 ošetřených zvířat),</w:t>
      </w:r>
    </w:p>
    <w:p w:rsidR="002873CA" w:rsidRPr="008C5570" w:rsidRDefault="002873CA" w:rsidP="002873CA">
      <w:pPr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- časté (u více než 1, ale méně než 10 ze 100 ošetřených zvířat)</w:t>
      </w:r>
    </w:p>
    <w:p w:rsidR="002873CA" w:rsidRPr="008C5570" w:rsidRDefault="002873CA" w:rsidP="002873CA">
      <w:pPr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- neobvyklé (u více než 1, ale méně než 10 z 1 000 ošetřených zvířat)</w:t>
      </w:r>
    </w:p>
    <w:p w:rsidR="002873CA" w:rsidRPr="008C5570" w:rsidRDefault="002873CA" w:rsidP="002873CA">
      <w:pPr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- vzácné (u více než 1, ale méně než 10 z 10 000 ošetřených zvířat)</w:t>
      </w:r>
    </w:p>
    <w:p w:rsidR="00F8054E" w:rsidRPr="008C5570" w:rsidRDefault="002873CA" w:rsidP="002873CA">
      <w:pPr>
        <w:tabs>
          <w:tab w:val="clear" w:pos="567"/>
          <w:tab w:val="left" w:pos="720"/>
        </w:tabs>
        <w:spacing w:line="240" w:lineRule="auto"/>
        <w:rPr>
          <w:rFonts w:cs="Arial"/>
          <w:bCs/>
          <w:iCs/>
          <w:lang w:val="es-ES"/>
        </w:rPr>
      </w:pPr>
      <w:r w:rsidRPr="008C5570">
        <w:rPr>
          <w:rFonts w:cs="Arial"/>
          <w:lang w:val="es-ES"/>
        </w:rPr>
        <w:t>- velmi vzácné (u méně než 1 z 10 000 ošetřených zvířat, včetně ojedinělých hlášení).</w:t>
      </w:r>
    </w:p>
    <w:p w:rsidR="002873CA" w:rsidRPr="008C5570" w:rsidRDefault="002873CA" w:rsidP="002873CA">
      <w:pPr>
        <w:tabs>
          <w:tab w:val="clear" w:pos="567"/>
          <w:tab w:val="left" w:pos="720"/>
        </w:tabs>
        <w:spacing w:line="240" w:lineRule="auto"/>
        <w:rPr>
          <w:szCs w:val="22"/>
          <w:lang w:val="es-ES"/>
        </w:rPr>
      </w:pPr>
    </w:p>
    <w:p w:rsidR="00C114FF" w:rsidRPr="008C5570" w:rsidRDefault="0035593B" w:rsidP="00730518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35593B">
        <w:rPr>
          <w:szCs w:val="22"/>
          <w:lang w:val="es-ES"/>
        </w:rPr>
        <w:t>Jestliže zaznamenáte jakékoliv nežádoucí účinky, a to i takové, které nejsou uvedeny v této příbalové informaci, nebo si myslíte, že léčivý přípravek není účinný, oznamte to, prosím, vašemu veterinárnímu lékaři</w:t>
      </w:r>
      <w:r w:rsidR="00C114FF" w:rsidRPr="008C5570">
        <w:rPr>
          <w:szCs w:val="22"/>
          <w:lang w:val="es-ES"/>
        </w:rPr>
        <w:t>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7.</w:t>
      </w:r>
      <w:r w:rsidRPr="008C5570">
        <w:rPr>
          <w:b/>
          <w:bCs/>
          <w:szCs w:val="22"/>
          <w:lang w:val="es-ES"/>
        </w:rPr>
        <w:tab/>
        <w:t>CÍLOVÝ DRUH ZVÍŘAT</w:t>
      </w:r>
    </w:p>
    <w:p w:rsidR="000B597F" w:rsidRPr="008C5570" w:rsidRDefault="000B597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280316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Koně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8.</w:t>
      </w:r>
      <w:r w:rsidRPr="008C5570">
        <w:rPr>
          <w:b/>
          <w:bCs/>
          <w:szCs w:val="22"/>
          <w:lang w:val="es-ES"/>
        </w:rPr>
        <w:tab/>
        <w:t>DÁVKOVÁNÍ PRO KAŽDÝ DRUH, CESTA A ZPŮSOB PODÁNÍ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iCs/>
          <w:szCs w:val="22"/>
          <w:lang w:val="es-ES"/>
        </w:rPr>
      </w:pPr>
    </w:p>
    <w:p w:rsidR="000B597F" w:rsidRPr="008C5570" w:rsidRDefault="0014229C" w:rsidP="000B597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szCs w:val="22"/>
          <w:lang w:val="es-ES"/>
        </w:rPr>
        <w:t>Intravenózní</w:t>
      </w:r>
      <w:r w:rsidR="000B597F" w:rsidRPr="008C5570">
        <w:rPr>
          <w:szCs w:val="22"/>
          <w:lang w:val="es-ES"/>
        </w:rPr>
        <w:t xml:space="preserve"> podání.</w:t>
      </w:r>
    </w:p>
    <w:p w:rsidR="000B597F" w:rsidRPr="008C5570" w:rsidRDefault="000B597F" w:rsidP="000B597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210846" w:rsidRPr="00FD392D" w:rsidRDefault="00210846" w:rsidP="002108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D392D">
        <w:rPr>
          <w:szCs w:val="22"/>
          <w:lang w:val="cs-CZ"/>
        </w:rPr>
        <w:t xml:space="preserve">Jakmile je kůň </w:t>
      </w:r>
      <w:r w:rsidRPr="001E2A83">
        <w:rPr>
          <w:szCs w:val="22"/>
          <w:lang w:val="cs-CZ"/>
        </w:rPr>
        <w:t xml:space="preserve">dostatečně zklidněn, vyvolá se anestezie intravenózním </w:t>
      </w:r>
      <w:r w:rsidRPr="0095764C">
        <w:rPr>
          <w:szCs w:val="22"/>
          <w:lang w:val="cs-CZ"/>
        </w:rPr>
        <w:t>podán</w:t>
      </w:r>
      <w:r w:rsidRPr="00750A5C">
        <w:rPr>
          <w:szCs w:val="22"/>
          <w:lang w:val="cs-CZ"/>
        </w:rPr>
        <w:t>ím</w:t>
      </w:r>
      <w:r w:rsidRPr="00FD392D">
        <w:rPr>
          <w:szCs w:val="22"/>
          <w:lang w:val="cs-CZ"/>
        </w:rPr>
        <w:t>:</w:t>
      </w:r>
    </w:p>
    <w:p w:rsidR="000B597F" w:rsidRPr="008C5570" w:rsidRDefault="00210846" w:rsidP="000B597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szCs w:val="22"/>
          <w:lang w:val="es-ES"/>
        </w:rPr>
        <w:t>m</w:t>
      </w:r>
      <w:r w:rsidR="000B597F" w:rsidRPr="008C5570">
        <w:rPr>
          <w:szCs w:val="22"/>
          <w:lang w:val="es-ES"/>
        </w:rPr>
        <w:t>idazolam</w:t>
      </w:r>
      <w:r>
        <w:rPr>
          <w:szCs w:val="22"/>
          <w:lang w:val="es-ES"/>
        </w:rPr>
        <w:t>u</w:t>
      </w:r>
      <w:r w:rsidR="000B597F" w:rsidRPr="008C5570">
        <w:rPr>
          <w:szCs w:val="22"/>
          <w:lang w:val="es-ES"/>
        </w:rPr>
        <w:t xml:space="preserve"> v dávce 0,06 mg na kg </w:t>
      </w:r>
      <w:r w:rsidR="0014229C">
        <w:rPr>
          <w:szCs w:val="22"/>
          <w:lang w:val="es-ES"/>
        </w:rPr>
        <w:t>živé</w:t>
      </w:r>
      <w:r w:rsidR="0014229C" w:rsidRPr="008C5570">
        <w:rPr>
          <w:szCs w:val="22"/>
          <w:lang w:val="es-ES"/>
        </w:rPr>
        <w:t xml:space="preserve"> </w:t>
      </w:r>
      <w:r w:rsidR="000B597F" w:rsidRPr="008C5570">
        <w:rPr>
          <w:szCs w:val="22"/>
          <w:lang w:val="es-ES"/>
        </w:rPr>
        <w:t>hmotnosti, což odpov</w:t>
      </w:r>
      <w:r w:rsidR="00ED0B65" w:rsidRPr="008C5570">
        <w:rPr>
          <w:szCs w:val="22"/>
          <w:lang w:val="es-ES"/>
        </w:rPr>
        <w:t>ídá 1,2 ml roztoku na 100 kg, v </w:t>
      </w:r>
      <w:r w:rsidR="000B597F" w:rsidRPr="008C5570">
        <w:rPr>
          <w:szCs w:val="22"/>
          <w:lang w:val="es-ES"/>
        </w:rPr>
        <w:t xml:space="preserve">kombinaci s ketaminem v dávce 2,2 mg na kg </w:t>
      </w:r>
      <w:r w:rsidR="0014229C">
        <w:rPr>
          <w:szCs w:val="22"/>
          <w:lang w:val="es-ES"/>
        </w:rPr>
        <w:t>živé</w:t>
      </w:r>
      <w:r w:rsidR="0014229C" w:rsidRPr="008C5570">
        <w:rPr>
          <w:szCs w:val="22"/>
          <w:lang w:val="es-ES"/>
        </w:rPr>
        <w:t xml:space="preserve"> </w:t>
      </w:r>
      <w:r w:rsidR="000B597F" w:rsidRPr="008C5570">
        <w:rPr>
          <w:szCs w:val="22"/>
          <w:lang w:val="es-ES"/>
        </w:rPr>
        <w:t>hmotnosti.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9.</w:t>
      </w:r>
      <w:r w:rsidRPr="008C5570">
        <w:rPr>
          <w:b/>
          <w:bCs/>
          <w:szCs w:val="22"/>
          <w:lang w:val="es-ES"/>
        </w:rPr>
        <w:tab/>
        <w:t>POKYNY PRO SPRÁVNÉ PODÁNÍ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730518" w:rsidRPr="008C5570" w:rsidRDefault="00730518" w:rsidP="00730518">
      <w:pPr>
        <w:tabs>
          <w:tab w:val="clear" w:pos="567"/>
          <w:tab w:val="left" w:pos="720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 xml:space="preserve">Midazolam a ketamin je možné kombinovat a podat ve stejné </w:t>
      </w:r>
      <w:r w:rsidR="00210846">
        <w:rPr>
          <w:szCs w:val="22"/>
          <w:lang w:val="es-ES"/>
        </w:rPr>
        <w:t xml:space="preserve">injekční </w:t>
      </w:r>
      <w:r w:rsidRPr="008C5570">
        <w:rPr>
          <w:szCs w:val="22"/>
          <w:lang w:val="es-ES"/>
        </w:rPr>
        <w:t>stříkačce.</w:t>
      </w:r>
    </w:p>
    <w:p w:rsidR="00C80401" w:rsidRPr="008C5570" w:rsidRDefault="00C80401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10.</w:t>
      </w:r>
      <w:r w:rsidRPr="008C5570">
        <w:rPr>
          <w:b/>
          <w:bCs/>
          <w:szCs w:val="22"/>
          <w:lang w:val="es-ES"/>
        </w:rPr>
        <w:tab/>
        <w:t>OCHRANNÁ</w:t>
      </w:r>
      <w:r w:rsidR="001E026A">
        <w:rPr>
          <w:b/>
          <w:bCs/>
          <w:szCs w:val="22"/>
          <w:lang w:val="es-ES"/>
        </w:rPr>
        <w:t>(É)</w:t>
      </w:r>
      <w:r w:rsidRPr="008C5570">
        <w:rPr>
          <w:b/>
          <w:bCs/>
          <w:szCs w:val="22"/>
          <w:lang w:val="es-ES"/>
        </w:rPr>
        <w:t xml:space="preserve"> LHŮTA</w:t>
      </w:r>
      <w:r w:rsidR="001E026A">
        <w:rPr>
          <w:b/>
          <w:bCs/>
          <w:szCs w:val="22"/>
          <w:lang w:val="es-ES"/>
        </w:rPr>
        <w:t>(Y)</w:t>
      </w:r>
    </w:p>
    <w:p w:rsidR="00280316" w:rsidRPr="008C5570" w:rsidRDefault="00280316" w:rsidP="000B597F">
      <w:pPr>
        <w:keepNext/>
        <w:tabs>
          <w:tab w:val="clear" w:pos="567"/>
        </w:tabs>
        <w:spacing w:line="240" w:lineRule="auto"/>
        <w:rPr>
          <w:iCs/>
          <w:szCs w:val="22"/>
          <w:lang w:val="es-ES"/>
        </w:rPr>
      </w:pPr>
    </w:p>
    <w:p w:rsidR="00280316" w:rsidRPr="008C5570" w:rsidRDefault="001E026A" w:rsidP="00280316">
      <w:pPr>
        <w:tabs>
          <w:tab w:val="clear" w:pos="567"/>
        </w:tabs>
        <w:spacing w:line="240" w:lineRule="auto"/>
        <w:rPr>
          <w:lang w:val="es-ES"/>
        </w:rPr>
      </w:pPr>
      <w:r>
        <w:rPr>
          <w:lang w:val="es-ES"/>
        </w:rPr>
        <w:t>N</w:t>
      </w:r>
      <w:r w:rsidR="00CB4F34" w:rsidRPr="008C5570">
        <w:rPr>
          <w:lang w:val="es-ES"/>
        </w:rPr>
        <w:t>epoužívat u koní určen</w:t>
      </w:r>
      <w:r w:rsidR="00AA4023">
        <w:rPr>
          <w:lang w:val="es-ES"/>
        </w:rPr>
        <w:t>ých</w:t>
      </w:r>
      <w:r w:rsidR="00CB4F34" w:rsidRPr="008C5570">
        <w:rPr>
          <w:lang w:val="es-ES"/>
        </w:rPr>
        <w:t xml:space="preserve"> pro lidskou spotřebu. </w:t>
      </w:r>
    </w:p>
    <w:p w:rsidR="00CB4F34" w:rsidRPr="008C5570" w:rsidRDefault="00CB4F34" w:rsidP="00280316">
      <w:pPr>
        <w:tabs>
          <w:tab w:val="clear" w:pos="567"/>
        </w:tabs>
        <w:spacing w:line="240" w:lineRule="auto"/>
        <w:rPr>
          <w:iCs/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11.</w:t>
      </w:r>
      <w:r w:rsidRPr="008C5570">
        <w:rPr>
          <w:b/>
          <w:bCs/>
          <w:szCs w:val="22"/>
          <w:lang w:val="es-ES"/>
        </w:rPr>
        <w:tab/>
        <w:t>ZVLÁŠTNÍ OPATŘENÍ PRO UCHOVÁVÁNÍ</w:t>
      </w:r>
    </w:p>
    <w:p w:rsidR="00C114FF" w:rsidRPr="008C5570" w:rsidRDefault="00C114FF" w:rsidP="000B597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Uchovávat mimo dohled a dosah dětí.</w:t>
      </w:r>
    </w:p>
    <w:p w:rsidR="00C114FF" w:rsidRPr="008C557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 xml:space="preserve">Uchovávejte injekční lahvičku </w:t>
      </w:r>
      <w:r w:rsidR="00367FE9">
        <w:rPr>
          <w:szCs w:val="22"/>
          <w:lang w:val="es-ES"/>
        </w:rPr>
        <w:t xml:space="preserve">v </w:t>
      </w:r>
      <w:r w:rsidRPr="008C5570">
        <w:rPr>
          <w:szCs w:val="22"/>
          <w:lang w:val="es-ES"/>
        </w:rPr>
        <w:t xml:space="preserve"> krabičce, aby byla chráněna před světlem.</w:t>
      </w:r>
    </w:p>
    <w:p w:rsidR="00C114FF" w:rsidRPr="008C5570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Nepoužívejte tento veterinární léčivý přípravek po uplynutí doby použ</w:t>
      </w:r>
      <w:r w:rsidR="00ED0B65" w:rsidRPr="008C5570">
        <w:rPr>
          <w:szCs w:val="22"/>
          <w:lang w:val="es-ES"/>
        </w:rPr>
        <w:t>itelnosti uvedené na krabičce a </w:t>
      </w:r>
      <w:r w:rsidR="00367FE9">
        <w:rPr>
          <w:szCs w:val="22"/>
          <w:lang w:val="es-ES"/>
        </w:rPr>
        <w:t>etiketě po</w:t>
      </w:r>
      <w:r w:rsidRPr="008C5570">
        <w:rPr>
          <w:szCs w:val="22"/>
          <w:lang w:val="es-ES"/>
        </w:rPr>
        <w:t xml:space="preserve"> EXP. Doba použitelnosti končí posledním dnem v uvedeném měsíci.</w:t>
      </w:r>
    </w:p>
    <w:p w:rsidR="000577A7" w:rsidRPr="008C557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Doba použitelnosti po prvním otevření vnitřního obalu</w:t>
      </w:r>
      <w:r w:rsidRPr="008C5570">
        <w:rPr>
          <w:lang w:val="es-ES"/>
        </w:rPr>
        <w:t>:</w:t>
      </w:r>
      <w:r w:rsidR="00ED0B65" w:rsidRPr="008C5570">
        <w:rPr>
          <w:lang w:val="es-ES"/>
        </w:rPr>
        <w:t xml:space="preserve"> </w:t>
      </w:r>
      <w:r w:rsidRPr="008C5570">
        <w:rPr>
          <w:szCs w:val="22"/>
          <w:lang w:val="es-ES"/>
        </w:rPr>
        <w:t>28 dnů</w:t>
      </w:r>
      <w:r w:rsidR="00367FE9">
        <w:rPr>
          <w:szCs w:val="22"/>
          <w:lang w:val="es-ES"/>
        </w:rPr>
        <w:t>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12.</w:t>
      </w:r>
      <w:r w:rsidRPr="008C5570">
        <w:rPr>
          <w:b/>
          <w:bCs/>
          <w:szCs w:val="22"/>
          <w:lang w:val="es-ES"/>
        </w:rPr>
        <w:tab/>
        <w:t>ZVLÁŠTNÍ UPOZORNĚNÍ</w:t>
      </w:r>
    </w:p>
    <w:p w:rsidR="0043320A" w:rsidRPr="008C5570" w:rsidRDefault="0043320A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43320A" w:rsidRPr="008C5570" w:rsidRDefault="0043320A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u w:val="single"/>
          <w:lang w:val="es-ES"/>
        </w:rPr>
        <w:t>Zvláštní opatření pro použití u zvířat:</w:t>
      </w:r>
    </w:p>
    <w:p w:rsidR="000B597F" w:rsidRPr="008C5570" w:rsidRDefault="000B597F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  <w:r w:rsidRPr="008C5570">
        <w:rPr>
          <w:szCs w:val="24"/>
          <w:lang w:val="es-ES"/>
        </w:rPr>
        <w:t xml:space="preserve">V případě </w:t>
      </w:r>
      <w:r w:rsidR="00B822F2">
        <w:rPr>
          <w:szCs w:val="24"/>
          <w:lang w:val="es-ES"/>
        </w:rPr>
        <w:t>renální nebo jaterní dysfunkce</w:t>
      </w:r>
      <w:r w:rsidRPr="008C5570">
        <w:rPr>
          <w:szCs w:val="24"/>
          <w:lang w:val="es-ES"/>
        </w:rPr>
        <w:t xml:space="preserve"> </w:t>
      </w:r>
      <w:r w:rsidR="00B822F2">
        <w:rPr>
          <w:szCs w:val="24"/>
          <w:lang w:val="es-ES"/>
        </w:rPr>
        <w:t>či</w:t>
      </w:r>
      <w:r w:rsidR="00B822F2" w:rsidRPr="008C5570">
        <w:rPr>
          <w:szCs w:val="24"/>
          <w:lang w:val="es-ES"/>
        </w:rPr>
        <w:t xml:space="preserve"> </w:t>
      </w:r>
      <w:r w:rsidRPr="008C5570">
        <w:rPr>
          <w:szCs w:val="24"/>
          <w:lang w:val="es-ES"/>
        </w:rPr>
        <w:t xml:space="preserve">útlumu dýchání může být </w:t>
      </w:r>
      <w:r w:rsidR="00B822F2">
        <w:rPr>
          <w:szCs w:val="24"/>
          <w:lang w:val="es-ES"/>
        </w:rPr>
        <w:t>použití</w:t>
      </w:r>
      <w:r w:rsidR="00B822F2" w:rsidRPr="008C5570">
        <w:rPr>
          <w:szCs w:val="24"/>
          <w:lang w:val="es-ES"/>
        </w:rPr>
        <w:t xml:space="preserve"> </w:t>
      </w:r>
      <w:r w:rsidRPr="008C5570">
        <w:rPr>
          <w:szCs w:val="24"/>
          <w:lang w:val="es-ES"/>
        </w:rPr>
        <w:t xml:space="preserve">přípravku </w:t>
      </w:r>
      <w:r w:rsidR="00B822F2">
        <w:rPr>
          <w:szCs w:val="24"/>
          <w:lang w:val="es-ES"/>
        </w:rPr>
        <w:t xml:space="preserve">spojeno se </w:t>
      </w:r>
      <w:r w:rsidRPr="008C5570">
        <w:rPr>
          <w:szCs w:val="24"/>
          <w:lang w:val="es-ES"/>
        </w:rPr>
        <w:t>zvýšen</w:t>
      </w:r>
      <w:r w:rsidR="00B822F2">
        <w:rPr>
          <w:szCs w:val="24"/>
          <w:lang w:val="es-ES"/>
        </w:rPr>
        <w:t>ým</w:t>
      </w:r>
      <w:r w:rsidRPr="008C5570">
        <w:rPr>
          <w:szCs w:val="24"/>
          <w:lang w:val="es-ES"/>
        </w:rPr>
        <w:t xml:space="preserve"> </w:t>
      </w:r>
      <w:r w:rsidR="00B822F2" w:rsidRPr="008C5570">
        <w:rPr>
          <w:szCs w:val="24"/>
          <w:lang w:val="es-ES"/>
        </w:rPr>
        <w:t>rizik</w:t>
      </w:r>
      <w:r w:rsidR="00B822F2">
        <w:rPr>
          <w:szCs w:val="24"/>
          <w:lang w:val="es-ES"/>
        </w:rPr>
        <w:t>em</w:t>
      </w:r>
      <w:r w:rsidRPr="008C5570">
        <w:rPr>
          <w:szCs w:val="24"/>
          <w:lang w:val="es-ES"/>
        </w:rPr>
        <w:t>. Použít pouze po zvážení poměru terapeutického prospěchu/rizika příslušným veterinárním lékařem.</w:t>
      </w:r>
    </w:p>
    <w:p w:rsidR="00F8054E" w:rsidRPr="008C5570" w:rsidRDefault="00F8054E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</w:p>
    <w:p w:rsidR="000B597F" w:rsidRPr="008C5570" w:rsidRDefault="000B597F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es-ES"/>
        </w:rPr>
      </w:pPr>
      <w:r w:rsidRPr="008C5570">
        <w:rPr>
          <w:color w:val="262929"/>
          <w:szCs w:val="24"/>
          <w:lang w:val="es-ES"/>
        </w:rPr>
        <w:t xml:space="preserve">Midazolam </w:t>
      </w:r>
      <w:r w:rsidR="00B822F2">
        <w:rPr>
          <w:color w:val="262929"/>
          <w:szCs w:val="24"/>
          <w:lang w:val="es-ES"/>
        </w:rPr>
        <w:t>způsobuje</w:t>
      </w:r>
      <w:r w:rsidR="00B822F2" w:rsidRPr="008C5570">
        <w:rPr>
          <w:color w:val="262929"/>
          <w:szCs w:val="24"/>
          <w:lang w:val="es-ES"/>
        </w:rPr>
        <w:t xml:space="preserve"> </w:t>
      </w:r>
      <w:r w:rsidRPr="008C5570">
        <w:rPr>
          <w:color w:val="262929"/>
          <w:szCs w:val="24"/>
          <w:lang w:val="es-ES"/>
        </w:rPr>
        <w:t xml:space="preserve">svalovou relaxaci; při použití </w:t>
      </w:r>
      <w:r w:rsidR="00B822F2">
        <w:rPr>
          <w:color w:val="262929"/>
          <w:szCs w:val="24"/>
          <w:lang w:val="es-ES"/>
        </w:rPr>
        <w:t>přípravku samostatně</w:t>
      </w:r>
      <w:r w:rsidRPr="008C5570">
        <w:rPr>
          <w:color w:val="262929"/>
          <w:szCs w:val="24"/>
          <w:lang w:val="es-ES"/>
        </w:rPr>
        <w:t xml:space="preserve"> mohou být </w:t>
      </w:r>
      <w:r w:rsidRPr="008C5570">
        <w:rPr>
          <w:color w:val="393B3B"/>
          <w:szCs w:val="24"/>
          <w:lang w:val="es-ES"/>
        </w:rPr>
        <w:t xml:space="preserve">koně v mírné </w:t>
      </w:r>
      <w:r w:rsidRPr="008C5570">
        <w:rPr>
          <w:color w:val="262929"/>
          <w:szCs w:val="24"/>
          <w:lang w:val="es-ES"/>
        </w:rPr>
        <w:t xml:space="preserve">sedaci, </w:t>
      </w:r>
      <w:r w:rsidRPr="008C5570">
        <w:rPr>
          <w:color w:val="393B3B"/>
          <w:szCs w:val="24"/>
          <w:lang w:val="es-ES"/>
        </w:rPr>
        <w:t xml:space="preserve">ale také neklidní nebo dokonce rozrušení, </w:t>
      </w:r>
      <w:r w:rsidR="00B822F2">
        <w:rPr>
          <w:color w:val="393B3B"/>
          <w:szCs w:val="24"/>
          <w:lang w:val="es-ES"/>
        </w:rPr>
        <w:t xml:space="preserve">jakmile </w:t>
      </w:r>
      <w:r w:rsidRPr="008C5570">
        <w:rPr>
          <w:color w:val="393B3B"/>
          <w:szCs w:val="24"/>
          <w:lang w:val="es-ES"/>
        </w:rPr>
        <w:t>se stanou ataxními/nestabilními.</w:t>
      </w:r>
    </w:p>
    <w:p w:rsidR="00F8054E" w:rsidRPr="008C5570" w:rsidRDefault="00F8054E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es-ES"/>
        </w:rPr>
      </w:pPr>
    </w:p>
    <w:p w:rsidR="00730518" w:rsidRPr="008C5570" w:rsidRDefault="00811987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  <w:r w:rsidRPr="00811987">
        <w:rPr>
          <w:lang w:val="es-ES"/>
        </w:rPr>
        <w:t xml:space="preserve">S použitím přípravku může být spojeno prodloužení doby probouzení (prodloužená doba </w:t>
      </w:r>
      <w:r w:rsidR="00210846">
        <w:rPr>
          <w:lang w:val="es-ES"/>
        </w:rPr>
        <w:t>ulehnutí</w:t>
      </w:r>
      <w:r w:rsidRPr="00811987">
        <w:rPr>
          <w:lang w:val="es-ES"/>
        </w:rPr>
        <w:t xml:space="preserve"> a doba extubace).</w:t>
      </w:r>
    </w:p>
    <w:p w:rsidR="00F8054E" w:rsidRPr="008C5570" w:rsidRDefault="00F8054E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</w:p>
    <w:p w:rsidR="00730518" w:rsidRPr="008C5570" w:rsidRDefault="000B6EE6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  <w:r w:rsidRPr="008C5570">
        <w:rPr>
          <w:szCs w:val="24"/>
          <w:lang w:val="es-ES"/>
        </w:rPr>
        <w:t>Bezpečnost opakovaného bolusového dávkování (při dávce 0,06 mg/k</w:t>
      </w:r>
      <w:r w:rsidR="00ED0B65" w:rsidRPr="008C5570">
        <w:rPr>
          <w:szCs w:val="24"/>
          <w:lang w:val="es-ES"/>
        </w:rPr>
        <w:t>g) v intervalech kratších než 4 </w:t>
      </w:r>
      <w:r w:rsidRPr="008C5570">
        <w:rPr>
          <w:szCs w:val="24"/>
          <w:lang w:val="es-ES"/>
        </w:rPr>
        <w:t>dny nebyla stanovena.</w:t>
      </w:r>
      <w:r w:rsidR="009F3ADB" w:rsidRPr="008C5570">
        <w:rPr>
          <w:szCs w:val="24"/>
          <w:lang w:val="es-ES"/>
        </w:rPr>
        <w:t xml:space="preserve"> </w:t>
      </w:r>
      <w:r w:rsidRPr="008C5570">
        <w:rPr>
          <w:szCs w:val="24"/>
          <w:lang w:val="es-ES"/>
        </w:rPr>
        <w:t xml:space="preserve">Vzhledem k farmakokinetice účinné látky je třeba </w:t>
      </w:r>
      <w:r w:rsidR="00473B88">
        <w:rPr>
          <w:szCs w:val="24"/>
          <w:lang w:val="es-ES"/>
        </w:rPr>
        <w:t xml:space="preserve">dbát zvýšené pozornosti při </w:t>
      </w:r>
      <w:r w:rsidRPr="008C5570">
        <w:rPr>
          <w:szCs w:val="24"/>
          <w:lang w:val="es-ES"/>
        </w:rPr>
        <w:t xml:space="preserve">opakovaném podávání midazolamu během 24 hodin koním, zvláště </w:t>
      </w:r>
      <w:r w:rsidR="00473B88">
        <w:rPr>
          <w:szCs w:val="24"/>
          <w:lang w:val="es-ES"/>
        </w:rPr>
        <w:t>novorozeným</w:t>
      </w:r>
      <w:r w:rsidR="00473B88" w:rsidRPr="008C5570">
        <w:rPr>
          <w:szCs w:val="24"/>
          <w:lang w:val="es-ES"/>
        </w:rPr>
        <w:t xml:space="preserve"> </w:t>
      </w:r>
      <w:r w:rsidRPr="008C5570">
        <w:rPr>
          <w:szCs w:val="24"/>
          <w:lang w:val="es-ES"/>
        </w:rPr>
        <w:t>hříbatům (tj. hříbatům mladším než 3 týdny), obézním koním a koním s poškozením jater nebo se stavy spojenými se sníženou perf</w:t>
      </w:r>
      <w:r w:rsidR="00210846">
        <w:rPr>
          <w:szCs w:val="24"/>
          <w:lang w:val="es-ES"/>
        </w:rPr>
        <w:t>ú</w:t>
      </w:r>
      <w:r w:rsidRPr="008C5570">
        <w:rPr>
          <w:szCs w:val="24"/>
          <w:lang w:val="es-ES"/>
        </w:rPr>
        <w:t xml:space="preserve">zí orgánů, z důvodu </w:t>
      </w:r>
      <w:r w:rsidR="00473B88">
        <w:rPr>
          <w:szCs w:val="24"/>
          <w:lang w:val="es-ES"/>
        </w:rPr>
        <w:t>možné</w:t>
      </w:r>
      <w:r w:rsidR="00473B88" w:rsidRPr="008C5570">
        <w:rPr>
          <w:szCs w:val="24"/>
          <w:lang w:val="es-ES"/>
        </w:rPr>
        <w:t xml:space="preserve"> </w:t>
      </w:r>
      <w:r w:rsidRPr="008C5570">
        <w:rPr>
          <w:szCs w:val="24"/>
          <w:lang w:val="es-ES"/>
        </w:rPr>
        <w:t>akumulace léků.</w:t>
      </w:r>
    </w:p>
    <w:p w:rsidR="00F8054E" w:rsidRPr="008C5570" w:rsidRDefault="00F8054E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</w:p>
    <w:p w:rsidR="00F8054E" w:rsidRPr="008C5570" w:rsidRDefault="00F8054E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  <w:r w:rsidRPr="008C5570">
        <w:rPr>
          <w:szCs w:val="24"/>
          <w:lang w:val="es-ES"/>
        </w:rPr>
        <w:t>Při podávání přípravku koním</w:t>
      </w:r>
      <w:r w:rsidR="00737C65">
        <w:rPr>
          <w:szCs w:val="24"/>
          <w:lang w:val="es-ES"/>
        </w:rPr>
        <w:t xml:space="preserve"> s hypoalbuminémií</w:t>
      </w:r>
      <w:r w:rsidRPr="008C5570">
        <w:rPr>
          <w:szCs w:val="24"/>
          <w:lang w:val="es-ES"/>
        </w:rPr>
        <w:t xml:space="preserve"> je třeba dbát opatrnosti, protože tato zvířata mohou mít vyšší citlivost na danou dávku.</w:t>
      </w:r>
    </w:p>
    <w:p w:rsidR="00F8054E" w:rsidRPr="008C5570" w:rsidRDefault="00F8054E" w:rsidP="00730518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s-ES"/>
        </w:rPr>
      </w:pPr>
    </w:p>
    <w:p w:rsidR="00210846" w:rsidRPr="00FD392D" w:rsidRDefault="00210846" w:rsidP="0021084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cs-CZ"/>
        </w:rPr>
      </w:pPr>
      <w:r w:rsidRPr="00FD392D">
        <w:rPr>
          <w:szCs w:val="24"/>
          <w:lang w:val="cs-CZ"/>
        </w:rPr>
        <w:t>Př</w:t>
      </w:r>
      <w:r w:rsidRPr="00D10C64">
        <w:rPr>
          <w:szCs w:val="24"/>
          <w:lang w:val="cs-CZ"/>
        </w:rPr>
        <w:t>ed</w:t>
      </w:r>
      <w:r w:rsidRPr="00FD392D">
        <w:rPr>
          <w:szCs w:val="24"/>
          <w:lang w:val="cs-CZ"/>
        </w:rPr>
        <w:t xml:space="preserve"> použití</w:t>
      </w:r>
      <w:r w:rsidRPr="00D10C64">
        <w:rPr>
          <w:szCs w:val="24"/>
          <w:lang w:val="cs-CZ"/>
        </w:rPr>
        <w:t>m</w:t>
      </w:r>
      <w:r w:rsidRPr="00FD392D">
        <w:rPr>
          <w:szCs w:val="24"/>
          <w:lang w:val="cs-CZ"/>
        </w:rPr>
        <w:t xml:space="preserve"> midazolamu v kombinaci s jinými veterinárními léčivými přípravky se seznamte s </w:t>
      </w:r>
      <w:r>
        <w:rPr>
          <w:szCs w:val="24"/>
          <w:lang w:val="cs-CZ"/>
        </w:rPr>
        <w:t>informací</w:t>
      </w:r>
      <w:r w:rsidRPr="00FD392D">
        <w:rPr>
          <w:szCs w:val="24"/>
          <w:lang w:val="cs-CZ"/>
        </w:rPr>
        <w:t xml:space="preserve"> připojen</w:t>
      </w:r>
      <w:r>
        <w:rPr>
          <w:szCs w:val="24"/>
          <w:lang w:val="cs-CZ"/>
        </w:rPr>
        <w:t>ou</w:t>
      </w:r>
      <w:r w:rsidRPr="00FD392D">
        <w:rPr>
          <w:szCs w:val="24"/>
          <w:lang w:val="cs-CZ"/>
        </w:rPr>
        <w:t xml:space="preserve"> k příslušným přípravkům.</w:t>
      </w:r>
    </w:p>
    <w:p w:rsidR="0043320A" w:rsidRPr="008C5570" w:rsidRDefault="0043320A" w:rsidP="0043320A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43320A" w:rsidRPr="00F978E6" w:rsidRDefault="0043320A" w:rsidP="00F978E6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978E6"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:rsidR="00EE16E8" w:rsidRPr="002D548F" w:rsidRDefault="00EE16E8" w:rsidP="00F978E6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2D548F">
        <w:rPr>
          <w:szCs w:val="24"/>
          <w:lang w:val="cs-CZ"/>
        </w:rPr>
        <w:t xml:space="preserve">Midazolam </w:t>
      </w:r>
      <w:r>
        <w:rPr>
          <w:szCs w:val="24"/>
          <w:lang w:val="cs-CZ"/>
        </w:rPr>
        <w:t>tlumí</w:t>
      </w:r>
      <w:r w:rsidRPr="002D548F">
        <w:rPr>
          <w:szCs w:val="24"/>
          <w:lang w:val="cs-CZ"/>
        </w:rPr>
        <w:t xml:space="preserve"> CNS a může způsobovat sedaci a </w:t>
      </w:r>
      <w:r>
        <w:rPr>
          <w:szCs w:val="24"/>
          <w:lang w:val="cs-CZ"/>
        </w:rPr>
        <w:t>navodit</w:t>
      </w:r>
      <w:r w:rsidRPr="002D548F">
        <w:rPr>
          <w:szCs w:val="24"/>
          <w:lang w:val="cs-CZ"/>
        </w:rPr>
        <w:t xml:space="preserve"> spánek. </w:t>
      </w:r>
      <w:r>
        <w:rPr>
          <w:szCs w:val="24"/>
          <w:lang w:val="cs-CZ"/>
        </w:rPr>
        <w:t>P</w:t>
      </w:r>
      <w:r w:rsidRPr="002D548F">
        <w:rPr>
          <w:szCs w:val="24"/>
          <w:lang w:val="cs-CZ"/>
        </w:rPr>
        <w:t>ředcházejte náhodnému samopodání injekce. V případě náhodného sebepoškození injekčně aplikovaným přípravkem vyhledejte ihned lékařskou pomoc a ukažte příbalovou informaci praktickému lékaři. NEŘIĎTE MOTOROVÉ VOZIDLO, neboť může dojít k sedaci a narušení svalových funkcí.</w:t>
      </w:r>
    </w:p>
    <w:p w:rsidR="00EE16E8" w:rsidRPr="002D548F" w:rsidRDefault="00EE16E8" w:rsidP="00F978E6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szCs w:val="24"/>
          <w:lang w:val="cs-CZ"/>
        </w:rPr>
      </w:pPr>
      <w:r w:rsidRPr="002D548F">
        <w:rPr>
          <w:szCs w:val="24"/>
          <w:lang w:val="cs-CZ"/>
        </w:rPr>
        <w:t>Midazolam a jeho metabolity mohou být škodlivé pro nenarozené dítě</w:t>
      </w:r>
      <w:r>
        <w:rPr>
          <w:szCs w:val="24"/>
          <w:lang w:val="cs-CZ"/>
        </w:rPr>
        <w:t xml:space="preserve">, </w:t>
      </w:r>
      <w:r w:rsidRPr="005E553C">
        <w:rPr>
          <w:szCs w:val="24"/>
          <w:lang w:val="cs-CZ"/>
        </w:rPr>
        <w:t>v malých množstvích</w:t>
      </w:r>
      <w:r w:rsidRPr="00E300E1">
        <w:rPr>
          <w:szCs w:val="24"/>
          <w:lang w:val="cs-CZ"/>
        </w:rPr>
        <w:t xml:space="preserve"> </w:t>
      </w:r>
      <w:r w:rsidRPr="00192B82">
        <w:rPr>
          <w:szCs w:val="24"/>
          <w:lang w:val="cs-CZ"/>
        </w:rPr>
        <w:t>jsou</w:t>
      </w:r>
      <w:r w:rsidRPr="00E300E1">
        <w:rPr>
          <w:szCs w:val="24"/>
          <w:lang w:val="cs-CZ"/>
        </w:rPr>
        <w:t xml:space="preserve"> </w:t>
      </w:r>
      <w:r w:rsidRPr="002D548F">
        <w:rPr>
          <w:szCs w:val="24"/>
          <w:lang w:val="cs-CZ"/>
        </w:rPr>
        <w:t xml:space="preserve">vylučovány do mateřského mléka, a mají tak farmakologický účinek na kojené novorozence. Těhotné a kojící ženy by proto měly při manipulaci s tímto přípravkem být velmi </w:t>
      </w:r>
      <w:r>
        <w:rPr>
          <w:szCs w:val="24"/>
          <w:lang w:val="cs-CZ"/>
        </w:rPr>
        <w:t xml:space="preserve">obezřetné </w:t>
      </w:r>
      <w:r w:rsidRPr="002D548F">
        <w:rPr>
          <w:szCs w:val="24"/>
          <w:lang w:val="cs-CZ"/>
        </w:rPr>
        <w:t>a</w:t>
      </w:r>
      <w:r>
        <w:rPr>
          <w:szCs w:val="24"/>
          <w:lang w:val="cs-CZ"/>
        </w:rPr>
        <w:t> </w:t>
      </w:r>
      <w:r w:rsidRPr="002D548F">
        <w:rPr>
          <w:szCs w:val="24"/>
          <w:lang w:val="cs-CZ"/>
        </w:rPr>
        <w:t>v</w:t>
      </w:r>
      <w:r>
        <w:rPr>
          <w:szCs w:val="24"/>
          <w:lang w:val="cs-CZ"/>
        </w:rPr>
        <w:t> </w:t>
      </w:r>
      <w:r w:rsidRPr="002D548F">
        <w:rPr>
          <w:szCs w:val="24"/>
          <w:lang w:val="cs-CZ"/>
        </w:rPr>
        <w:t xml:space="preserve">případě expozice </w:t>
      </w:r>
      <w:r>
        <w:rPr>
          <w:szCs w:val="24"/>
          <w:lang w:val="cs-CZ"/>
        </w:rPr>
        <w:t>ihned</w:t>
      </w:r>
      <w:r w:rsidRPr="002D548F">
        <w:rPr>
          <w:szCs w:val="24"/>
          <w:lang w:val="cs-CZ"/>
        </w:rPr>
        <w:t xml:space="preserve"> vyhledat lékařskou pomoc.</w:t>
      </w:r>
    </w:p>
    <w:p w:rsidR="00EE16E8" w:rsidRPr="002D548F" w:rsidRDefault="00EE16E8" w:rsidP="00F978E6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2D548F">
        <w:rPr>
          <w:szCs w:val="24"/>
          <w:lang w:val="cs-CZ"/>
        </w:rPr>
        <w:t>Lidé se známou přecitlivělostí na midazolam nebo na kteroukoli pomocnou látku by se měli vyhnout kontaktu s veterinárním léčivým přípravkem.</w:t>
      </w:r>
    </w:p>
    <w:p w:rsidR="00EE16E8" w:rsidRPr="002D548F" w:rsidRDefault="00EE16E8" w:rsidP="00F978E6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2D548F">
        <w:rPr>
          <w:szCs w:val="24"/>
          <w:lang w:val="cs-CZ"/>
        </w:rPr>
        <w:t>Tento přípravek obsahuje benzylalkohol a může způsobit podráždění kůže. Zabraňte kontaktu s</w:t>
      </w:r>
      <w:r>
        <w:rPr>
          <w:szCs w:val="24"/>
          <w:lang w:val="cs-CZ"/>
        </w:rPr>
        <w:t> </w:t>
      </w:r>
      <w:r w:rsidRPr="002D548F">
        <w:rPr>
          <w:szCs w:val="24"/>
          <w:lang w:val="cs-CZ"/>
        </w:rPr>
        <w:t>kůží. V případě kontaktu s kůží ji omyjte vodou a mýdlem. Pokud podráždění přetrvává, vyhledejte lékařskou pomoc. Po použití si umyjte ruce.</w:t>
      </w:r>
    </w:p>
    <w:p w:rsidR="00EE16E8" w:rsidRPr="002D548F" w:rsidRDefault="00EE16E8" w:rsidP="00F978E6">
      <w:pPr>
        <w:widowControl w:val="0"/>
        <w:tabs>
          <w:tab w:val="left" w:pos="708"/>
        </w:tabs>
        <w:autoSpaceDE w:val="0"/>
        <w:autoSpaceDN w:val="0"/>
        <w:adjustRightInd w:val="0"/>
        <w:spacing w:after="60"/>
        <w:jc w:val="both"/>
        <w:rPr>
          <w:szCs w:val="24"/>
          <w:lang w:val="cs-CZ"/>
        </w:rPr>
      </w:pPr>
      <w:r w:rsidRPr="002D548F">
        <w:rPr>
          <w:szCs w:val="24"/>
          <w:lang w:val="cs-CZ"/>
        </w:rPr>
        <w:t>Přípravek může způsobit podráždění očí. Zabraňte kontaktu s očima. V případě zasažení očí je ihned vypláchněte velkým množstvím vody</w:t>
      </w:r>
      <w:r>
        <w:rPr>
          <w:szCs w:val="24"/>
          <w:lang w:val="cs-CZ"/>
        </w:rPr>
        <w:t>. P</w:t>
      </w:r>
      <w:r w:rsidRPr="002D548F">
        <w:rPr>
          <w:szCs w:val="24"/>
          <w:lang w:val="cs-CZ"/>
        </w:rPr>
        <w:t>okud podráždění přetrvává, vyhledejte lékařskou pomoc.</w:t>
      </w:r>
    </w:p>
    <w:p w:rsidR="00EE16E8" w:rsidRPr="002D548F" w:rsidRDefault="00EE16E8" w:rsidP="00F978E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D548F">
        <w:rPr>
          <w:szCs w:val="22"/>
          <w:u w:val="single"/>
          <w:lang w:val="cs-CZ"/>
        </w:rPr>
        <w:t>Pro lékaře</w:t>
      </w:r>
      <w:r w:rsidRPr="002D548F">
        <w:rPr>
          <w:szCs w:val="22"/>
          <w:lang w:val="cs-CZ"/>
        </w:rPr>
        <w:t>: Stejně jako u ostatních benzodiazepinů způsobuje midazolam často ospalost, ataxii, dysartrii</w:t>
      </w:r>
      <w:r w:rsidRPr="002D548F">
        <w:rPr>
          <w:lang w:val="cs-CZ"/>
        </w:rPr>
        <w:t xml:space="preserve"> </w:t>
      </w:r>
      <w:r w:rsidRPr="002D548F">
        <w:rPr>
          <w:szCs w:val="22"/>
          <w:lang w:val="cs-CZ"/>
        </w:rPr>
        <w:t>anterográdní amnézii a nystagmus. Předávkování midazolamem je zřídka život ohrožující, pokud je přípravek užíván samotn</w:t>
      </w:r>
      <w:r>
        <w:rPr>
          <w:szCs w:val="22"/>
          <w:lang w:val="cs-CZ"/>
        </w:rPr>
        <w:t>ý</w:t>
      </w:r>
      <w:r w:rsidRPr="002D548F">
        <w:rPr>
          <w:szCs w:val="22"/>
          <w:lang w:val="cs-CZ"/>
        </w:rPr>
        <w:t xml:space="preserve">, ale může vést k </w:t>
      </w:r>
      <w:r>
        <w:rPr>
          <w:szCs w:val="22"/>
          <w:lang w:val="cs-CZ"/>
        </w:rPr>
        <w:t>areflexii</w:t>
      </w:r>
      <w:r w:rsidRPr="002D548F">
        <w:rPr>
          <w:szCs w:val="22"/>
          <w:lang w:val="cs-CZ"/>
        </w:rPr>
        <w:t>, apnoe, hypotenzi, kardiorespirační depresi a ve vzácných případech ke k</w:t>
      </w:r>
      <w:r>
        <w:rPr>
          <w:szCs w:val="22"/>
          <w:lang w:val="cs-CZ"/>
        </w:rPr>
        <w:t>ó</w:t>
      </w:r>
      <w:r w:rsidRPr="002D548F">
        <w:rPr>
          <w:szCs w:val="22"/>
          <w:lang w:val="cs-CZ"/>
        </w:rPr>
        <w:t xml:space="preserve">matu. </w:t>
      </w:r>
    </w:p>
    <w:p w:rsidR="00EE16E8" w:rsidRPr="002D548F" w:rsidRDefault="00EE16E8" w:rsidP="00F978E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D548F">
        <w:rPr>
          <w:szCs w:val="22"/>
          <w:lang w:val="cs-CZ"/>
        </w:rPr>
        <w:t>Sledujte vitální znaky pacienta a zavádě</w:t>
      </w:r>
      <w:r>
        <w:rPr>
          <w:szCs w:val="22"/>
          <w:lang w:val="cs-CZ"/>
        </w:rPr>
        <w:t>j</w:t>
      </w:r>
      <w:r w:rsidRPr="002D548F">
        <w:rPr>
          <w:szCs w:val="22"/>
          <w:lang w:val="cs-CZ"/>
        </w:rPr>
        <w:t>te podpůrná opatření</w:t>
      </w:r>
      <w:r>
        <w:rPr>
          <w:szCs w:val="22"/>
          <w:lang w:val="cs-CZ"/>
        </w:rPr>
        <w:t xml:space="preserve"> </w:t>
      </w:r>
      <w:r w:rsidRPr="002D548F">
        <w:rPr>
          <w:szCs w:val="22"/>
          <w:lang w:val="cs-CZ"/>
        </w:rPr>
        <w:t>dle klinického stavu pacienta. Respirační a hemodynamické příznaky by měly být léčeny symptomaticky.</w:t>
      </w:r>
    </w:p>
    <w:p w:rsidR="0043320A" w:rsidRPr="00F978E6" w:rsidRDefault="0043320A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320A" w:rsidRPr="008C5570" w:rsidRDefault="0043320A" w:rsidP="000B597F">
      <w:pPr>
        <w:keepNext/>
        <w:tabs>
          <w:tab w:val="clear" w:pos="567"/>
        </w:tabs>
        <w:spacing w:line="240" w:lineRule="auto"/>
        <w:rPr>
          <w:szCs w:val="22"/>
          <w:u w:val="single"/>
          <w:lang w:val="es-ES"/>
        </w:rPr>
      </w:pPr>
      <w:r w:rsidRPr="008C5570">
        <w:rPr>
          <w:szCs w:val="22"/>
          <w:u w:val="single"/>
          <w:lang w:val="es-ES"/>
        </w:rPr>
        <w:t>Březost a laktace:</w:t>
      </w:r>
    </w:p>
    <w:p w:rsidR="000B597F" w:rsidRPr="008C5570" w:rsidRDefault="000B597F" w:rsidP="000B597F">
      <w:pPr>
        <w:rPr>
          <w:szCs w:val="22"/>
          <w:lang w:val="es-ES"/>
        </w:rPr>
      </w:pPr>
      <w:r w:rsidRPr="008C5570">
        <w:rPr>
          <w:szCs w:val="22"/>
          <w:lang w:val="es-ES"/>
        </w:rPr>
        <w:t>Laboratorní studie u myší, potkanů a králíků nepodaly důkaz o teratogenním, fetotoxick</w:t>
      </w:r>
      <w:r w:rsidR="00ED0B65" w:rsidRPr="008C5570">
        <w:rPr>
          <w:szCs w:val="22"/>
          <w:lang w:val="es-ES"/>
        </w:rPr>
        <w:t>ém účinku a </w:t>
      </w:r>
      <w:r w:rsidRPr="008C5570">
        <w:rPr>
          <w:szCs w:val="22"/>
          <w:lang w:val="es-ES"/>
        </w:rPr>
        <w:t xml:space="preserve">maternální toxicitě. </w:t>
      </w:r>
      <w:r w:rsidRPr="008C5570">
        <w:rPr>
          <w:lang w:val="es-ES"/>
        </w:rPr>
        <w:t xml:space="preserve">U lidí bylo užívání benzodiazepinů </w:t>
      </w:r>
      <w:r w:rsidR="00EC3616">
        <w:rPr>
          <w:lang w:val="es-ES"/>
        </w:rPr>
        <w:t>na konci</w:t>
      </w:r>
      <w:r w:rsidRPr="008C5570">
        <w:rPr>
          <w:lang w:val="es-ES"/>
        </w:rPr>
        <w:t xml:space="preserve"> třetího trimestru těhotenství nebo během porodu spojeno s nežádoucími účinky u plodu/novorozence, včetně mírné sedace, hypotonie, neochoty sát, apnoe, cyanózy a zhoršené metabolické reakce na </w:t>
      </w:r>
      <w:r w:rsidR="00EC3616">
        <w:rPr>
          <w:lang w:val="es-ES"/>
        </w:rPr>
        <w:t>chladový stres</w:t>
      </w:r>
      <w:r w:rsidRPr="008C5570">
        <w:rPr>
          <w:lang w:val="es-ES"/>
        </w:rPr>
        <w:t>.</w:t>
      </w:r>
      <w:r w:rsidR="00ED0B65" w:rsidRPr="008C5570">
        <w:rPr>
          <w:lang w:val="es-ES"/>
        </w:rPr>
        <w:t xml:space="preserve"> </w:t>
      </w:r>
      <w:r w:rsidRPr="008C5570">
        <w:rPr>
          <w:szCs w:val="22"/>
          <w:lang w:val="es-ES"/>
        </w:rPr>
        <w:t>Midazolam je přítomen v malém množství v mléce laktujících zvířat.</w:t>
      </w:r>
    </w:p>
    <w:p w:rsidR="000B597F" w:rsidRPr="008C5570" w:rsidRDefault="000B597F" w:rsidP="000B597F">
      <w:pPr>
        <w:rPr>
          <w:szCs w:val="22"/>
          <w:lang w:val="es-ES"/>
        </w:rPr>
      </w:pPr>
      <w:r w:rsidRPr="008C5570">
        <w:rPr>
          <w:szCs w:val="22"/>
          <w:lang w:val="es-ES"/>
        </w:rPr>
        <w:t>Bezpečnost veterinárního léčivého přípravku během březosti nebo laktace nebyla u koní prokázána. Použít pouze po zvážení poměru terapeutického prospěchu/rizika příslušným veterinárním lékařem.</w:t>
      </w:r>
    </w:p>
    <w:p w:rsidR="0043320A" w:rsidRPr="008C5570" w:rsidRDefault="0043320A" w:rsidP="0043320A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43320A" w:rsidRPr="008C5570" w:rsidRDefault="0043320A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u w:val="single"/>
          <w:lang w:val="es-ES"/>
        </w:rPr>
        <w:t>Interakce s dalšími léčivými přípravky a další formy interakce:</w:t>
      </w:r>
    </w:p>
    <w:p w:rsidR="000B597F" w:rsidRPr="008C5570" w:rsidRDefault="000B597F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  <w:r w:rsidRPr="008C5570">
        <w:rPr>
          <w:color w:val="000000"/>
          <w:szCs w:val="22"/>
          <w:lang w:val="es-ES"/>
        </w:rPr>
        <w:t xml:space="preserve">Midazolam </w:t>
      </w:r>
      <w:r w:rsidR="00EC3616">
        <w:rPr>
          <w:color w:val="000000"/>
          <w:szCs w:val="22"/>
          <w:lang w:val="es-ES"/>
        </w:rPr>
        <w:t>zesiluje</w:t>
      </w:r>
      <w:r w:rsidR="00EC3616" w:rsidRPr="008C5570">
        <w:rPr>
          <w:color w:val="000000"/>
          <w:szCs w:val="22"/>
          <w:lang w:val="es-ES"/>
        </w:rPr>
        <w:t xml:space="preserve"> </w:t>
      </w:r>
      <w:r w:rsidRPr="008C5570">
        <w:rPr>
          <w:color w:val="000000"/>
          <w:szCs w:val="22"/>
          <w:lang w:val="es-ES"/>
        </w:rPr>
        <w:t>účinek některých sedativních a anestetických látek</w:t>
      </w:r>
      <w:r w:rsidR="00210846">
        <w:rPr>
          <w:color w:val="000000"/>
          <w:szCs w:val="22"/>
          <w:lang w:val="es-ES"/>
        </w:rPr>
        <w:t>, tím</w:t>
      </w:r>
      <w:r w:rsidRPr="008C5570">
        <w:rPr>
          <w:color w:val="000000"/>
          <w:szCs w:val="22"/>
          <w:lang w:val="es-ES"/>
        </w:rPr>
        <w:t xml:space="preserve"> snižuje </w:t>
      </w:r>
      <w:r w:rsidR="00210846">
        <w:rPr>
          <w:color w:val="000000"/>
          <w:szCs w:val="22"/>
          <w:lang w:val="es-ES"/>
        </w:rPr>
        <w:t xml:space="preserve">jejich </w:t>
      </w:r>
      <w:r w:rsidRPr="008C5570">
        <w:rPr>
          <w:color w:val="000000"/>
          <w:szCs w:val="22"/>
          <w:lang w:val="es-ES"/>
        </w:rPr>
        <w:t>požadovanou dávku, včetně alfa-2-agonistů (detomidin, xylazin), propofolu a některých inhalačních látek.</w:t>
      </w:r>
    </w:p>
    <w:p w:rsidR="00F8054E" w:rsidRPr="008C5570" w:rsidRDefault="00F8054E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</w:p>
    <w:p w:rsidR="000B597F" w:rsidRPr="008C5570" w:rsidRDefault="000B597F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  <w:r w:rsidRPr="008C5570">
        <w:rPr>
          <w:color w:val="000000"/>
          <w:szCs w:val="22"/>
          <w:lang w:val="es-ES"/>
        </w:rPr>
        <w:t xml:space="preserve">Souběžné užívání midazolamu s antihistaminiky </w:t>
      </w:r>
      <w:r w:rsidRPr="008C5570">
        <w:rPr>
          <w:lang w:val="es-ES"/>
        </w:rPr>
        <w:t xml:space="preserve">(antagonisté receptoru H2, např. cimetidin), </w:t>
      </w:r>
      <w:r w:rsidRPr="008C5570">
        <w:rPr>
          <w:color w:val="000000"/>
          <w:szCs w:val="22"/>
          <w:lang w:val="es-ES"/>
        </w:rPr>
        <w:t xml:space="preserve">barbituráty, lokálními anestetiky, opioidními analgetiky nebo </w:t>
      </w:r>
      <w:r w:rsidR="00EC3616">
        <w:rPr>
          <w:color w:val="000000"/>
          <w:szCs w:val="22"/>
          <w:lang w:val="es-ES"/>
        </w:rPr>
        <w:t>látkami tlumícími centrální nervový systém</w:t>
      </w:r>
      <w:r w:rsidRPr="008C5570">
        <w:rPr>
          <w:color w:val="000000"/>
          <w:szCs w:val="22"/>
          <w:lang w:val="es-ES"/>
        </w:rPr>
        <w:t xml:space="preserve"> může zvýšit sedativní účinek.</w:t>
      </w:r>
    </w:p>
    <w:p w:rsidR="00F8054E" w:rsidRPr="008C5570" w:rsidRDefault="00F8054E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</w:p>
    <w:p w:rsidR="000B597F" w:rsidRPr="008C5570" w:rsidRDefault="001A016E" w:rsidP="000B597F">
      <w:pPr>
        <w:widowControl w:val="0"/>
        <w:autoSpaceDE w:val="0"/>
        <w:autoSpaceDN w:val="0"/>
        <w:adjustRightInd w:val="0"/>
        <w:rPr>
          <w:lang w:val="es-ES"/>
        </w:rPr>
      </w:pPr>
      <w:r w:rsidRPr="008C5570">
        <w:rPr>
          <w:lang w:val="es-ES"/>
        </w:rPr>
        <w:t xml:space="preserve">V kombinaci s jinými </w:t>
      </w:r>
      <w:r w:rsidR="00EC3616">
        <w:rPr>
          <w:lang w:val="es-ES"/>
        </w:rPr>
        <w:t>látkami</w:t>
      </w:r>
      <w:r w:rsidR="00EC3616" w:rsidRPr="008C5570">
        <w:rPr>
          <w:lang w:val="es-ES"/>
        </w:rPr>
        <w:t xml:space="preserve"> </w:t>
      </w:r>
      <w:r w:rsidRPr="008C5570">
        <w:rPr>
          <w:lang w:val="es-ES"/>
        </w:rPr>
        <w:t xml:space="preserve">(např. opioidními analgetiky, inhalačními anestetiky) může </w:t>
      </w:r>
      <w:r w:rsidR="00EC3616">
        <w:rPr>
          <w:lang w:val="es-ES"/>
        </w:rPr>
        <w:t>se může objevit zesílení účinku útlum</w:t>
      </w:r>
      <w:r w:rsidR="00210846">
        <w:rPr>
          <w:lang w:val="es-ES"/>
        </w:rPr>
        <w:t>u</w:t>
      </w:r>
      <w:r w:rsidR="00EC3616">
        <w:rPr>
          <w:lang w:val="es-ES"/>
        </w:rPr>
        <w:t xml:space="preserve"> dýchání</w:t>
      </w:r>
      <w:r w:rsidRPr="008C5570">
        <w:rPr>
          <w:lang w:val="es-ES"/>
        </w:rPr>
        <w:t xml:space="preserve">.  </w:t>
      </w:r>
    </w:p>
    <w:p w:rsidR="00F8054E" w:rsidRPr="008C5570" w:rsidRDefault="00F8054E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</w:p>
    <w:p w:rsidR="000B597F" w:rsidRPr="008C5570" w:rsidRDefault="000B597F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  <w:r w:rsidRPr="008C5570">
        <w:rPr>
          <w:color w:val="000000"/>
          <w:szCs w:val="22"/>
          <w:lang w:val="es-ES"/>
        </w:rPr>
        <w:t xml:space="preserve">Erytromycin a </w:t>
      </w:r>
      <w:r w:rsidR="0041286E" w:rsidRPr="008C5570">
        <w:rPr>
          <w:color w:val="000000"/>
          <w:szCs w:val="22"/>
          <w:lang w:val="es-ES"/>
        </w:rPr>
        <w:t>azolov</w:t>
      </w:r>
      <w:r w:rsidR="0041286E">
        <w:rPr>
          <w:color w:val="000000"/>
          <w:szCs w:val="22"/>
          <w:lang w:val="es-ES"/>
        </w:rPr>
        <w:t>á</w:t>
      </w:r>
      <w:r w:rsidR="0041286E" w:rsidRPr="008C5570">
        <w:rPr>
          <w:color w:val="000000"/>
          <w:szCs w:val="22"/>
          <w:lang w:val="es-ES"/>
        </w:rPr>
        <w:t xml:space="preserve"> </w:t>
      </w:r>
      <w:r w:rsidR="0041286E">
        <w:rPr>
          <w:color w:val="000000"/>
          <w:szCs w:val="22"/>
          <w:lang w:val="es-ES"/>
        </w:rPr>
        <w:t>antimykotika</w:t>
      </w:r>
      <w:r w:rsidRPr="008C5570">
        <w:rPr>
          <w:color w:val="000000"/>
          <w:szCs w:val="22"/>
          <w:lang w:val="es-ES"/>
        </w:rPr>
        <w:t xml:space="preserve"> (flukonazol, ketokonazol) inhibují metabolizmus midazolamu, což má za následek zvýšené koncentrace midazolamu v plazmě a zvýšení sedace.</w:t>
      </w:r>
    </w:p>
    <w:p w:rsidR="00F8054E" w:rsidRPr="008C5570" w:rsidRDefault="00F8054E" w:rsidP="000B597F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</w:p>
    <w:p w:rsidR="00730518" w:rsidRPr="008C5570" w:rsidRDefault="00730518" w:rsidP="00730518">
      <w:pPr>
        <w:widowControl w:val="0"/>
        <w:autoSpaceDE w:val="0"/>
        <w:autoSpaceDN w:val="0"/>
        <w:adjustRightInd w:val="0"/>
        <w:rPr>
          <w:color w:val="000000"/>
          <w:szCs w:val="22"/>
          <w:lang w:val="es-ES"/>
        </w:rPr>
      </w:pPr>
      <w:r w:rsidRPr="008C5570">
        <w:rPr>
          <w:color w:val="000000"/>
          <w:szCs w:val="22"/>
          <w:lang w:val="es-ES"/>
        </w:rPr>
        <w:t>Léčivé přípravky, které indukují metabolismus zprostředkovaný CYP450, jako je rifampin, mohou snížit plazmatické koncentrace a účinky midazolamu.</w:t>
      </w:r>
    </w:p>
    <w:p w:rsidR="0043320A" w:rsidRPr="008C5570" w:rsidRDefault="0043320A" w:rsidP="0043320A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43320A" w:rsidRPr="008C5570" w:rsidRDefault="0043320A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u w:val="single"/>
          <w:lang w:val="es-ES"/>
        </w:rPr>
        <w:t>Předávkování (symptomy, první pomoc, antidota)</w:t>
      </w:r>
      <w:r w:rsidRPr="008C5570">
        <w:rPr>
          <w:szCs w:val="22"/>
          <w:lang w:val="es-ES"/>
        </w:rPr>
        <w:t>:</w:t>
      </w:r>
    </w:p>
    <w:p w:rsidR="00210846" w:rsidRPr="00FD392D" w:rsidRDefault="00210846" w:rsidP="0021084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FD392D">
        <w:rPr>
          <w:szCs w:val="22"/>
          <w:lang w:val="cs-CZ"/>
        </w:rPr>
        <w:t>Příznaky předávkování jsou především zesílen</w:t>
      </w:r>
      <w:r>
        <w:rPr>
          <w:szCs w:val="22"/>
          <w:lang w:val="cs-CZ"/>
        </w:rPr>
        <w:t>é</w:t>
      </w:r>
      <w:r w:rsidRPr="00FD392D">
        <w:rPr>
          <w:szCs w:val="22"/>
          <w:lang w:val="cs-CZ"/>
        </w:rPr>
        <w:t xml:space="preserve"> farmakologick</w:t>
      </w:r>
      <w:r>
        <w:rPr>
          <w:szCs w:val="22"/>
          <w:lang w:val="cs-CZ"/>
        </w:rPr>
        <w:t>é</w:t>
      </w:r>
      <w:r w:rsidRPr="00FD392D">
        <w:rPr>
          <w:szCs w:val="22"/>
          <w:lang w:val="cs-CZ"/>
        </w:rPr>
        <w:t xml:space="preserve"> účink</w:t>
      </w:r>
      <w:r>
        <w:rPr>
          <w:szCs w:val="22"/>
          <w:lang w:val="cs-CZ"/>
        </w:rPr>
        <w:t>y</w:t>
      </w:r>
      <w:r w:rsidRPr="00FD392D">
        <w:rPr>
          <w:szCs w:val="22"/>
          <w:lang w:val="cs-CZ"/>
        </w:rPr>
        <w:t xml:space="preserve"> midazolamu: ospalost a svalová relaxace.</w:t>
      </w:r>
    </w:p>
    <w:p w:rsidR="00210846" w:rsidRPr="00FD392D" w:rsidRDefault="00210846" w:rsidP="0021084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:rsidR="00210846" w:rsidRPr="00FD392D" w:rsidRDefault="00210846" w:rsidP="0021084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FD392D">
        <w:rPr>
          <w:szCs w:val="22"/>
          <w:lang w:val="cs-CZ"/>
        </w:rPr>
        <w:t xml:space="preserve">V případě náhodného předávkování midazolamem </w:t>
      </w:r>
      <w:r w:rsidRPr="00D10C64">
        <w:rPr>
          <w:szCs w:val="22"/>
          <w:lang w:val="cs-CZ"/>
        </w:rPr>
        <w:t xml:space="preserve">se může po ustoupení účinku </w:t>
      </w:r>
      <w:proofErr w:type="spellStart"/>
      <w:r w:rsidRPr="00D10C64">
        <w:rPr>
          <w:szCs w:val="22"/>
          <w:lang w:val="cs-CZ"/>
        </w:rPr>
        <w:t>ketaminu</w:t>
      </w:r>
      <w:proofErr w:type="spellEnd"/>
      <w:r w:rsidRPr="00D10C64">
        <w:rPr>
          <w:szCs w:val="22"/>
          <w:lang w:val="cs-CZ"/>
        </w:rPr>
        <w:t>, při</w:t>
      </w:r>
      <w:r w:rsidRPr="0064001C">
        <w:rPr>
          <w:szCs w:val="22"/>
          <w:lang w:val="cs-CZ"/>
        </w:rPr>
        <w:t xml:space="preserve"> </w:t>
      </w:r>
      <w:r w:rsidRPr="0064001C">
        <w:rPr>
          <w:szCs w:val="22"/>
          <w:lang w:val="cs-CZ"/>
        </w:rPr>
        <w:lastRenderedPageBreak/>
        <w:t>kombin</w:t>
      </w:r>
      <w:r w:rsidRPr="00CD1B4D">
        <w:rPr>
          <w:szCs w:val="22"/>
          <w:lang w:val="cs-CZ"/>
        </w:rPr>
        <w:t>ované anestézii vyvolané midazolamem s </w:t>
      </w:r>
      <w:proofErr w:type="spellStart"/>
      <w:r w:rsidRPr="00CD1B4D">
        <w:rPr>
          <w:szCs w:val="22"/>
          <w:lang w:val="cs-CZ"/>
        </w:rPr>
        <w:t>ketaminem</w:t>
      </w:r>
      <w:proofErr w:type="spellEnd"/>
      <w:r w:rsidRPr="00CD1B4D">
        <w:rPr>
          <w:szCs w:val="22"/>
          <w:lang w:val="cs-CZ"/>
        </w:rPr>
        <w:t xml:space="preserve">, </w:t>
      </w:r>
      <w:r w:rsidRPr="00FD392D">
        <w:rPr>
          <w:szCs w:val="22"/>
          <w:lang w:val="cs-CZ"/>
        </w:rPr>
        <w:t>objevit neklid nebo rozrušenost v kombinaci s přetrvávající svalovou slabostí.</w:t>
      </w:r>
    </w:p>
    <w:p w:rsidR="00210846" w:rsidRPr="00FD392D" w:rsidRDefault="00210846" w:rsidP="0021084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:rsidR="00F8054E" w:rsidRPr="008C5570" w:rsidRDefault="00F8054E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es-ES"/>
        </w:rPr>
      </w:pPr>
    </w:p>
    <w:p w:rsidR="00312E57" w:rsidRPr="008C5570" w:rsidRDefault="000B597F" w:rsidP="009417F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 xml:space="preserve">Po premedikaci </w:t>
      </w:r>
      <w:r w:rsidR="0041286E" w:rsidRPr="008C5570">
        <w:rPr>
          <w:szCs w:val="22"/>
          <w:lang w:val="es-ES"/>
        </w:rPr>
        <w:t>detomidin</w:t>
      </w:r>
      <w:r w:rsidR="0041286E">
        <w:rPr>
          <w:szCs w:val="22"/>
          <w:lang w:val="es-ES"/>
        </w:rPr>
        <w:t>em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 xml:space="preserve">(intravenózně 20 </w:t>
      </w:r>
      <w:r w:rsidRPr="008C5570">
        <w:rPr>
          <w:szCs w:val="22"/>
        </w:rPr>
        <w:t>μ</w:t>
      </w:r>
      <w:r w:rsidRPr="008C5570">
        <w:rPr>
          <w:szCs w:val="22"/>
          <w:lang w:val="es-ES"/>
        </w:rPr>
        <w:t xml:space="preserve">g/kg) </w:t>
      </w:r>
      <w:r w:rsidR="0041286E">
        <w:rPr>
          <w:szCs w:val="22"/>
          <w:lang w:val="es-ES"/>
        </w:rPr>
        <w:t>při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 xml:space="preserve">podání dávky 0,18 mg midazolamu na kg </w:t>
      </w:r>
      <w:r w:rsidR="0041286E">
        <w:rPr>
          <w:szCs w:val="22"/>
          <w:lang w:val="es-ES"/>
        </w:rPr>
        <w:t>živé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hmotnosti (</w:t>
      </w:r>
      <w:r w:rsidR="0041286E">
        <w:rPr>
          <w:szCs w:val="22"/>
          <w:lang w:val="es-ES"/>
        </w:rPr>
        <w:t>trojnásobek doporučené dávky</w:t>
      </w:r>
      <w:r w:rsidRPr="008C5570">
        <w:rPr>
          <w:szCs w:val="22"/>
          <w:lang w:val="es-ES"/>
        </w:rPr>
        <w:t xml:space="preserve">) v kombinaci s ketaminem (2,2 mg/kg intravenózně) byly pozorovány následující účinky způsobené midazolamem: </w:t>
      </w:r>
      <w:r w:rsidR="0041286E">
        <w:rPr>
          <w:szCs w:val="22"/>
          <w:lang w:val="es-ES"/>
        </w:rPr>
        <w:t>potíže při probouzení</w:t>
      </w:r>
      <w:r w:rsidRPr="008C5570">
        <w:rPr>
          <w:szCs w:val="22"/>
          <w:lang w:val="es-ES"/>
        </w:rPr>
        <w:t xml:space="preserve"> (více pokusů vstát, </w:t>
      </w:r>
      <w:r w:rsidR="0041286E">
        <w:rPr>
          <w:szCs w:val="22"/>
          <w:lang w:val="es-ES"/>
        </w:rPr>
        <w:t>výraznější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 xml:space="preserve">ataxie), mírné snížení hematokritu, </w:t>
      </w:r>
      <w:r w:rsidR="0041286E">
        <w:rPr>
          <w:szCs w:val="22"/>
          <w:lang w:val="es-ES"/>
        </w:rPr>
        <w:t>útlum dýchání</w:t>
      </w:r>
      <w:r w:rsidRPr="008C5570">
        <w:rPr>
          <w:szCs w:val="22"/>
          <w:lang w:val="es-ES"/>
        </w:rPr>
        <w:t xml:space="preserve"> </w:t>
      </w:r>
      <w:r w:rsidR="0041286E">
        <w:rPr>
          <w:szCs w:val="22"/>
          <w:lang w:val="es-ES"/>
        </w:rPr>
        <w:t>–</w:t>
      </w:r>
      <w:r w:rsidRPr="008C5570">
        <w:rPr>
          <w:szCs w:val="22"/>
          <w:lang w:val="es-ES"/>
        </w:rPr>
        <w:t xml:space="preserve"> </w:t>
      </w:r>
      <w:r w:rsidR="0041286E">
        <w:rPr>
          <w:szCs w:val="22"/>
          <w:lang w:val="es-ES"/>
        </w:rPr>
        <w:t xml:space="preserve">o čemž </w:t>
      </w:r>
      <w:r w:rsidRPr="008C5570">
        <w:rPr>
          <w:szCs w:val="22"/>
          <w:lang w:val="es-ES"/>
        </w:rPr>
        <w:t xml:space="preserve">svědčí mírné snížení </w:t>
      </w:r>
      <w:r w:rsidR="0041286E">
        <w:rPr>
          <w:szCs w:val="22"/>
          <w:lang w:val="es-ES"/>
        </w:rPr>
        <w:t>dechové frekvence</w:t>
      </w:r>
      <w:r w:rsidRPr="008C5570">
        <w:rPr>
          <w:szCs w:val="22"/>
          <w:lang w:val="es-ES"/>
        </w:rPr>
        <w:t xml:space="preserve">, nižší pO2, </w:t>
      </w:r>
      <w:r w:rsidR="0041286E" w:rsidRPr="008C5570">
        <w:rPr>
          <w:szCs w:val="22"/>
          <w:lang w:val="es-ES"/>
        </w:rPr>
        <w:t>metabolick</w:t>
      </w:r>
      <w:r w:rsidR="0041286E">
        <w:rPr>
          <w:szCs w:val="22"/>
          <w:lang w:val="es-ES"/>
        </w:rPr>
        <w:t>á</w:t>
      </w:r>
      <w:r w:rsidR="0041286E" w:rsidRPr="008C5570">
        <w:rPr>
          <w:szCs w:val="22"/>
          <w:lang w:val="es-ES"/>
        </w:rPr>
        <w:t xml:space="preserve"> alkalóz</w:t>
      </w:r>
      <w:r w:rsidR="0041286E">
        <w:rPr>
          <w:szCs w:val="22"/>
          <w:lang w:val="es-ES"/>
        </w:rPr>
        <w:t>a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a mírné zvýšení arteriálního pH - a prodloužené odeznění anestezi</w:t>
      </w:r>
      <w:r w:rsidR="00ED0B65" w:rsidRPr="008C5570">
        <w:rPr>
          <w:szCs w:val="22"/>
          <w:lang w:val="es-ES"/>
        </w:rPr>
        <w:t>e</w:t>
      </w:r>
      <w:r w:rsidRPr="008C5570">
        <w:rPr>
          <w:szCs w:val="22"/>
          <w:lang w:val="es-ES"/>
        </w:rPr>
        <w:t>.</w:t>
      </w:r>
      <w:r w:rsidR="009F3ADB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 xml:space="preserve">Dávka 0,3 mg midazolamu na kg </w:t>
      </w:r>
      <w:r w:rsidR="0041286E">
        <w:rPr>
          <w:szCs w:val="22"/>
          <w:lang w:val="es-ES"/>
        </w:rPr>
        <w:t>živé</w:t>
      </w:r>
      <w:r w:rsidR="0041286E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hmotnosti (</w:t>
      </w:r>
      <w:r w:rsidR="00482DA8">
        <w:rPr>
          <w:szCs w:val="22"/>
          <w:lang w:val="es-ES"/>
        </w:rPr>
        <w:t>pětinásobek doporučené dávky</w:t>
      </w:r>
      <w:r w:rsidRPr="008C5570">
        <w:rPr>
          <w:szCs w:val="22"/>
          <w:lang w:val="es-ES"/>
        </w:rPr>
        <w:t xml:space="preserve">) za použití stejné kombinace vedla </w:t>
      </w:r>
      <w:r w:rsidR="00482DA8">
        <w:rPr>
          <w:szCs w:val="22"/>
          <w:lang w:val="es-ES"/>
        </w:rPr>
        <w:t>k prudkému probuzení</w:t>
      </w:r>
      <w:r w:rsidRPr="008C5570">
        <w:rPr>
          <w:szCs w:val="22"/>
          <w:lang w:val="es-ES"/>
        </w:rPr>
        <w:t>, tj. kůň se pokouší vstát a zároveň má ještě hlubokou svalovou slabost.</w:t>
      </w:r>
    </w:p>
    <w:p w:rsidR="00F8054E" w:rsidRPr="008C5570" w:rsidRDefault="00F8054E" w:rsidP="009417F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es-ES"/>
        </w:rPr>
      </w:pPr>
    </w:p>
    <w:p w:rsidR="000B597F" w:rsidRPr="008C5570" w:rsidRDefault="000B597F" w:rsidP="000B597F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Benzodiazepinový antagonista flumazenil může být použit k reverzi úč</w:t>
      </w:r>
      <w:r w:rsidR="00ED0B65" w:rsidRPr="008C5570">
        <w:rPr>
          <w:szCs w:val="22"/>
          <w:lang w:val="es-ES"/>
        </w:rPr>
        <w:t>inků spojených s </w:t>
      </w:r>
      <w:r w:rsidRPr="008C5570">
        <w:rPr>
          <w:szCs w:val="22"/>
          <w:lang w:val="es-ES"/>
        </w:rPr>
        <w:t xml:space="preserve">předávkováním midazolamem, i když klinické zkušenosti u </w:t>
      </w:r>
      <w:r w:rsidR="00482DA8" w:rsidRPr="008C5570">
        <w:rPr>
          <w:szCs w:val="22"/>
          <w:lang w:val="es-ES"/>
        </w:rPr>
        <w:t>ko</w:t>
      </w:r>
      <w:r w:rsidR="00482DA8">
        <w:rPr>
          <w:szCs w:val="22"/>
          <w:lang w:val="es-ES"/>
        </w:rPr>
        <w:t>ní</w:t>
      </w:r>
      <w:r w:rsidR="00482DA8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jsou omezené.</w:t>
      </w:r>
    </w:p>
    <w:p w:rsidR="0043320A" w:rsidRPr="008C5570" w:rsidRDefault="0043320A" w:rsidP="0043320A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43320A" w:rsidRPr="008C5570" w:rsidRDefault="00F651AB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u w:val="single"/>
          <w:lang w:val="es-ES"/>
        </w:rPr>
        <w:t>Inkompatibility</w:t>
      </w:r>
      <w:r w:rsidRPr="008C5570">
        <w:rPr>
          <w:szCs w:val="22"/>
          <w:lang w:val="es-ES"/>
        </w:rPr>
        <w:t>:</w:t>
      </w:r>
    </w:p>
    <w:p w:rsidR="00C114FF" w:rsidRPr="008C5570" w:rsidRDefault="008D3817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color w:val="2E2E2E"/>
          <w:szCs w:val="22"/>
          <w:lang w:val="es-ES"/>
        </w:rPr>
        <w:t xml:space="preserve">Nemísit s jiným veterinárním léčivým přípravkem, vyjma injekčního roztoku ketaminu 100 mg/ml. </w:t>
      </w:r>
    </w:p>
    <w:p w:rsidR="0043320A" w:rsidRPr="008C5570" w:rsidRDefault="0043320A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13.</w:t>
      </w:r>
      <w:r w:rsidRPr="008C5570">
        <w:rPr>
          <w:b/>
          <w:bCs/>
          <w:szCs w:val="22"/>
          <w:lang w:val="es-ES"/>
        </w:rPr>
        <w:tab/>
        <w:t>ZVLÁŠTNÍ OPATŘENÍ PRO ZNEŠKODŇOVÁNÍ NEPOUŽITÝCH PŘÍPRAVKŮ NEBO ODPADU, POKUD JE JICH TŘEBA</w:t>
      </w:r>
    </w:p>
    <w:p w:rsidR="00CF61EA" w:rsidRPr="008C5570" w:rsidRDefault="00CF61EA" w:rsidP="000B597F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es-ES"/>
        </w:rPr>
      </w:pPr>
    </w:p>
    <w:p w:rsidR="00CF61EA" w:rsidRPr="008C5570" w:rsidRDefault="00CF61EA" w:rsidP="00CF61EA">
      <w:pPr>
        <w:tabs>
          <w:tab w:val="clear" w:pos="567"/>
          <w:tab w:val="left" w:pos="708"/>
        </w:tabs>
        <w:spacing w:line="240" w:lineRule="auto"/>
        <w:ind w:right="-318"/>
        <w:rPr>
          <w:i/>
          <w:szCs w:val="24"/>
          <w:lang w:val="es-ES"/>
        </w:rPr>
      </w:pPr>
      <w:r w:rsidRPr="008C5570">
        <w:rPr>
          <w:szCs w:val="24"/>
          <w:lang w:val="es-ES"/>
        </w:rPr>
        <w:t>Všechen nepoužitý veterinární léčivý přípravek nebo odpad, který pochází z tohoto přípravku, musí být likvidován podle místních právních předpisů.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14.</w:t>
      </w:r>
      <w:r w:rsidRPr="008C5570">
        <w:rPr>
          <w:b/>
          <w:bCs/>
          <w:szCs w:val="22"/>
          <w:lang w:val="es-ES"/>
        </w:rPr>
        <w:tab/>
        <w:t>DATUM POSLEDNÍ REVIZE PŘÍBALOVÉ INFORMACE</w:t>
      </w:r>
    </w:p>
    <w:p w:rsidR="00C114FF" w:rsidRPr="008C557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880A39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szCs w:val="22"/>
          <w:lang w:val="es-ES"/>
        </w:rPr>
        <w:t>Březen</w:t>
      </w:r>
      <w:bookmarkStart w:id="0" w:name="_GoBack"/>
      <w:bookmarkEnd w:id="0"/>
      <w:r w:rsidR="00EF0F23">
        <w:rPr>
          <w:szCs w:val="22"/>
          <w:lang w:val="es-ES"/>
        </w:rPr>
        <w:t xml:space="preserve"> 2019</w:t>
      </w:r>
    </w:p>
    <w:p w:rsidR="00F33C50" w:rsidRPr="008C5570" w:rsidRDefault="00F33C50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C114FF" w:rsidRPr="008C5570" w:rsidRDefault="00CF61EA" w:rsidP="00A4313D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b/>
          <w:bCs/>
          <w:szCs w:val="22"/>
          <w:lang w:val="es-ES"/>
        </w:rPr>
        <w:t>15.</w:t>
      </w:r>
      <w:r w:rsidRPr="008C5570">
        <w:rPr>
          <w:b/>
          <w:bCs/>
          <w:szCs w:val="22"/>
          <w:lang w:val="es-ES"/>
        </w:rPr>
        <w:tab/>
        <w:t>DALŠÍ INFORMACE</w:t>
      </w:r>
    </w:p>
    <w:p w:rsidR="000B597F" w:rsidRPr="008C5570" w:rsidRDefault="000B597F" w:rsidP="000B597F">
      <w:pPr>
        <w:keepNext/>
        <w:tabs>
          <w:tab w:val="clear" w:pos="567"/>
        </w:tabs>
        <w:spacing w:line="240" w:lineRule="auto"/>
        <w:rPr>
          <w:szCs w:val="22"/>
          <w:lang w:val="es-ES"/>
        </w:rPr>
      </w:pPr>
    </w:p>
    <w:p w:rsidR="00EF0F23" w:rsidRPr="00F978E6" w:rsidRDefault="00EF0F23" w:rsidP="00EF0F23">
      <w:pPr>
        <w:pStyle w:val="Zkladntext"/>
        <w:rPr>
          <w:lang w:val="cs-CZ"/>
        </w:rPr>
      </w:pPr>
      <w:r w:rsidRPr="00F978E6">
        <w:rPr>
          <w:lang w:val="cs-CZ"/>
        </w:rPr>
        <w:t>Pouze pro zvířata.</w:t>
      </w:r>
    </w:p>
    <w:p w:rsidR="00EF0F23" w:rsidRPr="00F978E6" w:rsidRDefault="00EF0F23" w:rsidP="00EF0F23">
      <w:pPr>
        <w:pStyle w:val="Zkladntext"/>
        <w:rPr>
          <w:lang w:val="cs-CZ"/>
        </w:rPr>
      </w:pPr>
    </w:p>
    <w:p w:rsidR="00EF0F23" w:rsidRPr="00F978E6" w:rsidRDefault="00EF0F23" w:rsidP="00EF0F23">
      <w:pPr>
        <w:pStyle w:val="Zkladntext"/>
        <w:rPr>
          <w:lang w:val="cs-CZ"/>
        </w:rPr>
      </w:pPr>
      <w:r w:rsidRPr="00F978E6">
        <w:rPr>
          <w:lang w:val="cs-CZ"/>
        </w:rPr>
        <w:t>Veterinární léčivý přípravek je vydáván pouze na předpis.</w:t>
      </w:r>
    </w:p>
    <w:p w:rsidR="00EF0F23" w:rsidRPr="00F978E6" w:rsidRDefault="00EF0F23" w:rsidP="00EF0F23">
      <w:pPr>
        <w:pStyle w:val="Zkladntext"/>
        <w:rPr>
          <w:lang w:val="cs-CZ"/>
        </w:rPr>
      </w:pPr>
      <w:r w:rsidRPr="00F978E6">
        <w:rPr>
          <w:lang w:val="cs-CZ"/>
        </w:rPr>
        <w:t xml:space="preserve">Přípravek obsahuje návykové látky. </w:t>
      </w:r>
    </w:p>
    <w:p w:rsidR="00EF0F23" w:rsidRPr="00F978E6" w:rsidRDefault="00EF0F23" w:rsidP="00EF0F23">
      <w:pPr>
        <w:pStyle w:val="Zkladntext"/>
        <w:rPr>
          <w:lang w:val="cs-CZ"/>
        </w:rPr>
      </w:pPr>
      <w:r w:rsidRPr="00EF0F23">
        <w:rPr>
          <w:noProof/>
          <w:lang w:val="cs-CZ" w:eastAsia="cs-CZ"/>
        </w:rPr>
        <w:drawing>
          <wp:inline distT="0" distB="0" distL="0" distR="0" wp14:anchorId="6576E237" wp14:editId="1CD14A2C">
            <wp:extent cx="463550" cy="273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23" w:rsidRPr="00DB5815" w:rsidRDefault="00EF0F23" w:rsidP="00EF0F23">
      <w:pPr>
        <w:pStyle w:val="Zkladntext"/>
      </w:pPr>
    </w:p>
    <w:p w:rsidR="00162AEA" w:rsidRPr="008C5570" w:rsidRDefault="00162AEA" w:rsidP="00162AEA">
      <w:pPr>
        <w:rPr>
          <w:szCs w:val="22"/>
          <w:lang w:val="es-ES"/>
        </w:rPr>
      </w:pPr>
      <w:r w:rsidRPr="008C5570">
        <w:rPr>
          <w:szCs w:val="22"/>
          <w:lang w:val="es-ES"/>
        </w:rPr>
        <w:t xml:space="preserve">Čiré injekční lahvičky ze skla typu I o </w:t>
      </w:r>
      <w:r w:rsidR="00367FE9">
        <w:rPr>
          <w:szCs w:val="22"/>
          <w:lang w:val="es-ES"/>
        </w:rPr>
        <w:t>objemu</w:t>
      </w:r>
      <w:r w:rsidR="00367FE9" w:rsidRPr="008C5570">
        <w:rPr>
          <w:szCs w:val="22"/>
          <w:lang w:val="es-ES"/>
        </w:rPr>
        <w:t xml:space="preserve"> </w:t>
      </w:r>
      <w:r w:rsidRPr="008C5570">
        <w:rPr>
          <w:szCs w:val="22"/>
          <w:lang w:val="es-ES"/>
        </w:rPr>
        <w:t>5 ml, 10 ml, 20 ml a 50 ml uzavřené potaženou bromobutylovou gumovou zátkou a hliníkov</w:t>
      </w:r>
      <w:r w:rsidR="00367FE9">
        <w:rPr>
          <w:szCs w:val="22"/>
          <w:lang w:val="es-ES"/>
        </w:rPr>
        <w:t>ou pertlí</w:t>
      </w:r>
      <w:r w:rsidRPr="008C5570">
        <w:rPr>
          <w:szCs w:val="22"/>
          <w:lang w:val="es-ES"/>
        </w:rPr>
        <w:t xml:space="preserve"> v krabičce.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Na trhu nemusí být všechny velikosti balení.</w:t>
      </w:r>
    </w:p>
    <w:p w:rsidR="00C114FF" w:rsidRPr="008C5570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:rsidR="000D67D0" w:rsidRPr="00D86971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8C5570">
        <w:rPr>
          <w:szCs w:val="22"/>
          <w:lang w:val="es-ES"/>
        </w:rPr>
        <w:t>Pokud chcete získat informace o tomto veterinárním léčivém přípravku, kontaktujte prosím příslušného místního zástupce držitele rozhodnutí o registraci.</w:t>
      </w:r>
    </w:p>
    <w:p w:rsidR="006D075E" w:rsidRPr="00D86971" w:rsidRDefault="006D075E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sectPr w:rsidR="006D075E" w:rsidRPr="00D86971" w:rsidSect="007F2F0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5D" w:rsidRDefault="00C1165D">
      <w:r>
        <w:separator/>
      </w:r>
    </w:p>
  </w:endnote>
  <w:endnote w:type="continuationSeparator" w:id="0">
    <w:p w:rsidR="00C1165D" w:rsidRDefault="00C1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16" w:rsidRPr="00B94A1B" w:rsidRDefault="00717F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80316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80A3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16" w:rsidRDefault="00717F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280316">
      <w:instrText xml:space="preserve"> PAGE  \* MERGEFORMAT </w:instrText>
    </w:r>
    <w:r>
      <w:fldChar w:fldCharType="separate"/>
    </w:r>
    <w:r w:rsidR="002803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5D" w:rsidRDefault="00C1165D">
      <w:r>
        <w:separator/>
      </w:r>
    </w:p>
  </w:footnote>
  <w:footnote w:type="continuationSeparator" w:id="0">
    <w:p w:rsidR="00C1165D" w:rsidRDefault="00C1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16" w:rsidRPr="00131594" w:rsidRDefault="00131594">
    <w:pPr>
      <w:pStyle w:val="Zhlav"/>
      <w:rPr>
        <w:lang w:val="cs-CZ"/>
      </w:rPr>
    </w:pPr>
    <w:r>
      <w:rPr>
        <w:lang w:val="cs-CZ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24E21"/>
    <w:rsid w:val="00035FFE"/>
    <w:rsid w:val="00036C50"/>
    <w:rsid w:val="000475D7"/>
    <w:rsid w:val="00052D2B"/>
    <w:rsid w:val="000535D4"/>
    <w:rsid w:val="00054F55"/>
    <w:rsid w:val="000577A7"/>
    <w:rsid w:val="00062945"/>
    <w:rsid w:val="00067122"/>
    <w:rsid w:val="00081BEC"/>
    <w:rsid w:val="00081D0E"/>
    <w:rsid w:val="00084D75"/>
    <w:rsid w:val="000860CE"/>
    <w:rsid w:val="00086140"/>
    <w:rsid w:val="000912F7"/>
    <w:rsid w:val="000938A6"/>
    <w:rsid w:val="000A1DF5"/>
    <w:rsid w:val="000B597F"/>
    <w:rsid w:val="000B6EE6"/>
    <w:rsid w:val="000B7873"/>
    <w:rsid w:val="000C1D4F"/>
    <w:rsid w:val="000D5D70"/>
    <w:rsid w:val="000D67D0"/>
    <w:rsid w:val="000E195C"/>
    <w:rsid w:val="000E3602"/>
    <w:rsid w:val="000F38DA"/>
    <w:rsid w:val="000F5822"/>
    <w:rsid w:val="000F796B"/>
    <w:rsid w:val="0010031E"/>
    <w:rsid w:val="001012EB"/>
    <w:rsid w:val="00104345"/>
    <w:rsid w:val="0010525D"/>
    <w:rsid w:val="001078D1"/>
    <w:rsid w:val="00115782"/>
    <w:rsid w:val="00124F36"/>
    <w:rsid w:val="0012531D"/>
    <w:rsid w:val="00125C80"/>
    <w:rsid w:val="00131594"/>
    <w:rsid w:val="00140DF6"/>
    <w:rsid w:val="0014229C"/>
    <w:rsid w:val="00145D34"/>
    <w:rsid w:val="00146284"/>
    <w:rsid w:val="0014690F"/>
    <w:rsid w:val="0014729D"/>
    <w:rsid w:val="00161C48"/>
    <w:rsid w:val="00162AEA"/>
    <w:rsid w:val="001674D3"/>
    <w:rsid w:val="001803D2"/>
    <w:rsid w:val="0018228B"/>
    <w:rsid w:val="00185B50"/>
    <w:rsid w:val="00187DE7"/>
    <w:rsid w:val="00192045"/>
    <w:rsid w:val="00192DDE"/>
    <w:rsid w:val="00193B14"/>
    <w:rsid w:val="00193DDD"/>
    <w:rsid w:val="00193E72"/>
    <w:rsid w:val="00195267"/>
    <w:rsid w:val="0019600B"/>
    <w:rsid w:val="0019686E"/>
    <w:rsid w:val="001A016E"/>
    <w:rsid w:val="001A28C9"/>
    <w:rsid w:val="001A34BC"/>
    <w:rsid w:val="001B1C77"/>
    <w:rsid w:val="001B3293"/>
    <w:rsid w:val="001B5678"/>
    <w:rsid w:val="001C5288"/>
    <w:rsid w:val="001C5B03"/>
    <w:rsid w:val="001D6F63"/>
    <w:rsid w:val="001E026A"/>
    <w:rsid w:val="001F6622"/>
    <w:rsid w:val="002100FC"/>
    <w:rsid w:val="00210846"/>
    <w:rsid w:val="00213890"/>
    <w:rsid w:val="00214E52"/>
    <w:rsid w:val="002207C0"/>
    <w:rsid w:val="00232CE9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65656"/>
    <w:rsid w:val="00266155"/>
    <w:rsid w:val="0027270B"/>
    <w:rsid w:val="00280316"/>
    <w:rsid w:val="00280C8C"/>
    <w:rsid w:val="00283D82"/>
    <w:rsid w:val="002873CA"/>
    <w:rsid w:val="00290805"/>
    <w:rsid w:val="00290C2A"/>
    <w:rsid w:val="00291CA3"/>
    <w:rsid w:val="002931DD"/>
    <w:rsid w:val="002A0E7C"/>
    <w:rsid w:val="002A21ED"/>
    <w:rsid w:val="002A3F88"/>
    <w:rsid w:val="002A4462"/>
    <w:rsid w:val="002C16D4"/>
    <w:rsid w:val="002C592B"/>
    <w:rsid w:val="002C6653"/>
    <w:rsid w:val="002E3A90"/>
    <w:rsid w:val="002E62CB"/>
    <w:rsid w:val="002E6DF1"/>
    <w:rsid w:val="002F0957"/>
    <w:rsid w:val="002F43F6"/>
    <w:rsid w:val="00301714"/>
    <w:rsid w:val="003020BB"/>
    <w:rsid w:val="00304393"/>
    <w:rsid w:val="00305AB2"/>
    <w:rsid w:val="0031032B"/>
    <w:rsid w:val="00311A5C"/>
    <w:rsid w:val="00312E57"/>
    <w:rsid w:val="00316E87"/>
    <w:rsid w:val="003256AC"/>
    <w:rsid w:val="0033129D"/>
    <w:rsid w:val="003320ED"/>
    <w:rsid w:val="0033480E"/>
    <w:rsid w:val="00337123"/>
    <w:rsid w:val="00341866"/>
    <w:rsid w:val="003535E0"/>
    <w:rsid w:val="0035593B"/>
    <w:rsid w:val="00356FC2"/>
    <w:rsid w:val="00357C2B"/>
    <w:rsid w:val="0036513B"/>
    <w:rsid w:val="00366F56"/>
    <w:rsid w:val="00367FE9"/>
    <w:rsid w:val="003737C8"/>
    <w:rsid w:val="00374EDB"/>
    <w:rsid w:val="0037589D"/>
    <w:rsid w:val="00376BB1"/>
    <w:rsid w:val="00377E23"/>
    <w:rsid w:val="0038277C"/>
    <w:rsid w:val="003909E0"/>
    <w:rsid w:val="00393A7D"/>
    <w:rsid w:val="00395B15"/>
    <w:rsid w:val="00396026"/>
    <w:rsid w:val="003A6CCB"/>
    <w:rsid w:val="003B48EB"/>
    <w:rsid w:val="003C0BFD"/>
    <w:rsid w:val="003C33FF"/>
    <w:rsid w:val="003C64A5"/>
    <w:rsid w:val="003D03CC"/>
    <w:rsid w:val="003D4BB7"/>
    <w:rsid w:val="003D6B03"/>
    <w:rsid w:val="003E0116"/>
    <w:rsid w:val="003E2332"/>
    <w:rsid w:val="003E26C3"/>
    <w:rsid w:val="003E7BFD"/>
    <w:rsid w:val="003F0D6C"/>
    <w:rsid w:val="003F0F26"/>
    <w:rsid w:val="003F12D9"/>
    <w:rsid w:val="003F1B4C"/>
    <w:rsid w:val="004008F6"/>
    <w:rsid w:val="004027E8"/>
    <w:rsid w:val="0041286E"/>
    <w:rsid w:val="00414B20"/>
    <w:rsid w:val="00414D60"/>
    <w:rsid w:val="00415DEB"/>
    <w:rsid w:val="00417DE3"/>
    <w:rsid w:val="00423968"/>
    <w:rsid w:val="004268F3"/>
    <w:rsid w:val="00427054"/>
    <w:rsid w:val="00427880"/>
    <w:rsid w:val="004304B1"/>
    <w:rsid w:val="0043320A"/>
    <w:rsid w:val="004518A6"/>
    <w:rsid w:val="00453E1D"/>
    <w:rsid w:val="00454589"/>
    <w:rsid w:val="0045618C"/>
    <w:rsid w:val="00456ED0"/>
    <w:rsid w:val="00457550"/>
    <w:rsid w:val="00473B88"/>
    <w:rsid w:val="00474C50"/>
    <w:rsid w:val="004752B3"/>
    <w:rsid w:val="00482DA8"/>
    <w:rsid w:val="00486006"/>
    <w:rsid w:val="00486BAD"/>
    <w:rsid w:val="00486BBE"/>
    <w:rsid w:val="00487123"/>
    <w:rsid w:val="004A1BD5"/>
    <w:rsid w:val="004A61E1"/>
    <w:rsid w:val="004A7A1C"/>
    <w:rsid w:val="004B2344"/>
    <w:rsid w:val="004B3600"/>
    <w:rsid w:val="004B798E"/>
    <w:rsid w:val="004D3E58"/>
    <w:rsid w:val="004D6746"/>
    <w:rsid w:val="004E0F32"/>
    <w:rsid w:val="004E23A1"/>
    <w:rsid w:val="004E7ECE"/>
    <w:rsid w:val="004F5EDE"/>
    <w:rsid w:val="005004EC"/>
    <w:rsid w:val="0050390E"/>
    <w:rsid w:val="00523C53"/>
    <w:rsid w:val="00527B8F"/>
    <w:rsid w:val="00537999"/>
    <w:rsid w:val="005413EA"/>
    <w:rsid w:val="00542012"/>
    <w:rsid w:val="00543DF5"/>
    <w:rsid w:val="0055260D"/>
    <w:rsid w:val="00555810"/>
    <w:rsid w:val="00562DCA"/>
    <w:rsid w:val="0056568F"/>
    <w:rsid w:val="00582578"/>
    <w:rsid w:val="005B04A8"/>
    <w:rsid w:val="005B328D"/>
    <w:rsid w:val="005B3503"/>
    <w:rsid w:val="005B4DCD"/>
    <w:rsid w:val="005B4FAD"/>
    <w:rsid w:val="005D380C"/>
    <w:rsid w:val="005D6E04"/>
    <w:rsid w:val="005D7A12"/>
    <w:rsid w:val="005E1746"/>
    <w:rsid w:val="005E53EE"/>
    <w:rsid w:val="005F0542"/>
    <w:rsid w:val="005F0F72"/>
    <w:rsid w:val="005F1C1F"/>
    <w:rsid w:val="005F269D"/>
    <w:rsid w:val="005F346D"/>
    <w:rsid w:val="005F38FB"/>
    <w:rsid w:val="00604714"/>
    <w:rsid w:val="00606EA1"/>
    <w:rsid w:val="006128F0"/>
    <w:rsid w:val="0061726B"/>
    <w:rsid w:val="0062387A"/>
    <w:rsid w:val="0063198A"/>
    <w:rsid w:val="006344BE"/>
    <w:rsid w:val="00634A66"/>
    <w:rsid w:val="00635711"/>
    <w:rsid w:val="006402AB"/>
    <w:rsid w:val="00640336"/>
    <w:rsid w:val="00640FC9"/>
    <w:rsid w:val="006432F2"/>
    <w:rsid w:val="0065320F"/>
    <w:rsid w:val="00653D64"/>
    <w:rsid w:val="00654E13"/>
    <w:rsid w:val="00657FB9"/>
    <w:rsid w:val="00664159"/>
    <w:rsid w:val="00667489"/>
    <w:rsid w:val="00667992"/>
    <w:rsid w:val="00670D44"/>
    <w:rsid w:val="00676AFC"/>
    <w:rsid w:val="006771BB"/>
    <w:rsid w:val="00677F2E"/>
    <w:rsid w:val="006807CD"/>
    <w:rsid w:val="00682D43"/>
    <w:rsid w:val="00685BAF"/>
    <w:rsid w:val="006B12CB"/>
    <w:rsid w:val="006B5916"/>
    <w:rsid w:val="006C4F4A"/>
    <w:rsid w:val="006C5E80"/>
    <w:rsid w:val="006C7CEE"/>
    <w:rsid w:val="006D019D"/>
    <w:rsid w:val="006D075E"/>
    <w:rsid w:val="006D6397"/>
    <w:rsid w:val="006D7C6E"/>
    <w:rsid w:val="006E2F95"/>
    <w:rsid w:val="006E357A"/>
    <w:rsid w:val="00703D2F"/>
    <w:rsid w:val="00705EAF"/>
    <w:rsid w:val="007101CC"/>
    <w:rsid w:val="00716A0A"/>
    <w:rsid w:val="00717FB1"/>
    <w:rsid w:val="00724E3B"/>
    <w:rsid w:val="00725EEA"/>
    <w:rsid w:val="00730518"/>
    <w:rsid w:val="00730CE9"/>
    <w:rsid w:val="0073373D"/>
    <w:rsid w:val="00737C65"/>
    <w:rsid w:val="007439DB"/>
    <w:rsid w:val="00757882"/>
    <w:rsid w:val="00762CA6"/>
    <w:rsid w:val="00764215"/>
    <w:rsid w:val="00765316"/>
    <w:rsid w:val="007708C8"/>
    <w:rsid w:val="0077719D"/>
    <w:rsid w:val="00780DF0"/>
    <w:rsid w:val="00782F0F"/>
    <w:rsid w:val="00787482"/>
    <w:rsid w:val="007A286D"/>
    <w:rsid w:val="007A38DF"/>
    <w:rsid w:val="007B199A"/>
    <w:rsid w:val="007B20CF"/>
    <w:rsid w:val="007B2499"/>
    <w:rsid w:val="007B72E1"/>
    <w:rsid w:val="007B783A"/>
    <w:rsid w:val="007C1B95"/>
    <w:rsid w:val="007C6E9A"/>
    <w:rsid w:val="007D67D4"/>
    <w:rsid w:val="007E2198"/>
    <w:rsid w:val="007E2F2D"/>
    <w:rsid w:val="007E6187"/>
    <w:rsid w:val="007F1433"/>
    <w:rsid w:val="007F1491"/>
    <w:rsid w:val="007F2F03"/>
    <w:rsid w:val="007F365D"/>
    <w:rsid w:val="007F774B"/>
    <w:rsid w:val="00800FE0"/>
    <w:rsid w:val="008066AD"/>
    <w:rsid w:val="00811987"/>
    <w:rsid w:val="0081517F"/>
    <w:rsid w:val="00815370"/>
    <w:rsid w:val="0082153D"/>
    <w:rsid w:val="008255AA"/>
    <w:rsid w:val="00830FF3"/>
    <w:rsid w:val="00836B8C"/>
    <w:rsid w:val="008410C5"/>
    <w:rsid w:val="008423DF"/>
    <w:rsid w:val="008434D1"/>
    <w:rsid w:val="008459C0"/>
    <w:rsid w:val="00846C08"/>
    <w:rsid w:val="008530E7"/>
    <w:rsid w:val="008531C8"/>
    <w:rsid w:val="00857675"/>
    <w:rsid w:val="008763E7"/>
    <w:rsid w:val="008808C5"/>
    <w:rsid w:val="00880A39"/>
    <w:rsid w:val="00881A7C"/>
    <w:rsid w:val="00883C78"/>
    <w:rsid w:val="00885159"/>
    <w:rsid w:val="00885214"/>
    <w:rsid w:val="00887615"/>
    <w:rsid w:val="00890052"/>
    <w:rsid w:val="00894E3A"/>
    <w:rsid w:val="00896EA5"/>
    <w:rsid w:val="00896EBD"/>
    <w:rsid w:val="008A1567"/>
    <w:rsid w:val="008A2FAD"/>
    <w:rsid w:val="008A4385"/>
    <w:rsid w:val="008A5665"/>
    <w:rsid w:val="008B1FE2"/>
    <w:rsid w:val="008B24A8"/>
    <w:rsid w:val="008B3D78"/>
    <w:rsid w:val="008C261B"/>
    <w:rsid w:val="008C4FCA"/>
    <w:rsid w:val="008C5570"/>
    <w:rsid w:val="008C7882"/>
    <w:rsid w:val="008D2261"/>
    <w:rsid w:val="008D3817"/>
    <w:rsid w:val="008D4C28"/>
    <w:rsid w:val="008D577B"/>
    <w:rsid w:val="008E17C4"/>
    <w:rsid w:val="008E45C4"/>
    <w:rsid w:val="008E64B1"/>
    <w:rsid w:val="008E64FA"/>
    <w:rsid w:val="008F4DEF"/>
    <w:rsid w:val="008F7871"/>
    <w:rsid w:val="00901E53"/>
    <w:rsid w:val="009048E1"/>
    <w:rsid w:val="0090646D"/>
    <w:rsid w:val="00913885"/>
    <w:rsid w:val="00921567"/>
    <w:rsid w:val="00931D41"/>
    <w:rsid w:val="00933D18"/>
    <w:rsid w:val="009417FC"/>
    <w:rsid w:val="00942221"/>
    <w:rsid w:val="00946568"/>
    <w:rsid w:val="00950FBB"/>
    <w:rsid w:val="00953349"/>
    <w:rsid w:val="00954E0C"/>
    <w:rsid w:val="00961156"/>
    <w:rsid w:val="00966F1F"/>
    <w:rsid w:val="00976D32"/>
    <w:rsid w:val="009844F7"/>
    <w:rsid w:val="009A05AA"/>
    <w:rsid w:val="009A2D5A"/>
    <w:rsid w:val="009B293F"/>
    <w:rsid w:val="009B2C7E"/>
    <w:rsid w:val="009C2E47"/>
    <w:rsid w:val="009C5420"/>
    <w:rsid w:val="009C6BFB"/>
    <w:rsid w:val="009D0C05"/>
    <w:rsid w:val="009D5D3A"/>
    <w:rsid w:val="009E2C00"/>
    <w:rsid w:val="009E70F4"/>
    <w:rsid w:val="009E7D05"/>
    <w:rsid w:val="009F1AD2"/>
    <w:rsid w:val="009F3ADB"/>
    <w:rsid w:val="00A0643C"/>
    <w:rsid w:val="00A11755"/>
    <w:rsid w:val="00A16384"/>
    <w:rsid w:val="00A207FB"/>
    <w:rsid w:val="00A2604E"/>
    <w:rsid w:val="00A26F44"/>
    <w:rsid w:val="00A4313D"/>
    <w:rsid w:val="00A50120"/>
    <w:rsid w:val="00A60351"/>
    <w:rsid w:val="00A61C6D"/>
    <w:rsid w:val="00A63015"/>
    <w:rsid w:val="00A648D5"/>
    <w:rsid w:val="00A678B4"/>
    <w:rsid w:val="00A704A3"/>
    <w:rsid w:val="00A75E23"/>
    <w:rsid w:val="00A82AA0"/>
    <w:rsid w:val="00A82F8A"/>
    <w:rsid w:val="00A84EF6"/>
    <w:rsid w:val="00A9226B"/>
    <w:rsid w:val="00A9575C"/>
    <w:rsid w:val="00A95B56"/>
    <w:rsid w:val="00A969AF"/>
    <w:rsid w:val="00AA4023"/>
    <w:rsid w:val="00AB1A2E"/>
    <w:rsid w:val="00AB328A"/>
    <w:rsid w:val="00AB4918"/>
    <w:rsid w:val="00AB4BC8"/>
    <w:rsid w:val="00AB6BA7"/>
    <w:rsid w:val="00AC06F2"/>
    <w:rsid w:val="00AD0710"/>
    <w:rsid w:val="00AD4DB9"/>
    <w:rsid w:val="00AD63C0"/>
    <w:rsid w:val="00AE35B2"/>
    <w:rsid w:val="00AE6AA0"/>
    <w:rsid w:val="00B119A2"/>
    <w:rsid w:val="00B16E2B"/>
    <w:rsid w:val="00B177F2"/>
    <w:rsid w:val="00B201F1"/>
    <w:rsid w:val="00B21917"/>
    <w:rsid w:val="00B23E86"/>
    <w:rsid w:val="00B304E7"/>
    <w:rsid w:val="00B318B6"/>
    <w:rsid w:val="00B60AC9"/>
    <w:rsid w:val="00B67323"/>
    <w:rsid w:val="00B74071"/>
    <w:rsid w:val="00B7428E"/>
    <w:rsid w:val="00B74B67"/>
    <w:rsid w:val="00B822F2"/>
    <w:rsid w:val="00B82ED4"/>
    <w:rsid w:val="00B8424F"/>
    <w:rsid w:val="00B86896"/>
    <w:rsid w:val="00B875A6"/>
    <w:rsid w:val="00B93E4C"/>
    <w:rsid w:val="00B94A1B"/>
    <w:rsid w:val="00BA34C6"/>
    <w:rsid w:val="00BA5C89"/>
    <w:rsid w:val="00BB013D"/>
    <w:rsid w:val="00BB4CE2"/>
    <w:rsid w:val="00BC0EFB"/>
    <w:rsid w:val="00BC2E39"/>
    <w:rsid w:val="00BD2213"/>
    <w:rsid w:val="00BE2CC6"/>
    <w:rsid w:val="00BE3261"/>
    <w:rsid w:val="00BE3EEE"/>
    <w:rsid w:val="00BF58FC"/>
    <w:rsid w:val="00C01F77"/>
    <w:rsid w:val="00C01FFC"/>
    <w:rsid w:val="00C06AE4"/>
    <w:rsid w:val="00C06C0E"/>
    <w:rsid w:val="00C114FF"/>
    <w:rsid w:val="00C1165D"/>
    <w:rsid w:val="00C16439"/>
    <w:rsid w:val="00C171A1"/>
    <w:rsid w:val="00C171A4"/>
    <w:rsid w:val="00C17F12"/>
    <w:rsid w:val="00C237E9"/>
    <w:rsid w:val="00C25BFB"/>
    <w:rsid w:val="00C36883"/>
    <w:rsid w:val="00C40928"/>
    <w:rsid w:val="00C43F01"/>
    <w:rsid w:val="00C46D0D"/>
    <w:rsid w:val="00C47552"/>
    <w:rsid w:val="00C539BE"/>
    <w:rsid w:val="00C57A81"/>
    <w:rsid w:val="00C60193"/>
    <w:rsid w:val="00C634D4"/>
    <w:rsid w:val="00C63AA5"/>
    <w:rsid w:val="00C65071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5ADD"/>
    <w:rsid w:val="00C90EDA"/>
    <w:rsid w:val="00C93B94"/>
    <w:rsid w:val="00C959E7"/>
    <w:rsid w:val="00CA5E60"/>
    <w:rsid w:val="00CA7441"/>
    <w:rsid w:val="00CB4F34"/>
    <w:rsid w:val="00CC1E65"/>
    <w:rsid w:val="00CC567A"/>
    <w:rsid w:val="00CD4059"/>
    <w:rsid w:val="00CD4E5A"/>
    <w:rsid w:val="00CE03CE"/>
    <w:rsid w:val="00CF0DFF"/>
    <w:rsid w:val="00CF525D"/>
    <w:rsid w:val="00CF61EA"/>
    <w:rsid w:val="00D0359D"/>
    <w:rsid w:val="00D04DED"/>
    <w:rsid w:val="00D1089A"/>
    <w:rsid w:val="00D116BD"/>
    <w:rsid w:val="00D1304B"/>
    <w:rsid w:val="00D15454"/>
    <w:rsid w:val="00D3691A"/>
    <w:rsid w:val="00D377E2"/>
    <w:rsid w:val="00D421C2"/>
    <w:rsid w:val="00D42DCB"/>
    <w:rsid w:val="00D46DF2"/>
    <w:rsid w:val="00D47674"/>
    <w:rsid w:val="00D5338C"/>
    <w:rsid w:val="00D55D47"/>
    <w:rsid w:val="00D606B2"/>
    <w:rsid w:val="00D60C1D"/>
    <w:rsid w:val="00D65777"/>
    <w:rsid w:val="00D728A0"/>
    <w:rsid w:val="00D8496F"/>
    <w:rsid w:val="00D86971"/>
    <w:rsid w:val="00D86B2E"/>
    <w:rsid w:val="00D97E7D"/>
    <w:rsid w:val="00DB3439"/>
    <w:rsid w:val="00DB722A"/>
    <w:rsid w:val="00DC2946"/>
    <w:rsid w:val="00DC550F"/>
    <w:rsid w:val="00DC5B3E"/>
    <w:rsid w:val="00DC64FD"/>
    <w:rsid w:val="00DE127F"/>
    <w:rsid w:val="00DE424A"/>
    <w:rsid w:val="00DE4419"/>
    <w:rsid w:val="00DF0ACA"/>
    <w:rsid w:val="00DF2245"/>
    <w:rsid w:val="00DF77CF"/>
    <w:rsid w:val="00DF7847"/>
    <w:rsid w:val="00E0217F"/>
    <w:rsid w:val="00E026E8"/>
    <w:rsid w:val="00E031AC"/>
    <w:rsid w:val="00E14C47"/>
    <w:rsid w:val="00E22698"/>
    <w:rsid w:val="00E25B7C"/>
    <w:rsid w:val="00E3725B"/>
    <w:rsid w:val="00E40134"/>
    <w:rsid w:val="00E434D1"/>
    <w:rsid w:val="00E56CBB"/>
    <w:rsid w:val="00E56E11"/>
    <w:rsid w:val="00E61E51"/>
    <w:rsid w:val="00E6552A"/>
    <w:rsid w:val="00E6707D"/>
    <w:rsid w:val="00E70E7C"/>
    <w:rsid w:val="00E71313"/>
    <w:rsid w:val="00E72606"/>
    <w:rsid w:val="00E73C3E"/>
    <w:rsid w:val="00E83355"/>
    <w:rsid w:val="00E84E9D"/>
    <w:rsid w:val="00E935AF"/>
    <w:rsid w:val="00EA2971"/>
    <w:rsid w:val="00EA781E"/>
    <w:rsid w:val="00EB0E20"/>
    <w:rsid w:val="00EB6142"/>
    <w:rsid w:val="00EC3616"/>
    <w:rsid w:val="00EC4F3A"/>
    <w:rsid w:val="00ED0B65"/>
    <w:rsid w:val="00ED594D"/>
    <w:rsid w:val="00EE16E8"/>
    <w:rsid w:val="00EE2B11"/>
    <w:rsid w:val="00EE36E1"/>
    <w:rsid w:val="00EE4E9F"/>
    <w:rsid w:val="00EF0F23"/>
    <w:rsid w:val="00F0054D"/>
    <w:rsid w:val="00F01AD5"/>
    <w:rsid w:val="00F02467"/>
    <w:rsid w:val="00F0344B"/>
    <w:rsid w:val="00F12214"/>
    <w:rsid w:val="00F12565"/>
    <w:rsid w:val="00F14ACA"/>
    <w:rsid w:val="00F21EA6"/>
    <w:rsid w:val="00F23927"/>
    <w:rsid w:val="00F26A05"/>
    <w:rsid w:val="00F307CE"/>
    <w:rsid w:val="00F33C50"/>
    <w:rsid w:val="00F37108"/>
    <w:rsid w:val="00F47BAA"/>
    <w:rsid w:val="00F52EAB"/>
    <w:rsid w:val="00F651AB"/>
    <w:rsid w:val="00F67A2D"/>
    <w:rsid w:val="00F70A1B"/>
    <w:rsid w:val="00F72FDF"/>
    <w:rsid w:val="00F75960"/>
    <w:rsid w:val="00F801F6"/>
    <w:rsid w:val="00F8054E"/>
    <w:rsid w:val="00F82526"/>
    <w:rsid w:val="00F82F52"/>
    <w:rsid w:val="00F84672"/>
    <w:rsid w:val="00F84802"/>
    <w:rsid w:val="00F9405A"/>
    <w:rsid w:val="00F978E6"/>
    <w:rsid w:val="00FA06FD"/>
    <w:rsid w:val="00FA515B"/>
    <w:rsid w:val="00FA6B90"/>
    <w:rsid w:val="00FA74CB"/>
    <w:rsid w:val="00FB2886"/>
    <w:rsid w:val="00FB466E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en-GB" w:eastAsia="en-US" w:bidi="ar-SA"/>
    </w:rPr>
  </w:style>
  <w:style w:type="paragraph" w:customStyle="1" w:styleId="BODY">
    <w:name w:val="BODY"/>
    <w:basedOn w:val="Normln"/>
    <w:qFormat/>
    <w:rsid w:val="008B1FE2"/>
    <w:pPr>
      <w:spacing w:after="220" w:line="240" w:lineRule="auto"/>
      <w:contextualSpacing/>
    </w:pPr>
  </w:style>
  <w:style w:type="paragraph" w:customStyle="1" w:styleId="Geenafstand1">
    <w:name w:val="Geen afstand1"/>
    <w:uiPriority w:val="1"/>
    <w:qFormat/>
    <w:rsid w:val="00280316"/>
    <w:rPr>
      <w:rFonts w:ascii="Cambria" w:eastAsia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en-GB" w:eastAsia="en-US" w:bidi="ar-SA"/>
    </w:rPr>
  </w:style>
  <w:style w:type="paragraph" w:customStyle="1" w:styleId="BODY">
    <w:name w:val="BODY"/>
    <w:basedOn w:val="Normln"/>
    <w:qFormat/>
    <w:rsid w:val="008B1FE2"/>
    <w:pPr>
      <w:spacing w:after="220" w:line="240" w:lineRule="auto"/>
      <w:contextualSpacing/>
    </w:pPr>
  </w:style>
  <w:style w:type="paragraph" w:customStyle="1" w:styleId="Geenafstand1">
    <w:name w:val="Geen afstand1"/>
    <w:uiPriority w:val="1"/>
    <w:qFormat/>
    <w:rsid w:val="00280316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C5E1775-7B25-4451-B282-BA61F31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1402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9657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33</cp:revision>
  <cp:lastPrinted>2019-03-12T14:36:00Z</cp:lastPrinted>
  <dcterms:created xsi:type="dcterms:W3CDTF">2018-07-31T10:36:00Z</dcterms:created>
  <dcterms:modified xsi:type="dcterms:W3CDTF">2019-03-12T14:36:00Z</dcterms:modified>
</cp:coreProperties>
</file>