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:rsidR="0040706D" w:rsidRPr="009A2F31" w:rsidRDefault="0040706D" w:rsidP="00266155">
      <w:pPr>
        <w:spacing w:line="240" w:lineRule="auto"/>
        <w:rPr>
          <w:szCs w:val="22"/>
        </w:rPr>
      </w:pPr>
    </w:p>
    <w:p w:rsidR="0040706D" w:rsidRPr="009A2F31" w:rsidRDefault="0040706D" w:rsidP="00266155">
      <w:pPr>
        <w:spacing w:line="240" w:lineRule="auto"/>
        <w:rPr>
          <w:szCs w:val="22"/>
        </w:rPr>
      </w:pPr>
    </w:p>
    <w:p w:rsidR="00C114FF" w:rsidRPr="00474C50" w:rsidRDefault="00C114FF" w:rsidP="00266155">
      <w:pPr>
        <w:spacing w:line="240" w:lineRule="auto"/>
        <w:rPr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  <w:t>NÁZEV VETERINÁRNÍHO LÉČIVÉHO PŘÍPRAVKU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EA79D0" w:rsidRPr="00474C50" w:rsidRDefault="00282856" w:rsidP="00344791">
      <w:pPr>
        <w:tabs>
          <w:tab w:val="clear" w:pos="567"/>
        </w:tabs>
        <w:spacing w:line="240" w:lineRule="auto"/>
        <w:rPr>
          <w:szCs w:val="22"/>
        </w:rPr>
      </w:pPr>
      <w:bookmarkStart w:id="0" w:name="_Hlk155358897"/>
      <w:proofErr w:type="spellStart"/>
      <w:r>
        <w:t>Propomitor</w:t>
      </w:r>
      <w:proofErr w:type="spellEnd"/>
      <w:r>
        <w:t xml:space="preserve"> 10 mg/ml injekční/infuzní emulze pro psy a kočky </w:t>
      </w:r>
    </w:p>
    <w:bookmarkEnd w:id="0"/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9A2F31" w:rsidRPr="00474C50" w:rsidRDefault="009A2F3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266155">
      <w:pPr>
        <w:spacing w:line="240" w:lineRule="auto"/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KVALITATIVNÍ A KVANTITATIVNÍ SLOŽENÍ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157D7E" w:rsidRDefault="00157D7E" w:rsidP="00157D7E">
      <w:pPr>
        <w:tabs>
          <w:tab w:val="clear" w:pos="567"/>
        </w:tabs>
        <w:spacing w:line="240" w:lineRule="auto"/>
      </w:pPr>
      <w:r>
        <w:t xml:space="preserve">Jeden ml obsahuje: </w:t>
      </w:r>
    </w:p>
    <w:p w:rsidR="00157D7E" w:rsidRPr="00474C50" w:rsidRDefault="00157D7E" w:rsidP="00A9226B">
      <w:pPr>
        <w:tabs>
          <w:tab w:val="clear" w:pos="567"/>
        </w:tabs>
        <w:spacing w:line="240" w:lineRule="auto"/>
        <w:rPr>
          <w:szCs w:val="22"/>
        </w:rPr>
      </w:pPr>
    </w:p>
    <w:p w:rsidR="00282856" w:rsidRDefault="00344791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 xml:space="preserve">Léčivá </w:t>
      </w:r>
      <w:r w:rsidR="00AF7679">
        <w:rPr>
          <w:b/>
          <w:szCs w:val="22"/>
        </w:rPr>
        <w:t>látka:</w:t>
      </w:r>
    </w:p>
    <w:p w:rsidR="00C114FF" w:rsidRPr="00474C50" w:rsidRDefault="008175E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</w:t>
      </w:r>
      <w:r w:rsidR="00282856">
        <w:t>ropofol</w:t>
      </w:r>
      <w:r w:rsidR="00344791">
        <w:t>um</w:t>
      </w:r>
      <w:proofErr w:type="spellEnd"/>
      <w:r w:rsidR="00282856">
        <w:tab/>
      </w:r>
      <w:r w:rsidR="00282856">
        <w:tab/>
      </w:r>
      <w:r w:rsidR="00282856">
        <w:tab/>
        <w:t>10 mg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FC4D5B" w:rsidRPr="002E0A5E" w:rsidRDefault="00FC4D5B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E0A5E">
        <w:rPr>
          <w:b/>
          <w:szCs w:val="22"/>
        </w:rPr>
        <w:t>Pomocné látky:</w:t>
      </w:r>
    </w:p>
    <w:p w:rsidR="00FC4D5B" w:rsidRDefault="00FC4D5B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442"/>
      </w:tblGrid>
      <w:tr w:rsidR="008175E4" w:rsidTr="002E0A5E">
        <w:tc>
          <w:tcPr>
            <w:tcW w:w="4737" w:type="dxa"/>
            <w:shd w:val="clear" w:color="auto" w:fill="auto"/>
            <w:vAlign w:val="center"/>
          </w:tcPr>
          <w:p w:rsidR="008175E4" w:rsidRPr="00DA354B" w:rsidRDefault="008175E4" w:rsidP="00DA354B">
            <w:pPr>
              <w:spacing w:before="60" w:after="60"/>
              <w:rPr>
                <w:iCs/>
                <w:color w:val="008000"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442" w:type="dxa"/>
          </w:tcPr>
          <w:p w:rsidR="008175E4" w:rsidRDefault="008175E4" w:rsidP="00DA354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175E4" w:rsidTr="002E0A5E">
        <w:tc>
          <w:tcPr>
            <w:tcW w:w="4737" w:type="dxa"/>
            <w:shd w:val="clear" w:color="auto" w:fill="auto"/>
            <w:vAlign w:val="center"/>
          </w:tcPr>
          <w:p w:rsidR="008175E4" w:rsidRPr="004512FF" w:rsidRDefault="008175E4" w:rsidP="00FC4D5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Čištěný sójový olej</w:t>
            </w:r>
          </w:p>
        </w:tc>
        <w:tc>
          <w:tcPr>
            <w:tcW w:w="4442" w:type="dxa"/>
          </w:tcPr>
          <w:p w:rsidR="008175E4" w:rsidRDefault="008175E4" w:rsidP="00FC4D5B">
            <w:pPr>
              <w:tabs>
                <w:tab w:val="clear" w:pos="567"/>
              </w:tabs>
              <w:spacing w:line="240" w:lineRule="auto"/>
            </w:pPr>
            <w:r>
              <w:t>100 mg</w:t>
            </w:r>
          </w:p>
        </w:tc>
      </w:tr>
      <w:tr w:rsidR="008175E4" w:rsidTr="002E0A5E">
        <w:tc>
          <w:tcPr>
            <w:tcW w:w="4737" w:type="dxa"/>
            <w:shd w:val="clear" w:color="auto" w:fill="auto"/>
            <w:vAlign w:val="center"/>
          </w:tcPr>
          <w:p w:rsidR="008175E4" w:rsidRPr="004512FF" w:rsidRDefault="008175E4" w:rsidP="00FC4D5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Vaječné fosfolipidy pro injekci</w:t>
            </w:r>
          </w:p>
        </w:tc>
        <w:tc>
          <w:tcPr>
            <w:tcW w:w="4442" w:type="dxa"/>
          </w:tcPr>
          <w:p w:rsidR="008175E4" w:rsidRDefault="008175E4" w:rsidP="00FC4D5B">
            <w:pPr>
              <w:tabs>
                <w:tab w:val="clear" w:pos="567"/>
              </w:tabs>
              <w:spacing w:line="240" w:lineRule="auto"/>
            </w:pPr>
          </w:p>
        </w:tc>
      </w:tr>
      <w:tr w:rsidR="008175E4" w:rsidRPr="00362887" w:rsidTr="002E0A5E">
        <w:tc>
          <w:tcPr>
            <w:tcW w:w="4737" w:type="dxa"/>
            <w:shd w:val="clear" w:color="auto" w:fill="auto"/>
            <w:vAlign w:val="center"/>
          </w:tcPr>
          <w:p w:rsidR="008175E4" w:rsidRPr="004512FF" w:rsidRDefault="008175E4" w:rsidP="00DA354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81EFB">
              <w:rPr>
                <w:szCs w:val="22"/>
              </w:rPr>
              <w:t>Glycerol</w:t>
            </w:r>
          </w:p>
        </w:tc>
        <w:tc>
          <w:tcPr>
            <w:tcW w:w="4442" w:type="dxa"/>
          </w:tcPr>
          <w:p w:rsidR="008175E4" w:rsidRPr="00181EFB" w:rsidRDefault="008175E4" w:rsidP="00DA354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8175E4" w:rsidTr="002E0A5E">
        <w:tc>
          <w:tcPr>
            <w:tcW w:w="4737" w:type="dxa"/>
            <w:shd w:val="clear" w:color="auto" w:fill="auto"/>
            <w:vAlign w:val="center"/>
          </w:tcPr>
          <w:p w:rsidR="008175E4" w:rsidRPr="004512FF" w:rsidRDefault="008175E4" w:rsidP="00FC4D5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Hydroxid sodný</w:t>
            </w:r>
          </w:p>
        </w:tc>
        <w:tc>
          <w:tcPr>
            <w:tcW w:w="4442" w:type="dxa"/>
          </w:tcPr>
          <w:p w:rsidR="008175E4" w:rsidRDefault="008175E4" w:rsidP="00FC4D5B">
            <w:pPr>
              <w:tabs>
                <w:tab w:val="clear" w:pos="567"/>
              </w:tabs>
              <w:spacing w:line="240" w:lineRule="auto"/>
            </w:pPr>
          </w:p>
        </w:tc>
      </w:tr>
      <w:tr w:rsidR="008175E4" w:rsidTr="002E0A5E">
        <w:tc>
          <w:tcPr>
            <w:tcW w:w="4737" w:type="dxa"/>
            <w:shd w:val="clear" w:color="auto" w:fill="auto"/>
            <w:vAlign w:val="center"/>
          </w:tcPr>
          <w:p w:rsidR="008175E4" w:rsidRPr="00181EFB" w:rsidRDefault="008175E4" w:rsidP="00FC4D5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Voda pro injekci</w:t>
            </w:r>
          </w:p>
        </w:tc>
        <w:tc>
          <w:tcPr>
            <w:tcW w:w="4442" w:type="dxa"/>
          </w:tcPr>
          <w:p w:rsidR="008175E4" w:rsidRDefault="008175E4" w:rsidP="00FC4D5B">
            <w:pPr>
              <w:tabs>
                <w:tab w:val="clear" w:pos="567"/>
              </w:tabs>
              <w:spacing w:line="240" w:lineRule="auto"/>
            </w:pPr>
          </w:p>
        </w:tc>
      </w:tr>
      <w:tr w:rsidR="008175E4" w:rsidTr="002E0A5E">
        <w:tc>
          <w:tcPr>
            <w:tcW w:w="4737" w:type="dxa"/>
            <w:shd w:val="clear" w:color="auto" w:fill="auto"/>
            <w:vAlign w:val="center"/>
          </w:tcPr>
          <w:p w:rsidR="008175E4" w:rsidRPr="00181EFB" w:rsidRDefault="008175E4" w:rsidP="00FC4D5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Dinatrium-edetát</w:t>
            </w:r>
            <w:proofErr w:type="spellEnd"/>
          </w:p>
        </w:tc>
        <w:tc>
          <w:tcPr>
            <w:tcW w:w="4442" w:type="dxa"/>
          </w:tcPr>
          <w:p w:rsidR="008175E4" w:rsidRDefault="008175E4" w:rsidP="00FC4D5B">
            <w:pPr>
              <w:tabs>
                <w:tab w:val="clear" w:pos="567"/>
              </w:tabs>
              <w:spacing w:line="240" w:lineRule="auto"/>
            </w:pPr>
          </w:p>
        </w:tc>
      </w:tr>
    </w:tbl>
    <w:p w:rsidR="00FC4D5B" w:rsidRDefault="00FC4D5B" w:rsidP="00A9226B">
      <w:pPr>
        <w:tabs>
          <w:tab w:val="clear" w:pos="567"/>
        </w:tabs>
        <w:spacing w:line="240" w:lineRule="auto"/>
        <w:rPr>
          <w:szCs w:val="22"/>
        </w:rPr>
      </w:pPr>
    </w:p>
    <w:p w:rsidR="00780FB9" w:rsidRPr="00780FB9" w:rsidRDefault="00780FB9" w:rsidP="00780FB9">
      <w:pPr>
        <w:tabs>
          <w:tab w:val="clear" w:pos="567"/>
        </w:tabs>
        <w:spacing w:line="240" w:lineRule="auto"/>
        <w:rPr>
          <w:szCs w:val="22"/>
        </w:rPr>
      </w:pPr>
      <w:r>
        <w:t xml:space="preserve">Bílá nebo téměř bílá homogenní </w:t>
      </w:r>
      <w:r w:rsidR="00157D7E">
        <w:t xml:space="preserve">injekční/infuzní </w:t>
      </w:r>
      <w:r>
        <w:t>emulze.</w:t>
      </w:r>
    </w:p>
    <w:p w:rsidR="00AF7679" w:rsidRDefault="00AF7679" w:rsidP="00A9226B">
      <w:pPr>
        <w:tabs>
          <w:tab w:val="clear" w:pos="567"/>
        </w:tabs>
        <w:spacing w:line="240" w:lineRule="auto"/>
        <w:rPr>
          <w:szCs w:val="22"/>
        </w:rPr>
      </w:pPr>
    </w:p>
    <w:p w:rsidR="00780FB9" w:rsidRPr="00474C50" w:rsidRDefault="00780FB9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9F0DF5" w:rsidP="002E0A5E">
      <w:pPr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</w:t>
      </w:r>
      <w:r w:rsidR="00C114FF">
        <w:rPr>
          <w:b/>
          <w:szCs w:val="22"/>
        </w:rPr>
        <w:tab/>
        <w:t xml:space="preserve">KLINICKÉ </w:t>
      </w:r>
      <w:r>
        <w:rPr>
          <w:b/>
          <w:szCs w:val="22"/>
        </w:rPr>
        <w:t>INFORMACE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9F0DF5" w:rsidP="002E0A5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.1</w:t>
      </w:r>
      <w:r w:rsidR="00C114FF">
        <w:rPr>
          <w:b/>
          <w:szCs w:val="22"/>
        </w:rPr>
        <w:tab/>
        <w:t>Cílové druhy zvířat</w:t>
      </w:r>
    </w:p>
    <w:p w:rsidR="00C114FF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Psi a kočky</w:t>
      </w:r>
      <w:r w:rsidR="00157D7E">
        <w:t>.</w:t>
      </w:r>
    </w:p>
    <w:p w:rsidR="00AF7679" w:rsidRPr="00474C50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9F0DF5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 w:rsidRPr="00320D0A">
        <w:rPr>
          <w:b/>
          <w:szCs w:val="22"/>
        </w:rPr>
        <w:t>.2</w:t>
      </w:r>
      <w:r w:rsidR="00C114FF" w:rsidRPr="00320D0A">
        <w:rPr>
          <w:b/>
          <w:szCs w:val="22"/>
        </w:rPr>
        <w:tab/>
        <w:t xml:space="preserve">Indikace </w:t>
      </w:r>
      <w:r>
        <w:rPr>
          <w:b/>
          <w:szCs w:val="22"/>
        </w:rPr>
        <w:t>pro použití</w:t>
      </w:r>
      <w:r w:rsidR="00C114FF" w:rsidRPr="00320D0A">
        <w:rPr>
          <w:b/>
          <w:szCs w:val="22"/>
        </w:rPr>
        <w:t xml:space="preserve"> pro </w:t>
      </w:r>
      <w:r>
        <w:rPr>
          <w:b/>
          <w:szCs w:val="22"/>
        </w:rPr>
        <w:t xml:space="preserve">každý </w:t>
      </w:r>
      <w:r w:rsidR="00C114FF" w:rsidRPr="00320D0A">
        <w:rPr>
          <w:b/>
          <w:szCs w:val="22"/>
        </w:rPr>
        <w:t>cílový druh zvířat</w:t>
      </w:r>
    </w:p>
    <w:p w:rsidR="00C114FF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Pr="00FC4D5B" w:rsidRDefault="00FC4D5B" w:rsidP="002E0A5E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t>c</w:t>
      </w:r>
      <w:r w:rsidR="00282856">
        <w:t>elková anest</w:t>
      </w:r>
      <w:r w:rsidR="00477817">
        <w:t>é</w:t>
      </w:r>
      <w:r w:rsidR="00282856">
        <w:t>zie pro krátk</w:t>
      </w:r>
      <w:r w:rsidR="00E13A7D">
        <w:t>odobé</w:t>
      </w:r>
      <w:r w:rsidR="00282856">
        <w:t xml:space="preserve"> zákroky trvající max. pět minut.</w:t>
      </w:r>
    </w:p>
    <w:p w:rsidR="00AF7679" w:rsidRPr="00AF7679" w:rsidRDefault="00AF7679" w:rsidP="002E0A5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:rsidR="00AF7679" w:rsidRPr="00FC4D5B" w:rsidRDefault="00FC4D5B" w:rsidP="002E0A5E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t>ú</w:t>
      </w:r>
      <w:r w:rsidR="00CC7272">
        <w:t xml:space="preserve">vod </w:t>
      </w:r>
      <w:r w:rsidR="00F155E0">
        <w:t xml:space="preserve">do anestézie </w:t>
      </w:r>
      <w:r w:rsidR="00282856">
        <w:t>a udržování celkové anest</w:t>
      </w:r>
      <w:r w:rsidR="00CC7272">
        <w:t>é</w:t>
      </w:r>
      <w:r w:rsidR="00282856">
        <w:t xml:space="preserve">zie </w:t>
      </w:r>
      <w:r w:rsidR="00396EF8">
        <w:t xml:space="preserve">přírůstkovým </w:t>
      </w:r>
      <w:r w:rsidR="00282856">
        <w:t>podáváním dávek do vyvolání účinku nebo podáváním pomocí inf</w:t>
      </w:r>
      <w:r w:rsidR="00477817">
        <w:t>ú</w:t>
      </w:r>
      <w:r w:rsidR="00282856">
        <w:t>ze s konstantní rychlostí (CRI).</w:t>
      </w:r>
    </w:p>
    <w:p w:rsidR="00AF7679" w:rsidRPr="00AF7679" w:rsidRDefault="00AF7679" w:rsidP="002E0A5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:rsidR="00E86CEE" w:rsidRPr="00FC4D5B" w:rsidRDefault="00FC4D5B" w:rsidP="002E0A5E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t>v</w:t>
      </w:r>
      <w:r w:rsidR="00282856">
        <w:t>yvolání celkové anest</w:t>
      </w:r>
      <w:r w:rsidR="00477817">
        <w:t>é</w:t>
      </w:r>
      <w:r w:rsidR="00282856">
        <w:t>zie, kdy je udržování anest</w:t>
      </w:r>
      <w:r w:rsidR="00477817">
        <w:t>é</w:t>
      </w:r>
      <w:r w:rsidR="00282856">
        <w:t>zie zajištěno inhalací anestetických látek.</w:t>
      </w:r>
    </w:p>
    <w:p w:rsidR="00E86CEE" w:rsidRPr="00145C3F" w:rsidRDefault="00E86C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9F0DF5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.3</w:t>
      </w:r>
      <w:r w:rsidR="00C114FF">
        <w:rPr>
          <w:b/>
          <w:szCs w:val="22"/>
        </w:rPr>
        <w:tab/>
        <w:t>Kontraindikace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 případech přecitlivělosti na léčivou látku nebo na některou z pomocných látek.</w:t>
      </w:r>
    </w:p>
    <w:p w:rsidR="00AF7679" w:rsidRPr="00474C50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9F0DF5" w:rsidP="002E0A5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.4</w:t>
      </w:r>
      <w:r w:rsidR="00C114FF">
        <w:rPr>
          <w:b/>
          <w:szCs w:val="22"/>
        </w:rPr>
        <w:tab/>
        <w:t xml:space="preserve">Zvláštní upozornění 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155E0" w:rsidRPr="00955ACD" w:rsidRDefault="00157D7E" w:rsidP="002E0A5E">
      <w:pPr>
        <w:spacing w:line="240" w:lineRule="auto"/>
        <w:jc w:val="both"/>
        <w:rPr>
          <w:lang w:eastAsia="cs-CZ"/>
        </w:rPr>
      </w:pPr>
      <w:r>
        <w:t>Veterinární léčivý p</w:t>
      </w:r>
      <w:r w:rsidR="00AF7679" w:rsidRPr="00F93A0B">
        <w:t>řípravek je stabilní emulze.</w:t>
      </w:r>
      <w:r w:rsidR="00F155E0" w:rsidRPr="00F93A0B">
        <w:t xml:space="preserve"> </w:t>
      </w:r>
      <w:r w:rsidR="00F155E0" w:rsidRPr="00955ACD">
        <w:rPr>
          <w:lang w:eastAsia="cs-CZ"/>
        </w:rPr>
        <w:t xml:space="preserve">Před použitím je třeba </w:t>
      </w:r>
      <w:r>
        <w:t xml:space="preserve">veterinární léčivý </w:t>
      </w:r>
      <w:r w:rsidR="00F155E0" w:rsidRPr="00955ACD">
        <w:rPr>
          <w:lang w:eastAsia="cs-CZ"/>
        </w:rPr>
        <w:t xml:space="preserve">přípravek vizuálně zkontrolovat, že nejsou přítomny viditelné kapičky nebo cizorodé částice ani nedochází </w:t>
      </w:r>
      <w:r w:rsidR="00283815" w:rsidRPr="00955ACD">
        <w:rPr>
          <w:lang w:eastAsia="cs-CZ"/>
        </w:rPr>
        <w:t>k</w:t>
      </w:r>
      <w:r w:rsidR="00283815">
        <w:rPr>
          <w:lang w:eastAsia="cs-CZ"/>
        </w:rPr>
        <w:t> </w:t>
      </w:r>
      <w:r w:rsidR="00F155E0" w:rsidRPr="00955ACD">
        <w:rPr>
          <w:lang w:eastAsia="cs-CZ"/>
        </w:rPr>
        <w:t>oddělení fází, v opačném případě přípravek zlikvidujte. Nepoužívejte, pokud oddělení fází přetrvává i po jemném protřepání.</w:t>
      </w:r>
    </w:p>
    <w:p w:rsidR="00780FB9" w:rsidRPr="00AF7679" w:rsidRDefault="00780FB9" w:rsidP="00AF7679">
      <w:pPr>
        <w:tabs>
          <w:tab w:val="clear" w:pos="567"/>
        </w:tabs>
        <w:spacing w:line="240" w:lineRule="auto"/>
        <w:rPr>
          <w:szCs w:val="22"/>
        </w:rPr>
      </w:pPr>
    </w:p>
    <w:p w:rsidR="00E86CEE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Pokud bude </w:t>
      </w:r>
      <w:r w:rsidR="00157D7E">
        <w:t xml:space="preserve">veterinární léčivý </w:t>
      </w:r>
      <w:r>
        <w:t xml:space="preserve">přípravek </w:t>
      </w:r>
      <w:r w:rsidR="00F8731F">
        <w:t xml:space="preserve">podáván </w:t>
      </w:r>
      <w:r>
        <w:t xml:space="preserve">příliš pomalu, nemusí </w:t>
      </w:r>
      <w:r w:rsidR="0026581A">
        <w:t>být dosažena</w:t>
      </w:r>
      <w:r>
        <w:t xml:space="preserve"> dostatečn</w:t>
      </w:r>
      <w:r w:rsidR="0026581A">
        <w:t>á</w:t>
      </w:r>
      <w:r>
        <w:t xml:space="preserve"> úrov</w:t>
      </w:r>
      <w:r w:rsidR="0026581A">
        <w:t>e</w:t>
      </w:r>
      <w:r w:rsidR="009F0DF5">
        <w:t>ň</w:t>
      </w:r>
      <w:r>
        <w:t xml:space="preserve"> anest</w:t>
      </w:r>
      <w:r w:rsidR="00EC7A01">
        <w:t>é</w:t>
      </w:r>
      <w:r>
        <w:t xml:space="preserve">zie, protože nebude dosažen dostatečný práh farmakologické </w:t>
      </w:r>
      <w:r w:rsidR="000A6D70">
        <w:t>účinnosti</w:t>
      </w:r>
      <w:r>
        <w:t>.</w:t>
      </w:r>
    </w:p>
    <w:p w:rsidR="00AF7679" w:rsidRPr="00E86CEE" w:rsidDel="00E86CEE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9F0DF5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.5</w:t>
      </w:r>
      <w:r w:rsidR="00C114FF">
        <w:rPr>
          <w:b/>
          <w:szCs w:val="22"/>
        </w:rPr>
        <w:tab/>
        <w:t>Zvláštní opatření pro použití</w:t>
      </w:r>
    </w:p>
    <w:p w:rsidR="00C114FF" w:rsidRPr="00474C50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C114FF" w:rsidP="002E0A5E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pro </w:t>
      </w:r>
      <w:r w:rsidR="009F0DF5">
        <w:rPr>
          <w:szCs w:val="22"/>
          <w:u w:val="single"/>
        </w:rPr>
        <w:t xml:space="preserve">bezpečné </w:t>
      </w:r>
      <w:r>
        <w:rPr>
          <w:szCs w:val="22"/>
          <w:u w:val="single"/>
        </w:rPr>
        <w:t>použití u</w:t>
      </w:r>
      <w:r w:rsidR="009F0DF5">
        <w:rPr>
          <w:szCs w:val="22"/>
          <w:u w:val="single"/>
        </w:rPr>
        <w:t xml:space="preserve"> cílových druhů</w:t>
      </w:r>
      <w:r>
        <w:rPr>
          <w:szCs w:val="22"/>
          <w:u w:val="single"/>
        </w:rPr>
        <w:t xml:space="preserve"> zvířat</w:t>
      </w:r>
      <w:r w:rsidR="009F0DF5">
        <w:rPr>
          <w:szCs w:val="22"/>
          <w:u w:val="single"/>
        </w:rPr>
        <w:t>:</w:t>
      </w:r>
    </w:p>
    <w:p w:rsidR="00C114FF" w:rsidRPr="00474C50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Pr="00AF7679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 </w:t>
      </w:r>
      <w:r w:rsidR="0026581A">
        <w:t>době zahájení</w:t>
      </w:r>
      <w:r>
        <w:t xml:space="preserve"> anest</w:t>
      </w:r>
      <w:r w:rsidR="0026581A">
        <w:t>é</w:t>
      </w:r>
      <w:r>
        <w:t>zie může dojít k mírné hypotenzi a přechodné apno</w:t>
      </w:r>
      <w:r w:rsidR="00354209">
        <w:t>i</w:t>
      </w:r>
      <w:r>
        <w:t xml:space="preserve">. Při použití tohoto veterinárního léčivého přípravku je nutno zajistit dostupnost </w:t>
      </w:r>
      <w:r w:rsidR="0026581A">
        <w:t xml:space="preserve">technických </w:t>
      </w:r>
      <w:r>
        <w:t>prostředků k udržení průchodnosti dýchacích cest pacienta, umělé</w:t>
      </w:r>
      <w:r w:rsidR="0049520D">
        <w:t xml:space="preserve"> ventilace</w:t>
      </w:r>
      <w:r>
        <w:t xml:space="preserve"> a obohacení kyslíkem. Po vyvolání anest</w:t>
      </w:r>
      <w:r w:rsidR="0026581A">
        <w:t>é</w:t>
      </w:r>
      <w:r>
        <w:t xml:space="preserve">zie se doporučuje použít </w:t>
      </w:r>
      <w:proofErr w:type="spellStart"/>
      <w:r>
        <w:t>endotrachiální</w:t>
      </w:r>
      <w:proofErr w:type="spellEnd"/>
      <w:r>
        <w:t xml:space="preserve"> trubici. Při delší anest</w:t>
      </w:r>
      <w:r w:rsidR="0026581A">
        <w:t>é</w:t>
      </w:r>
      <w:r>
        <w:t xml:space="preserve">zii vyvolané </w:t>
      </w:r>
      <w:proofErr w:type="spellStart"/>
      <w:r>
        <w:t>propofolem</w:t>
      </w:r>
      <w:proofErr w:type="spellEnd"/>
      <w:r>
        <w:t xml:space="preserve"> byly hlášeny zvýšené hodnoty oxidu uhličitého v krvi. V průběhu udržování anest</w:t>
      </w:r>
      <w:r w:rsidR="00477817">
        <w:t>é</w:t>
      </w:r>
      <w:r>
        <w:t xml:space="preserve">zie se </w:t>
      </w:r>
      <w:r w:rsidRPr="00354209">
        <w:t xml:space="preserve">doporučuje podávat </w:t>
      </w:r>
      <w:r w:rsidR="00EC7A01">
        <w:t>obohacení</w:t>
      </w:r>
      <w:r w:rsidR="00EC7A01" w:rsidRPr="00354209">
        <w:t xml:space="preserve"> </w:t>
      </w:r>
      <w:r w:rsidR="0049520D" w:rsidRPr="00354209">
        <w:t>kyslík</w:t>
      </w:r>
      <w:r w:rsidR="00354209" w:rsidRPr="007152EB">
        <w:t>em</w:t>
      </w:r>
      <w:r w:rsidRPr="00354209">
        <w:t>. Kromě toho by</w:t>
      </w:r>
      <w:r w:rsidR="0049520D" w:rsidRPr="00354209">
        <w:t xml:space="preserve"> měla být zvážena</w:t>
      </w:r>
      <w:r>
        <w:t xml:space="preserve"> v průběhu delší anest</w:t>
      </w:r>
      <w:r w:rsidR="00477817">
        <w:t>é</w:t>
      </w:r>
      <w:r>
        <w:t>zie potřeb</w:t>
      </w:r>
      <w:r w:rsidR="0049520D">
        <w:t>a</w:t>
      </w:r>
      <w:r>
        <w:t xml:space="preserve"> </w:t>
      </w:r>
      <w:r w:rsidR="0049520D">
        <w:t>umělé ventilace</w:t>
      </w:r>
      <w:r>
        <w:t>.</w:t>
      </w:r>
    </w:p>
    <w:p w:rsidR="009E1B67" w:rsidRPr="009E1B67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Pokud je </w:t>
      </w:r>
      <w:r w:rsidR="00157D7E">
        <w:t xml:space="preserve">veterinární léčivý </w:t>
      </w:r>
      <w:r>
        <w:t xml:space="preserve">přípravek </w:t>
      </w:r>
      <w:r w:rsidR="0049520D">
        <w:t xml:space="preserve">podán </w:t>
      </w:r>
      <w:r>
        <w:t xml:space="preserve">příliš rychle, může </w:t>
      </w:r>
      <w:r w:rsidR="0049520D">
        <w:t>vyvolat</w:t>
      </w:r>
      <w:r>
        <w:t xml:space="preserve"> kardiopulmonální depresi (apnoe, bradykardie, hypotenze).</w:t>
      </w:r>
    </w:p>
    <w:p w:rsidR="009E1B67" w:rsidRPr="00AF7679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Default="0049520D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Tak jako </w:t>
      </w:r>
      <w:r w:rsidR="009F0DF5">
        <w:t xml:space="preserve">u </w:t>
      </w:r>
      <w:r w:rsidR="00AF7679">
        <w:t xml:space="preserve">jiných </w:t>
      </w:r>
      <w:r>
        <w:t xml:space="preserve">intravenózních </w:t>
      </w:r>
      <w:r w:rsidR="00AF7679">
        <w:t>anesteti</w:t>
      </w:r>
      <w:r w:rsidR="009F0DF5">
        <w:t>k</w:t>
      </w:r>
      <w:r>
        <w:t xml:space="preserve"> je třeba</w:t>
      </w:r>
      <w:r w:rsidR="009F0DF5">
        <w:t xml:space="preserve"> </w:t>
      </w:r>
      <w:r w:rsidR="00AF7679">
        <w:t>opatrn</w:t>
      </w:r>
      <w:r w:rsidR="009F0DF5">
        <w:t>osti</w:t>
      </w:r>
      <w:r w:rsidR="00AF7679">
        <w:t xml:space="preserve"> při po</w:t>
      </w:r>
      <w:r w:rsidR="0086095D">
        <w:t>dá</w:t>
      </w:r>
      <w:r w:rsidR="00354209">
        <w:t>vá</w:t>
      </w:r>
      <w:r w:rsidR="0086095D">
        <w:t>ní přípravku</w:t>
      </w:r>
      <w:r w:rsidR="00AF7679">
        <w:t xml:space="preserve"> psů</w:t>
      </w:r>
      <w:r w:rsidR="0086095D">
        <w:t>m</w:t>
      </w:r>
      <w:r w:rsidR="00AF7679">
        <w:t xml:space="preserve"> a koč</w:t>
      </w:r>
      <w:r w:rsidR="00EC7A01">
        <w:t>kám</w:t>
      </w:r>
      <w:r w:rsidR="00AF7679">
        <w:t xml:space="preserve"> s po</w:t>
      </w:r>
      <w:r w:rsidR="00354209">
        <w:t>škozením</w:t>
      </w:r>
      <w:r w:rsidR="00AF7679">
        <w:t xml:space="preserve"> srdce, dýchacího traktu, ledvin nebo jater, jako i u </w:t>
      </w:r>
      <w:proofErr w:type="spellStart"/>
      <w:r w:rsidR="00AF7679">
        <w:t>hypovolemických</w:t>
      </w:r>
      <w:proofErr w:type="spellEnd"/>
      <w:r w:rsidR="00AF7679">
        <w:t xml:space="preserve"> nebo oslabených zvířat.</w:t>
      </w:r>
    </w:p>
    <w:p w:rsidR="00EA79D0" w:rsidRPr="00EA79D0" w:rsidRDefault="00EA79D0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A79D0" w:rsidRPr="00AF7679" w:rsidRDefault="00EA79D0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354209">
        <w:t>Propofol</w:t>
      </w:r>
      <w:proofErr w:type="spellEnd"/>
      <w:r w:rsidRPr="00354209">
        <w:t xml:space="preserve"> může zvýšit </w:t>
      </w:r>
      <w:r w:rsidR="0086095D" w:rsidRPr="00354209">
        <w:t>u zdravých psů</w:t>
      </w:r>
      <w:r w:rsidR="0086095D" w:rsidRPr="007152EB">
        <w:t xml:space="preserve"> </w:t>
      </w:r>
      <w:r w:rsidRPr="00354209">
        <w:t>metabolismus glukózy</w:t>
      </w:r>
      <w:r w:rsidR="0086095D" w:rsidRPr="00354209">
        <w:t xml:space="preserve"> v krvi</w:t>
      </w:r>
      <w:r w:rsidRPr="00354209">
        <w:t xml:space="preserve"> a vylučování inzulinu</w:t>
      </w:r>
      <w:r>
        <w:t>. Protože nejsou k dispozici údaje o bezpečnosti u diabetických zvířat, používejte přípravek pouze po zvážení terapeutického prospěchu a rizika veterinárním lékařem.</w:t>
      </w:r>
    </w:p>
    <w:p w:rsidR="009E1B67" w:rsidRPr="007C2F63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E1B67" w:rsidRPr="009E1B67" w:rsidRDefault="0086095D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Opatrnost by měla být zachována</w:t>
      </w:r>
      <w:r w:rsidR="009E1B67">
        <w:t xml:space="preserve"> při podávání </w:t>
      </w:r>
      <w:r w:rsidR="00157D7E">
        <w:t xml:space="preserve">veterinárního léčivého </w:t>
      </w:r>
      <w:r w:rsidR="009E1B67">
        <w:t xml:space="preserve">přípravku pacientům </w:t>
      </w:r>
      <w:r w:rsidR="00283815">
        <w:t>s </w:t>
      </w:r>
      <w:proofErr w:type="spellStart"/>
      <w:r w:rsidR="009E1B67">
        <w:t>hypoproteinémií</w:t>
      </w:r>
      <w:proofErr w:type="spellEnd"/>
      <w:r w:rsidR="009E1B67">
        <w:t xml:space="preserve">, </w:t>
      </w:r>
      <w:proofErr w:type="spellStart"/>
      <w:r w:rsidR="009E1B67">
        <w:t>hyperlipidémií</w:t>
      </w:r>
      <w:proofErr w:type="spellEnd"/>
      <w:r w:rsidR="009E1B67">
        <w:t>, jako i u velice hubených zvířat, protože t</w:t>
      </w:r>
      <w:r>
        <w:t>a</w:t>
      </w:r>
      <w:r w:rsidR="009E1B67">
        <w:t>to zvířata mohou být náchylnější k</w:t>
      </w:r>
      <w:r>
        <w:t xml:space="preserve"> vzniku </w:t>
      </w:r>
      <w:r w:rsidR="009E1B67">
        <w:t>nežádoucí</w:t>
      </w:r>
      <w:r>
        <w:t>ch</w:t>
      </w:r>
      <w:r w:rsidR="009E1B67">
        <w:t xml:space="preserve"> účinků.</w:t>
      </w:r>
    </w:p>
    <w:p w:rsidR="009E1B67" w:rsidRPr="007C2F63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Bezpečnost </w:t>
      </w:r>
      <w:r w:rsidR="00157D7E">
        <w:t xml:space="preserve">veterinárního léčivého </w:t>
      </w:r>
      <w:r>
        <w:t xml:space="preserve">přípravku nebyla stanovena u psů a koček mladších než 4 měsíce. U těchto zvířat by měl být přípravek používán pouze </w:t>
      </w:r>
      <w:r w:rsidR="00E62EE6">
        <w:t>po</w:t>
      </w:r>
      <w:r>
        <w:t xml:space="preserve"> zvážení terapeutického prospěchu a rizika příslušným veterinárním lékařem.</w:t>
      </w:r>
    </w:p>
    <w:p w:rsidR="009E1B67" w:rsidRPr="007C2F63" w:rsidRDefault="009E1B6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Default="00AF76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54209">
        <w:t xml:space="preserve">Bylo pozorováno, že </w:t>
      </w:r>
      <w:proofErr w:type="spellStart"/>
      <w:r w:rsidR="00354209" w:rsidRPr="000A1D5C">
        <w:t>clearance</w:t>
      </w:r>
      <w:proofErr w:type="spellEnd"/>
      <w:r w:rsidR="00354209" w:rsidRPr="000A1D5C">
        <w:t xml:space="preserve"> </w:t>
      </w:r>
      <w:proofErr w:type="spellStart"/>
      <w:r w:rsidRPr="000A1D5C">
        <w:t>propofolu</w:t>
      </w:r>
      <w:proofErr w:type="spellEnd"/>
      <w:r w:rsidRPr="000A1D5C">
        <w:t xml:space="preserve"> probíhá pomaleji u </w:t>
      </w:r>
      <w:r w:rsidR="005A00AC" w:rsidRPr="000A1D5C">
        <w:t>zvířat</w:t>
      </w:r>
      <w:r w:rsidR="005A00AC">
        <w:t xml:space="preserve"> s nadváhou/ </w:t>
      </w:r>
      <w:r w:rsidRPr="000A1D5C">
        <w:t xml:space="preserve">obézních zvířat </w:t>
      </w:r>
      <w:r>
        <w:t xml:space="preserve">a psů starších 8 let. Při podávání </w:t>
      </w:r>
      <w:r w:rsidR="00157D7E">
        <w:t xml:space="preserve">veterinárního léčivého </w:t>
      </w:r>
      <w:r>
        <w:t xml:space="preserve">přípravku těmto zvířatům </w:t>
      </w:r>
      <w:r w:rsidR="009F0DF5">
        <w:t>je třeba dbát zvýšené</w:t>
      </w:r>
      <w:r>
        <w:t xml:space="preserve"> opatrnost</w:t>
      </w:r>
      <w:r w:rsidR="009F0DF5">
        <w:t>i</w:t>
      </w:r>
      <w:r w:rsidR="00E62EE6">
        <w:t>;</w:t>
      </w:r>
      <w:r>
        <w:t xml:space="preserve"> zejména platí, že v těchto případech může být k vyvolání a udržení </w:t>
      </w:r>
      <w:r w:rsidRPr="000A1D5C">
        <w:t>požadovaného účinku dostatečná nižší dávka. U chrtů byl</w:t>
      </w:r>
      <w:r w:rsidR="000A1D5C" w:rsidRPr="000A1D5C">
        <w:t>a</w:t>
      </w:r>
      <w:r w:rsidRPr="000A1D5C">
        <w:t xml:space="preserve"> hlášen</w:t>
      </w:r>
      <w:r w:rsidR="000A1D5C" w:rsidRPr="000A1D5C">
        <w:t>a</w:t>
      </w:r>
      <w:r w:rsidRPr="000A1D5C">
        <w:t xml:space="preserve"> </w:t>
      </w:r>
      <w:r w:rsidRPr="0069286C">
        <w:t xml:space="preserve">pomalejší </w:t>
      </w:r>
      <w:proofErr w:type="spellStart"/>
      <w:r w:rsidR="000A1D5C" w:rsidRPr="009E3C22">
        <w:t>clearance</w:t>
      </w:r>
      <w:proofErr w:type="spellEnd"/>
      <w:r w:rsidR="000A1D5C" w:rsidRPr="009E3C22">
        <w:t xml:space="preserve"> </w:t>
      </w:r>
      <w:proofErr w:type="spellStart"/>
      <w:r w:rsidRPr="00201F62">
        <w:t>propofolu</w:t>
      </w:r>
      <w:proofErr w:type="spellEnd"/>
      <w:r w:rsidRPr="00201F62">
        <w:t xml:space="preserve"> a zotavení </w:t>
      </w:r>
      <w:r w:rsidRPr="000A1D5C">
        <w:t>z anest</w:t>
      </w:r>
      <w:r w:rsidR="00E62EE6" w:rsidRPr="000A1D5C">
        <w:t>é</w:t>
      </w:r>
      <w:r w:rsidRPr="000A1D5C">
        <w:t xml:space="preserve">zie </w:t>
      </w:r>
      <w:r w:rsidR="00283815" w:rsidRPr="000A1D5C">
        <w:t>u</w:t>
      </w:r>
      <w:r w:rsidR="00283815">
        <w:t> </w:t>
      </w:r>
      <w:r w:rsidRPr="000A1D5C">
        <w:t>nich může probíhat o něco pomaleji než u psů</w:t>
      </w:r>
      <w:r w:rsidR="00E62EE6" w:rsidRPr="000A1D5C">
        <w:t xml:space="preserve"> jiných plemen</w:t>
      </w:r>
      <w:r w:rsidRPr="000A1D5C">
        <w:t>.</w:t>
      </w:r>
    </w:p>
    <w:p w:rsidR="002121F4" w:rsidRPr="002121F4" w:rsidRDefault="002121F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F7679" w:rsidRDefault="002121F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2744E7">
        <w:t>Propofol</w:t>
      </w:r>
      <w:proofErr w:type="spellEnd"/>
      <w:r w:rsidRPr="002744E7">
        <w:t xml:space="preserve"> nemá analgetické účinky, proto </w:t>
      </w:r>
      <w:r w:rsidRPr="00477817">
        <w:t>by měl</w:t>
      </w:r>
      <w:r w:rsidR="00E62EE6" w:rsidRPr="00477817">
        <w:t>a</w:t>
      </w:r>
      <w:r w:rsidRPr="00477817">
        <w:t xml:space="preserve"> </w:t>
      </w:r>
      <w:r w:rsidR="00E62EE6" w:rsidRPr="00477817">
        <w:t xml:space="preserve">být podána </w:t>
      </w:r>
      <w:r w:rsidRPr="00477817">
        <w:t>dodatečná analgetika,</w:t>
      </w:r>
      <w:r>
        <w:t xml:space="preserve"> pokud se předpokládá bolestivost zákroku. Pokud </w:t>
      </w:r>
      <w:r w:rsidR="00001413">
        <w:t xml:space="preserve">je </w:t>
      </w:r>
      <w:r>
        <w:t>používá</w:t>
      </w:r>
      <w:r w:rsidR="00001413">
        <w:t>n</w:t>
      </w:r>
      <w:r>
        <w:t xml:space="preserve"> </w:t>
      </w:r>
      <w:proofErr w:type="spellStart"/>
      <w:r>
        <w:t>propofol</w:t>
      </w:r>
      <w:proofErr w:type="spellEnd"/>
      <w:r>
        <w:t xml:space="preserve"> společně s </w:t>
      </w:r>
      <w:proofErr w:type="spellStart"/>
      <w:r>
        <w:t>opioidy</w:t>
      </w:r>
      <w:proofErr w:type="spellEnd"/>
      <w:r>
        <w:t>, lze v případech výskytu bradykardie po</w:t>
      </w:r>
      <w:r w:rsidR="00001413">
        <w:t>dat</w:t>
      </w:r>
      <w:r>
        <w:t xml:space="preserve"> </w:t>
      </w:r>
      <w:proofErr w:type="spellStart"/>
      <w:r>
        <w:t>anticholinergickou</w:t>
      </w:r>
      <w:proofErr w:type="spellEnd"/>
      <w:r>
        <w:t xml:space="preserve"> látku (např. atropin) na základě zvážení terapeutického prospěchu a rizika příslušným veterinárním lékařem. Viz </w:t>
      </w:r>
      <w:r w:rsidR="00001413" w:rsidRPr="00EE11E0">
        <w:t>bod</w:t>
      </w:r>
      <w:r w:rsidR="00EC7A01" w:rsidRPr="00785BB9">
        <w:t xml:space="preserve"> </w:t>
      </w:r>
      <w:r w:rsidR="009F0DF5" w:rsidRPr="002E0A5E">
        <w:t>3</w:t>
      </w:r>
      <w:r w:rsidRPr="00785BB9">
        <w:t>.8.</w:t>
      </w:r>
    </w:p>
    <w:p w:rsidR="00EA79D0" w:rsidRPr="00EA79D0" w:rsidRDefault="00EA79D0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A79D0" w:rsidRDefault="00EA79D0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podávání </w:t>
      </w:r>
      <w:r w:rsidR="00157D7E">
        <w:t xml:space="preserve">veterinárního léčivého </w:t>
      </w:r>
      <w:r>
        <w:t xml:space="preserve">přípravku </w:t>
      </w:r>
      <w:r w:rsidR="0069286C">
        <w:t xml:space="preserve">dodržujte </w:t>
      </w:r>
      <w:r>
        <w:t>aseptické postupy.</w:t>
      </w:r>
    </w:p>
    <w:p w:rsidR="002121F4" w:rsidRPr="00474C50" w:rsidRDefault="002121F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C114FF" w:rsidP="002E0A5E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</w:t>
      </w:r>
      <w:r w:rsidR="009F0DF5">
        <w:rPr>
          <w:szCs w:val="22"/>
          <w:u w:val="single"/>
        </w:rPr>
        <w:t xml:space="preserve">pro </w:t>
      </w:r>
      <w:r>
        <w:rPr>
          <w:szCs w:val="22"/>
          <w:u w:val="single"/>
        </w:rPr>
        <w:t>osob</w:t>
      </w:r>
      <w:r w:rsidR="009F0DF5">
        <w:rPr>
          <w:szCs w:val="22"/>
          <w:u w:val="single"/>
        </w:rPr>
        <w:t>u</w:t>
      </w:r>
      <w:r>
        <w:rPr>
          <w:szCs w:val="22"/>
          <w:u w:val="single"/>
        </w:rPr>
        <w:t>, kter</w:t>
      </w:r>
      <w:r w:rsidR="009F0DF5">
        <w:rPr>
          <w:szCs w:val="22"/>
          <w:u w:val="single"/>
        </w:rPr>
        <w:t>á</w:t>
      </w:r>
      <w:r>
        <w:rPr>
          <w:szCs w:val="22"/>
          <w:u w:val="single"/>
        </w:rPr>
        <w:t xml:space="preserve"> podáv</w:t>
      </w:r>
      <w:r w:rsidR="009F0DF5">
        <w:rPr>
          <w:szCs w:val="22"/>
          <w:u w:val="single"/>
        </w:rPr>
        <w:t>á</w:t>
      </w:r>
      <w:r>
        <w:rPr>
          <w:szCs w:val="22"/>
          <w:u w:val="single"/>
        </w:rPr>
        <w:t xml:space="preserve"> veterinární léčivý přípravek zvířatům</w:t>
      </w:r>
      <w:r w:rsidR="00A36890">
        <w:rPr>
          <w:szCs w:val="22"/>
          <w:u w:val="single"/>
        </w:rPr>
        <w:t>:</w:t>
      </w:r>
    </w:p>
    <w:p w:rsidR="008175E4" w:rsidRDefault="008175E4" w:rsidP="002E0A5E">
      <w:pPr>
        <w:tabs>
          <w:tab w:val="clear" w:pos="567"/>
        </w:tabs>
        <w:spacing w:line="240" w:lineRule="auto"/>
        <w:jc w:val="both"/>
      </w:pPr>
    </w:p>
    <w:p w:rsidR="00AF7679" w:rsidRPr="00CE46C0" w:rsidRDefault="00AF7679" w:rsidP="002E0A5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CE46C0">
        <w:rPr>
          <w:szCs w:val="22"/>
        </w:rPr>
        <w:t>Propofol</w:t>
      </w:r>
      <w:proofErr w:type="spellEnd"/>
      <w:r w:rsidRPr="00CE46C0">
        <w:rPr>
          <w:szCs w:val="22"/>
        </w:rPr>
        <w:t xml:space="preserve"> je </w:t>
      </w:r>
      <w:r w:rsidR="008464AE" w:rsidRPr="00CE46C0">
        <w:rPr>
          <w:szCs w:val="22"/>
        </w:rPr>
        <w:t xml:space="preserve">silné </w:t>
      </w:r>
      <w:r w:rsidRPr="00CE46C0">
        <w:rPr>
          <w:szCs w:val="22"/>
        </w:rPr>
        <w:t>celkové anestetikum</w:t>
      </w:r>
      <w:r w:rsidR="008464AE" w:rsidRPr="00CE46C0">
        <w:rPr>
          <w:szCs w:val="22"/>
        </w:rPr>
        <w:t xml:space="preserve">, </w:t>
      </w:r>
      <w:r w:rsidRPr="00344791">
        <w:rPr>
          <w:szCs w:val="22"/>
        </w:rPr>
        <w:t xml:space="preserve">proto </w:t>
      </w:r>
      <w:r w:rsidR="008464AE" w:rsidRPr="00344791">
        <w:rPr>
          <w:szCs w:val="22"/>
        </w:rPr>
        <w:t>předcházejte n</w:t>
      </w:r>
      <w:r w:rsidRPr="00A51E29">
        <w:rPr>
          <w:szCs w:val="22"/>
        </w:rPr>
        <w:t>áhodn</w:t>
      </w:r>
      <w:r w:rsidR="008464AE" w:rsidRPr="00A51E29">
        <w:rPr>
          <w:szCs w:val="22"/>
        </w:rPr>
        <w:t xml:space="preserve">ému </w:t>
      </w:r>
      <w:proofErr w:type="spellStart"/>
      <w:r w:rsidR="008464AE" w:rsidRPr="00A51E29">
        <w:rPr>
          <w:szCs w:val="22"/>
        </w:rPr>
        <w:t>samopodání</w:t>
      </w:r>
      <w:proofErr w:type="spellEnd"/>
      <w:r w:rsidR="008464AE" w:rsidRPr="00A51E29">
        <w:rPr>
          <w:szCs w:val="22"/>
        </w:rPr>
        <w:t xml:space="preserve"> injekce</w:t>
      </w:r>
      <w:r w:rsidRPr="00A51E29">
        <w:rPr>
          <w:szCs w:val="22"/>
        </w:rPr>
        <w:t xml:space="preserve">. </w:t>
      </w:r>
      <w:r w:rsidR="00CE46C0" w:rsidRPr="00F521AD">
        <w:rPr>
          <w:szCs w:val="22"/>
        </w:rPr>
        <w:t xml:space="preserve">Používejte krytku jehly </w:t>
      </w:r>
      <w:r w:rsidRPr="002278BF">
        <w:rPr>
          <w:szCs w:val="22"/>
        </w:rPr>
        <w:t xml:space="preserve">až do okamžiku </w:t>
      </w:r>
      <w:r w:rsidR="00CE46C0" w:rsidRPr="002278BF">
        <w:rPr>
          <w:szCs w:val="22"/>
        </w:rPr>
        <w:t>podání přípravku</w:t>
      </w:r>
      <w:r w:rsidRPr="00FE3340">
        <w:rPr>
          <w:szCs w:val="22"/>
        </w:rPr>
        <w:t>.</w:t>
      </w:r>
    </w:p>
    <w:p w:rsidR="00AF7679" w:rsidRPr="00CE46C0" w:rsidRDefault="00AF7679" w:rsidP="002E0A5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AF7679" w:rsidRPr="00CE46C0" w:rsidRDefault="00AF7679" w:rsidP="002E0A5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44791">
        <w:rPr>
          <w:szCs w:val="22"/>
        </w:rPr>
        <w:t xml:space="preserve">V případě náhodného sebepoškození injekčně aplikovaným přípravkem vyhledejte </w:t>
      </w:r>
      <w:r w:rsidR="00CE46C0" w:rsidRPr="00344791">
        <w:rPr>
          <w:szCs w:val="22"/>
        </w:rPr>
        <w:t xml:space="preserve">ihned </w:t>
      </w:r>
      <w:r w:rsidRPr="00A51E29">
        <w:rPr>
          <w:szCs w:val="22"/>
        </w:rPr>
        <w:t xml:space="preserve">lékařskou pomoc a ukažte </w:t>
      </w:r>
      <w:r w:rsidR="00CE46C0" w:rsidRPr="00A51E29">
        <w:rPr>
          <w:szCs w:val="22"/>
        </w:rPr>
        <w:t>příbalovou informaci nebo etiketu praktickému lékaři</w:t>
      </w:r>
      <w:r w:rsidR="00CE46C0" w:rsidRPr="00F521AD">
        <w:rPr>
          <w:szCs w:val="22"/>
        </w:rPr>
        <w:t xml:space="preserve">, ale </w:t>
      </w:r>
      <w:r w:rsidRPr="00CE46C0">
        <w:rPr>
          <w:b/>
          <w:szCs w:val="22"/>
        </w:rPr>
        <w:t xml:space="preserve">NEŘIĎTE </w:t>
      </w:r>
      <w:r w:rsidR="00CE46C0" w:rsidRPr="00CE46C0">
        <w:rPr>
          <w:b/>
          <w:szCs w:val="22"/>
        </w:rPr>
        <w:t>MOTOROVÉ VOZIDLO</w:t>
      </w:r>
      <w:r w:rsidRPr="00CE46C0">
        <w:rPr>
          <w:b/>
          <w:szCs w:val="22"/>
        </w:rPr>
        <w:t xml:space="preserve">, </w:t>
      </w:r>
      <w:r w:rsidR="00CE46C0" w:rsidRPr="00CE46C0">
        <w:rPr>
          <w:b/>
          <w:szCs w:val="22"/>
        </w:rPr>
        <w:t xml:space="preserve">neboť </w:t>
      </w:r>
      <w:r w:rsidRPr="00CE46C0">
        <w:rPr>
          <w:b/>
          <w:szCs w:val="22"/>
        </w:rPr>
        <w:t>může dojít k </w:t>
      </w:r>
      <w:proofErr w:type="spellStart"/>
      <w:r w:rsidRPr="00CE46C0">
        <w:rPr>
          <w:b/>
          <w:szCs w:val="22"/>
        </w:rPr>
        <w:t>sedaci</w:t>
      </w:r>
      <w:proofErr w:type="spellEnd"/>
      <w:r w:rsidRPr="00CE46C0">
        <w:rPr>
          <w:b/>
          <w:szCs w:val="22"/>
        </w:rPr>
        <w:t>.</w:t>
      </w:r>
    </w:p>
    <w:p w:rsidR="00AF7679" w:rsidRPr="00CE46C0" w:rsidRDefault="00AF7679" w:rsidP="002E0A5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AF7679" w:rsidRPr="00CE46C0" w:rsidRDefault="002121F4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44791">
        <w:rPr>
          <w:szCs w:val="22"/>
        </w:rPr>
        <w:lastRenderedPageBreak/>
        <w:t xml:space="preserve">Tento </w:t>
      </w:r>
      <w:r w:rsidR="00157D7E">
        <w:t xml:space="preserve">veterinární léčivý </w:t>
      </w:r>
      <w:r w:rsidRPr="00344791">
        <w:rPr>
          <w:szCs w:val="22"/>
        </w:rPr>
        <w:t xml:space="preserve">přípravek může </w:t>
      </w:r>
      <w:r w:rsidR="00CE46C0" w:rsidRPr="00344791">
        <w:rPr>
          <w:szCs w:val="22"/>
        </w:rPr>
        <w:t xml:space="preserve">vyvolat </w:t>
      </w:r>
      <w:r w:rsidRPr="00344791">
        <w:rPr>
          <w:szCs w:val="22"/>
        </w:rPr>
        <w:t xml:space="preserve">hypersenzitivní (alergické) reakce u osob, které </w:t>
      </w:r>
      <w:r w:rsidR="00CE46C0" w:rsidRPr="00344791">
        <w:rPr>
          <w:szCs w:val="22"/>
        </w:rPr>
        <w:t xml:space="preserve">jsou citlivé </w:t>
      </w:r>
      <w:proofErr w:type="gramStart"/>
      <w:r w:rsidR="00CE46C0" w:rsidRPr="00344791">
        <w:rPr>
          <w:szCs w:val="22"/>
        </w:rPr>
        <w:t xml:space="preserve">na </w:t>
      </w:r>
      <w:r w:rsidRPr="00A51E29">
        <w:rPr>
          <w:szCs w:val="22"/>
        </w:rPr>
        <w:t xml:space="preserve"> </w:t>
      </w:r>
      <w:proofErr w:type="spellStart"/>
      <w:r w:rsidRPr="00A51E29">
        <w:rPr>
          <w:szCs w:val="22"/>
        </w:rPr>
        <w:t>propofol</w:t>
      </w:r>
      <w:proofErr w:type="spellEnd"/>
      <w:proofErr w:type="gramEnd"/>
      <w:r w:rsidRPr="00A51E29">
        <w:rPr>
          <w:szCs w:val="22"/>
        </w:rPr>
        <w:t>, sój</w:t>
      </w:r>
      <w:r w:rsidR="00CE46C0" w:rsidRPr="00A51E29">
        <w:rPr>
          <w:szCs w:val="22"/>
        </w:rPr>
        <w:t>u</w:t>
      </w:r>
      <w:r w:rsidRPr="00F521AD">
        <w:rPr>
          <w:szCs w:val="22"/>
        </w:rPr>
        <w:t xml:space="preserve"> nebo vejce. Lidé se známou přecitlivělostí na </w:t>
      </w:r>
      <w:r w:rsidR="00CE46C0" w:rsidRPr="00F521AD">
        <w:rPr>
          <w:szCs w:val="22"/>
        </w:rPr>
        <w:t>tyto látky</w:t>
      </w:r>
      <w:r w:rsidRPr="002278BF">
        <w:rPr>
          <w:szCs w:val="22"/>
        </w:rPr>
        <w:t xml:space="preserve"> by se měli vyhnout kontaktu s veterinárním léčivým přípravkem.</w:t>
      </w:r>
    </w:p>
    <w:p w:rsidR="00AF7679" w:rsidRPr="00CE46C0" w:rsidRDefault="00AF7679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AF7679" w:rsidRPr="00CE46C0" w:rsidRDefault="00CE46C0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44791">
        <w:rPr>
          <w:szCs w:val="22"/>
        </w:rPr>
        <w:t xml:space="preserve">Zabraňte </w:t>
      </w:r>
      <w:r w:rsidR="00AF7679" w:rsidRPr="00344791">
        <w:rPr>
          <w:szCs w:val="22"/>
        </w:rPr>
        <w:t xml:space="preserve">kontaktu s pokožkou a očima, </w:t>
      </w:r>
      <w:r w:rsidRPr="00344791">
        <w:rPr>
          <w:szCs w:val="22"/>
        </w:rPr>
        <w:t xml:space="preserve">jelikož </w:t>
      </w:r>
      <w:r w:rsidR="00BE4B0A">
        <w:t>veterinární léčivý</w:t>
      </w:r>
      <w:r w:rsidR="00AF7679" w:rsidRPr="00A51E29">
        <w:rPr>
          <w:szCs w:val="22"/>
        </w:rPr>
        <w:t xml:space="preserve"> p</w:t>
      </w:r>
      <w:r w:rsidRPr="007152EB">
        <w:rPr>
          <w:szCs w:val="22"/>
        </w:rPr>
        <w:t>řípravek</w:t>
      </w:r>
      <w:r w:rsidR="00AF7679" w:rsidRPr="007152EB">
        <w:rPr>
          <w:szCs w:val="22"/>
        </w:rPr>
        <w:t xml:space="preserve"> může </w:t>
      </w:r>
      <w:r w:rsidR="004D56D6">
        <w:rPr>
          <w:szCs w:val="22"/>
        </w:rPr>
        <w:t>vyvolat</w:t>
      </w:r>
      <w:r w:rsidR="004D56D6" w:rsidRPr="007152EB">
        <w:rPr>
          <w:szCs w:val="22"/>
        </w:rPr>
        <w:t xml:space="preserve"> </w:t>
      </w:r>
      <w:r w:rsidR="00AF7679" w:rsidRPr="007152EB">
        <w:rPr>
          <w:szCs w:val="22"/>
        </w:rPr>
        <w:t>podráždění</w:t>
      </w:r>
      <w:r w:rsidR="00AF7679" w:rsidRPr="00CE46C0">
        <w:rPr>
          <w:szCs w:val="22"/>
        </w:rPr>
        <w:t>.</w:t>
      </w:r>
    </w:p>
    <w:p w:rsidR="00AF7679" w:rsidRPr="00CE46C0" w:rsidRDefault="00AF7679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C114FF" w:rsidRPr="00CE46C0" w:rsidRDefault="00AF7679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44791">
        <w:rPr>
          <w:szCs w:val="22"/>
        </w:rPr>
        <w:t>V</w:t>
      </w:r>
      <w:r w:rsidR="00CE46C0" w:rsidRPr="00344791">
        <w:rPr>
          <w:szCs w:val="22"/>
        </w:rPr>
        <w:t> </w:t>
      </w:r>
      <w:r w:rsidRPr="00344791">
        <w:rPr>
          <w:szCs w:val="22"/>
        </w:rPr>
        <w:t>případě</w:t>
      </w:r>
      <w:r w:rsidR="00CE46C0" w:rsidRPr="00A51E29">
        <w:rPr>
          <w:szCs w:val="22"/>
        </w:rPr>
        <w:t xml:space="preserve"> </w:t>
      </w:r>
      <w:proofErr w:type="gramStart"/>
      <w:r w:rsidR="00CE46C0" w:rsidRPr="00A51E29">
        <w:rPr>
          <w:szCs w:val="22"/>
        </w:rPr>
        <w:t xml:space="preserve">potřísnění </w:t>
      </w:r>
      <w:r w:rsidRPr="00A51E29">
        <w:rPr>
          <w:szCs w:val="22"/>
        </w:rPr>
        <w:t xml:space="preserve"> pokožky</w:t>
      </w:r>
      <w:proofErr w:type="gramEnd"/>
      <w:r w:rsidRPr="00A51E29">
        <w:rPr>
          <w:szCs w:val="22"/>
        </w:rPr>
        <w:t xml:space="preserve"> nebo očí, </w:t>
      </w:r>
      <w:r w:rsidR="00CE46C0" w:rsidRPr="00A51E29">
        <w:rPr>
          <w:szCs w:val="22"/>
        </w:rPr>
        <w:t>ihned</w:t>
      </w:r>
      <w:r w:rsidRPr="00F521AD">
        <w:rPr>
          <w:szCs w:val="22"/>
        </w:rPr>
        <w:t xml:space="preserve"> umyjte zasažené místo velkým množstvím </w:t>
      </w:r>
      <w:r w:rsidR="00CE46C0" w:rsidRPr="002278BF">
        <w:rPr>
          <w:szCs w:val="22"/>
        </w:rPr>
        <w:t>čisté</w:t>
      </w:r>
      <w:r w:rsidRPr="00FE3340">
        <w:rPr>
          <w:szCs w:val="22"/>
        </w:rPr>
        <w:t xml:space="preserve"> vody. Pokud podráždění přetrvává, vyhledejte lékařskou pomoc</w:t>
      </w:r>
      <w:r w:rsidR="00BE4B0A">
        <w:rPr>
          <w:szCs w:val="22"/>
        </w:rPr>
        <w:t xml:space="preserve"> a </w:t>
      </w:r>
      <w:proofErr w:type="gramStart"/>
      <w:r w:rsidR="00BE4B0A">
        <w:rPr>
          <w:szCs w:val="22"/>
        </w:rPr>
        <w:t>ukažte  příbalovou</w:t>
      </w:r>
      <w:proofErr w:type="gramEnd"/>
      <w:r w:rsidR="00BE4B0A">
        <w:rPr>
          <w:szCs w:val="22"/>
        </w:rPr>
        <w:t xml:space="preserve"> informaci/etiketu lékaři.</w:t>
      </w:r>
    </w:p>
    <w:p w:rsidR="002121F4" w:rsidRPr="00CE46C0" w:rsidRDefault="002121F4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C114FF" w:rsidRPr="00785BB9" w:rsidRDefault="00C114FF" w:rsidP="0028381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szCs w:val="22"/>
        </w:rPr>
      </w:pPr>
      <w:r w:rsidRPr="00785BB9">
        <w:rPr>
          <w:b/>
          <w:szCs w:val="22"/>
        </w:rPr>
        <w:t>Pro lékaře:</w:t>
      </w:r>
    </w:p>
    <w:p w:rsidR="00C114FF" w:rsidRDefault="00AF7679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44791">
        <w:rPr>
          <w:szCs w:val="22"/>
        </w:rPr>
        <w:t>Nenechávejte pacienta bez dozoru. Udržujte průchodnost dýchacích cest a poskytujte symptomatickou a podpůrnou léčbu.</w:t>
      </w:r>
    </w:p>
    <w:p w:rsidR="00FC4D5B" w:rsidRDefault="00FC4D5B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C4D5B" w:rsidRDefault="00FC4D5B" w:rsidP="000D1EC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E0A5E">
        <w:rPr>
          <w:szCs w:val="22"/>
          <w:u w:val="single"/>
        </w:rPr>
        <w:t>Zvláštní opatření pro ochranu životního prostředí:</w:t>
      </w:r>
    </w:p>
    <w:p w:rsidR="00FC4D5B" w:rsidRDefault="00FC4D5B" w:rsidP="000D1EC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:rsidR="00FC4D5B" w:rsidRPr="00FC4D5B" w:rsidRDefault="00FC4D5B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Neuplatňuje se.</w:t>
      </w:r>
    </w:p>
    <w:p w:rsidR="00AF7679" w:rsidRPr="00474C50" w:rsidRDefault="00AF7679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9F0DF5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>3</w:t>
      </w:r>
      <w:r w:rsidR="00185B50">
        <w:rPr>
          <w:b/>
          <w:szCs w:val="22"/>
        </w:rPr>
        <w:t>.6</w:t>
      </w:r>
      <w:r w:rsidR="00185B50">
        <w:rPr>
          <w:b/>
          <w:szCs w:val="22"/>
        </w:rPr>
        <w:tab/>
        <w:t xml:space="preserve">Nežádoucí účinky </w:t>
      </w:r>
    </w:p>
    <w:p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6142B0" w:rsidRDefault="009F0DF5" w:rsidP="002121F4">
      <w:pPr>
        <w:tabs>
          <w:tab w:val="clear" w:pos="567"/>
        </w:tabs>
        <w:spacing w:line="240" w:lineRule="auto"/>
      </w:pPr>
      <w:r>
        <w:t>Psi</w:t>
      </w:r>
    </w:p>
    <w:p w:rsidR="006142B0" w:rsidRDefault="006142B0" w:rsidP="002121F4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240"/>
      </w:tblGrid>
      <w:tr w:rsidR="006142B0" w:rsidRPr="009F370A" w:rsidTr="000649B7">
        <w:tc>
          <w:tcPr>
            <w:tcW w:w="1102" w:type="pct"/>
          </w:tcPr>
          <w:p w:rsidR="006142B0" w:rsidRDefault="006142B0" w:rsidP="000649B7">
            <w:r>
              <w:t>Velmi časté</w:t>
            </w:r>
          </w:p>
          <w:p w:rsidR="006142B0" w:rsidRPr="009F370A" w:rsidRDefault="006142B0" w:rsidP="000649B7">
            <w:r w:rsidRPr="009F370A">
              <w:t>(</w:t>
            </w:r>
            <w:r>
              <w:t>&gt;</w:t>
            </w:r>
            <w:r w:rsidRPr="009F370A">
              <w:t xml:space="preserve">1 </w:t>
            </w:r>
            <w:r>
              <w:t>zvíře</w:t>
            </w:r>
            <w:r w:rsidRPr="009F370A">
              <w:t xml:space="preserve"> / 10 </w:t>
            </w:r>
            <w:r>
              <w:t>ošetřených zvířat)</w:t>
            </w:r>
          </w:p>
        </w:tc>
        <w:tc>
          <w:tcPr>
            <w:tcW w:w="3898" w:type="pct"/>
          </w:tcPr>
          <w:p w:rsidR="006142B0" w:rsidRPr="00DA354B" w:rsidRDefault="006142B0" w:rsidP="000649B7">
            <w:pPr>
              <w:rPr>
                <w:bCs/>
              </w:rPr>
            </w:pPr>
            <w:r w:rsidRPr="00DA354B">
              <w:rPr>
                <w:bCs/>
              </w:rPr>
              <w:t>Apnoe</w:t>
            </w:r>
          </w:p>
        </w:tc>
      </w:tr>
      <w:tr w:rsidR="006142B0" w:rsidRPr="009F370A" w:rsidTr="000649B7">
        <w:tc>
          <w:tcPr>
            <w:tcW w:w="1102" w:type="pct"/>
          </w:tcPr>
          <w:p w:rsidR="006142B0" w:rsidRDefault="006142B0" w:rsidP="000649B7">
            <w:r>
              <w:t xml:space="preserve">Časté </w:t>
            </w:r>
          </w:p>
          <w:p w:rsidR="006142B0" w:rsidRPr="009F370A" w:rsidRDefault="006142B0" w:rsidP="000649B7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</w:tcPr>
          <w:p w:rsidR="006142B0" w:rsidRPr="00DA354B" w:rsidRDefault="006142B0" w:rsidP="000649B7">
            <w:pPr>
              <w:rPr>
                <w:bCs/>
              </w:rPr>
            </w:pPr>
            <w:r>
              <w:t>Excitace, arytmie, bradykardie, hypotenze, hypertenze</w:t>
            </w:r>
            <w:r w:rsidRPr="00E6208A">
              <w:rPr>
                <w:vertAlign w:val="superscript"/>
                <w:lang w:val="en-GB"/>
              </w:rPr>
              <w:t>a</w:t>
            </w:r>
            <w:r>
              <w:t xml:space="preserve">, zvracení, </w:t>
            </w:r>
            <w:proofErr w:type="spellStart"/>
            <w:r>
              <w:t>hypersalivace</w:t>
            </w:r>
            <w:proofErr w:type="spellEnd"/>
            <w:r>
              <w:t xml:space="preserve">, </w:t>
            </w:r>
            <w:proofErr w:type="gramStart"/>
            <w:r>
              <w:t>říhání,  pohybování</w:t>
            </w:r>
            <w:proofErr w:type="gramEnd"/>
            <w:r>
              <w:t xml:space="preserve"> končetinami, </w:t>
            </w:r>
            <w:proofErr w:type="spellStart"/>
            <w:r>
              <w:t>myoklonus</w:t>
            </w:r>
            <w:proofErr w:type="spellEnd"/>
            <w:r>
              <w:t xml:space="preserve">, nystagmus, </w:t>
            </w:r>
            <w:proofErr w:type="spellStart"/>
            <w:r>
              <w:t>opistotonus</w:t>
            </w:r>
            <w:proofErr w:type="spellEnd"/>
            <w:r>
              <w:t xml:space="preserve">, </w:t>
            </w:r>
            <w:r w:rsidRPr="0069286C">
              <w:t>p</w:t>
            </w:r>
            <w:r>
              <w:t>rodloužené</w:t>
            </w:r>
            <w:r w:rsidRPr="0069286C">
              <w:t xml:space="preserve"> zotavování</w:t>
            </w:r>
            <w:r w:rsidRPr="00E6208A">
              <w:rPr>
                <w:vertAlign w:val="superscript"/>
                <w:lang w:val="en-US"/>
              </w:rPr>
              <w:t>b</w:t>
            </w:r>
            <w:r>
              <w:t xml:space="preserve">, </w:t>
            </w:r>
            <w:r w:rsidRPr="0069286C">
              <w:t xml:space="preserve">kýchání, mnutí </w:t>
            </w:r>
            <w:r w:rsidR="008175E4">
              <w:t>obličeje</w:t>
            </w:r>
            <w:r w:rsidRPr="0069286C">
              <w:t>/nosu</w:t>
            </w:r>
          </w:p>
        </w:tc>
      </w:tr>
      <w:tr w:rsidR="006142B0" w:rsidRPr="009F370A" w:rsidTr="000649B7">
        <w:tc>
          <w:tcPr>
            <w:tcW w:w="1102" w:type="pct"/>
          </w:tcPr>
          <w:p w:rsidR="006142B0" w:rsidRPr="009F370A" w:rsidRDefault="006142B0" w:rsidP="000649B7">
            <w:r>
              <w:t xml:space="preserve">Méně časté </w:t>
            </w:r>
          </w:p>
          <w:p w:rsidR="006142B0" w:rsidRPr="009F370A" w:rsidRDefault="006142B0" w:rsidP="000649B7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  <w:hideMark/>
          </w:tcPr>
          <w:p w:rsidR="006142B0" w:rsidRPr="009F370A" w:rsidRDefault="006142B0" w:rsidP="000649B7">
            <w:r>
              <w:t>Z</w:t>
            </w:r>
            <w:r w:rsidRPr="00E13A7D">
              <w:t>výšení glukózy</w:t>
            </w:r>
            <w:r w:rsidRPr="00354209">
              <w:t xml:space="preserve"> v krvi</w:t>
            </w:r>
            <w:r w:rsidRPr="000A1D5C">
              <w:t>, bolest</w:t>
            </w:r>
            <w:r w:rsidRPr="0069286C">
              <w:t>ivost v místě intravenózního</w:t>
            </w:r>
            <w:r>
              <w:t xml:space="preserve"> podání</w:t>
            </w:r>
            <w:r w:rsidRPr="00E6208A">
              <w:rPr>
                <w:vertAlign w:val="superscript"/>
                <w:lang w:val="en-GB"/>
              </w:rPr>
              <w:t>c</w:t>
            </w:r>
            <w:r w:rsidRPr="009F370A">
              <w:t xml:space="preserve"> </w:t>
            </w:r>
          </w:p>
          <w:p w:rsidR="006142B0" w:rsidRPr="009F370A" w:rsidRDefault="006142B0" w:rsidP="000649B7">
            <w:r w:rsidRPr="009F370A">
              <w:t xml:space="preserve"> </w:t>
            </w:r>
          </w:p>
        </w:tc>
      </w:tr>
    </w:tbl>
    <w:p w:rsidR="006142B0" w:rsidRDefault="006142B0" w:rsidP="002121F4">
      <w:pPr>
        <w:tabs>
          <w:tab w:val="clear" w:pos="567"/>
        </w:tabs>
        <w:spacing w:line="240" w:lineRule="auto"/>
      </w:pPr>
    </w:p>
    <w:p w:rsidR="002121F4" w:rsidRDefault="006142B0" w:rsidP="00283815">
      <w:pPr>
        <w:tabs>
          <w:tab w:val="clear" w:pos="567"/>
        </w:tabs>
        <w:spacing w:line="240" w:lineRule="auto"/>
        <w:jc w:val="both"/>
      </w:pPr>
      <w:r w:rsidRPr="00E6208A">
        <w:rPr>
          <w:vertAlign w:val="superscript"/>
          <w:lang w:val="en-GB"/>
        </w:rPr>
        <w:t>a</w:t>
      </w:r>
      <w:r>
        <w:rPr>
          <w:vertAlign w:val="superscript"/>
          <w:lang w:val="en-GB"/>
        </w:rPr>
        <w:t xml:space="preserve"> </w:t>
      </w:r>
      <w:r w:rsidR="00D70555" w:rsidRPr="0069286C">
        <w:t xml:space="preserve">Pokud je </w:t>
      </w:r>
      <w:proofErr w:type="spellStart"/>
      <w:r w:rsidR="00D70555" w:rsidRPr="0069286C">
        <w:t>propofol</w:t>
      </w:r>
      <w:proofErr w:type="spellEnd"/>
      <w:r w:rsidR="00D70555" w:rsidRPr="0069286C">
        <w:t xml:space="preserve"> používán bez premedikace jako</w:t>
      </w:r>
      <w:r w:rsidR="00D70555" w:rsidRPr="00D70555">
        <w:t xml:space="preserve"> jediná látka vyvolávající anest</w:t>
      </w:r>
      <w:r w:rsidR="00477817">
        <w:t>é</w:t>
      </w:r>
      <w:r w:rsidR="00D70555" w:rsidRPr="00D70555">
        <w:t>zii, může být u psů pozorováno krátké přechodné zvýšení arteriálního krevního tlaku.</w:t>
      </w:r>
    </w:p>
    <w:p w:rsidR="006142B0" w:rsidRDefault="006142B0" w:rsidP="00283815">
      <w:pPr>
        <w:tabs>
          <w:tab w:val="clear" w:pos="567"/>
        </w:tabs>
        <w:spacing w:line="240" w:lineRule="auto"/>
        <w:jc w:val="both"/>
        <w:rPr>
          <w:szCs w:val="22"/>
          <w:lang w:val="en-US"/>
        </w:rPr>
      </w:pPr>
      <w:r w:rsidRPr="00E6208A">
        <w:rPr>
          <w:szCs w:val="22"/>
          <w:vertAlign w:val="superscript"/>
          <w:lang w:val="en-US"/>
        </w:rPr>
        <w:t>b</w:t>
      </w:r>
      <w:r>
        <w:rPr>
          <w:szCs w:val="22"/>
          <w:vertAlign w:val="superscript"/>
          <w:lang w:val="en-US"/>
        </w:rPr>
        <w:t xml:space="preserve"> </w:t>
      </w:r>
      <w:proofErr w:type="spellStart"/>
      <w:r>
        <w:rPr>
          <w:szCs w:val="22"/>
          <w:lang w:val="en-US"/>
        </w:rPr>
        <w:t>Pomalé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zotavování</w:t>
      </w:r>
      <w:proofErr w:type="spellEnd"/>
      <w:r>
        <w:rPr>
          <w:szCs w:val="22"/>
          <w:lang w:val="en-US"/>
        </w:rPr>
        <w:t>.</w:t>
      </w:r>
    </w:p>
    <w:p w:rsidR="006142B0" w:rsidRPr="00E6208A" w:rsidRDefault="006142B0" w:rsidP="00283815">
      <w:pPr>
        <w:tabs>
          <w:tab w:val="clear" w:pos="567"/>
        </w:tabs>
        <w:spacing w:line="240" w:lineRule="auto"/>
        <w:jc w:val="both"/>
        <w:rPr>
          <w:szCs w:val="22"/>
          <w:lang w:val="en-US"/>
        </w:rPr>
      </w:pPr>
      <w:r w:rsidRPr="00E6208A">
        <w:rPr>
          <w:szCs w:val="22"/>
          <w:vertAlign w:val="superscript"/>
          <w:lang w:val="en-GB"/>
        </w:rPr>
        <w:t>c</w:t>
      </w:r>
      <w:r>
        <w:rPr>
          <w:szCs w:val="22"/>
          <w:lang w:val="en-GB"/>
        </w:rPr>
        <w:t xml:space="preserve"> Po </w:t>
      </w:r>
      <w:proofErr w:type="spellStart"/>
      <w:r>
        <w:rPr>
          <w:szCs w:val="22"/>
          <w:lang w:val="en-GB"/>
        </w:rPr>
        <w:t>intravenozním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podání</w:t>
      </w:r>
      <w:proofErr w:type="spellEnd"/>
      <w:r>
        <w:rPr>
          <w:szCs w:val="22"/>
          <w:lang w:val="en-GB"/>
        </w:rPr>
        <w:t>.</w:t>
      </w:r>
    </w:p>
    <w:p w:rsidR="006142B0" w:rsidRDefault="006142B0" w:rsidP="006142B0">
      <w:pPr>
        <w:tabs>
          <w:tab w:val="clear" w:pos="567"/>
        </w:tabs>
        <w:spacing w:line="240" w:lineRule="auto"/>
      </w:pPr>
    </w:p>
    <w:p w:rsidR="006142B0" w:rsidRDefault="006142B0" w:rsidP="006142B0">
      <w:pPr>
        <w:tabs>
          <w:tab w:val="clear" w:pos="567"/>
        </w:tabs>
        <w:spacing w:line="240" w:lineRule="auto"/>
      </w:pPr>
      <w:r>
        <w:t>Kočky</w:t>
      </w:r>
    </w:p>
    <w:p w:rsidR="006142B0" w:rsidRDefault="006142B0" w:rsidP="006142B0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240"/>
      </w:tblGrid>
      <w:tr w:rsidR="006142B0" w:rsidRPr="009F370A" w:rsidTr="000649B7">
        <w:tc>
          <w:tcPr>
            <w:tcW w:w="1102" w:type="pct"/>
          </w:tcPr>
          <w:p w:rsidR="006142B0" w:rsidRDefault="006142B0" w:rsidP="000649B7">
            <w:r>
              <w:t>Velmi časté</w:t>
            </w:r>
          </w:p>
          <w:p w:rsidR="006142B0" w:rsidRPr="009F370A" w:rsidRDefault="006142B0" w:rsidP="000649B7">
            <w:r w:rsidRPr="009F370A">
              <w:t>(</w:t>
            </w:r>
            <w:r>
              <w:t>&gt;</w:t>
            </w:r>
            <w:r w:rsidRPr="009F370A">
              <w:t xml:space="preserve">1 </w:t>
            </w:r>
            <w:r>
              <w:t>zvíře</w:t>
            </w:r>
            <w:r w:rsidRPr="009F370A">
              <w:t xml:space="preserve"> / 10 </w:t>
            </w:r>
            <w:r>
              <w:t>ošetřených zvířat)</w:t>
            </w:r>
          </w:p>
        </w:tc>
        <w:tc>
          <w:tcPr>
            <w:tcW w:w="3898" w:type="pct"/>
          </w:tcPr>
          <w:p w:rsidR="006142B0" w:rsidRPr="00DA354B" w:rsidRDefault="006142B0" w:rsidP="000649B7">
            <w:pPr>
              <w:rPr>
                <w:bCs/>
              </w:rPr>
            </w:pPr>
            <w:r w:rsidRPr="00DA354B">
              <w:rPr>
                <w:bCs/>
              </w:rPr>
              <w:t>Apnoe</w:t>
            </w:r>
          </w:p>
        </w:tc>
      </w:tr>
      <w:tr w:rsidR="006142B0" w:rsidRPr="009F370A" w:rsidTr="000649B7">
        <w:tc>
          <w:tcPr>
            <w:tcW w:w="1102" w:type="pct"/>
          </w:tcPr>
          <w:p w:rsidR="006142B0" w:rsidRDefault="006142B0" w:rsidP="000649B7">
            <w:r>
              <w:t xml:space="preserve">Časté </w:t>
            </w:r>
          </w:p>
          <w:p w:rsidR="006142B0" w:rsidRPr="009F370A" w:rsidRDefault="006142B0" w:rsidP="000649B7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</w:tcPr>
          <w:p w:rsidR="006142B0" w:rsidRPr="00DA354B" w:rsidRDefault="006142B0" w:rsidP="000649B7">
            <w:pPr>
              <w:rPr>
                <w:bCs/>
              </w:rPr>
            </w:pPr>
            <w:r>
              <w:t xml:space="preserve">Excitace, arytmie, bradykardie, hypotenze, zvracení, </w:t>
            </w:r>
            <w:proofErr w:type="spellStart"/>
            <w:r>
              <w:t>hypersalivace</w:t>
            </w:r>
            <w:proofErr w:type="spellEnd"/>
            <w:r>
              <w:t xml:space="preserve">, </w:t>
            </w:r>
            <w:proofErr w:type="gramStart"/>
            <w:r>
              <w:t>říhání,  pohybování</w:t>
            </w:r>
            <w:proofErr w:type="gramEnd"/>
            <w:r>
              <w:t xml:space="preserve"> končetinami, </w:t>
            </w:r>
            <w:proofErr w:type="spellStart"/>
            <w:r>
              <w:t>myoklonus</w:t>
            </w:r>
            <w:proofErr w:type="spellEnd"/>
            <w:r>
              <w:t xml:space="preserve">, nystagmus, </w:t>
            </w:r>
            <w:proofErr w:type="spellStart"/>
            <w:r>
              <w:t>opistotonus</w:t>
            </w:r>
            <w:proofErr w:type="spellEnd"/>
            <w:r>
              <w:t xml:space="preserve">, </w:t>
            </w:r>
            <w:r w:rsidRPr="0069286C">
              <w:t>p</w:t>
            </w:r>
            <w:r>
              <w:t>rodloužené</w:t>
            </w:r>
            <w:r w:rsidRPr="0069286C">
              <w:t xml:space="preserve"> zotavování</w:t>
            </w:r>
            <w:r>
              <w:t xml:space="preserve">, </w:t>
            </w:r>
            <w:r w:rsidRPr="0069286C">
              <w:t xml:space="preserve">kýchání, mnutí </w:t>
            </w:r>
            <w:r w:rsidR="008175E4">
              <w:t>obličeje</w:t>
            </w:r>
            <w:r w:rsidRPr="0069286C">
              <w:t>/nosu</w:t>
            </w:r>
          </w:p>
        </w:tc>
      </w:tr>
      <w:tr w:rsidR="006142B0" w:rsidRPr="009F370A" w:rsidTr="000649B7">
        <w:tc>
          <w:tcPr>
            <w:tcW w:w="1102" w:type="pct"/>
          </w:tcPr>
          <w:p w:rsidR="006142B0" w:rsidRPr="009F370A" w:rsidRDefault="006142B0" w:rsidP="000649B7">
            <w:r>
              <w:t xml:space="preserve">Méně časté </w:t>
            </w:r>
          </w:p>
          <w:p w:rsidR="006142B0" w:rsidRPr="009F370A" w:rsidRDefault="006142B0" w:rsidP="000649B7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  <w:hideMark/>
          </w:tcPr>
          <w:p w:rsidR="006142B0" w:rsidRPr="000649B7" w:rsidRDefault="006142B0" w:rsidP="000649B7">
            <w:pPr>
              <w:rPr>
                <w:b/>
              </w:rPr>
            </w:pPr>
            <w:r w:rsidRPr="008A63CF">
              <w:t>Bolestivost v místě intravenózního</w:t>
            </w:r>
            <w:r w:rsidRPr="008F66AE">
              <w:t xml:space="preserve"> podání</w:t>
            </w:r>
            <w:r w:rsidRPr="008F66AE">
              <w:rPr>
                <w:vertAlign w:val="superscript"/>
                <w:lang w:val="en-GB"/>
              </w:rPr>
              <w:t xml:space="preserve"> a</w:t>
            </w:r>
            <w:r w:rsidRPr="008F66AE">
              <w:rPr>
                <w:lang w:val="en-GB"/>
              </w:rPr>
              <w:t xml:space="preserve">, </w:t>
            </w:r>
            <w:proofErr w:type="spellStart"/>
            <w:r w:rsidRPr="008F66AE">
              <w:rPr>
                <w:lang w:val="en-GB"/>
              </w:rPr>
              <w:t>průjem</w:t>
            </w:r>
            <w:proofErr w:type="spellEnd"/>
            <w:r w:rsidRPr="000649B7">
              <w:rPr>
                <w:vertAlign w:val="superscript"/>
              </w:rPr>
              <w:t>b</w:t>
            </w:r>
            <w:r w:rsidRPr="008A63CF">
              <w:rPr>
                <w:lang w:val="en-GB"/>
              </w:rPr>
              <w:t xml:space="preserve">, </w:t>
            </w:r>
            <w:proofErr w:type="spellStart"/>
            <w:r w:rsidRPr="008A63CF">
              <w:rPr>
                <w:lang w:val="en-GB"/>
              </w:rPr>
              <w:t>otok</w:t>
            </w:r>
            <w:proofErr w:type="spellEnd"/>
            <w:r w:rsidRPr="008A63CF">
              <w:rPr>
                <w:lang w:val="en-GB"/>
              </w:rPr>
              <w:t xml:space="preserve"> </w:t>
            </w:r>
            <w:proofErr w:type="spellStart"/>
            <w:proofErr w:type="gramStart"/>
            <w:r w:rsidRPr="008A63CF">
              <w:rPr>
                <w:lang w:val="en-GB"/>
              </w:rPr>
              <w:t>obličeje</w:t>
            </w:r>
            <w:r w:rsidRPr="008A63CF">
              <w:rPr>
                <w:vertAlign w:val="superscript"/>
                <w:lang w:val="en-GB"/>
              </w:rPr>
              <w:t>b,c</w:t>
            </w:r>
            <w:proofErr w:type="spellEnd"/>
            <w:proofErr w:type="gramEnd"/>
            <w:r w:rsidRPr="008A63CF">
              <w:rPr>
                <w:lang w:val="en-GB"/>
              </w:rPr>
              <w:t>, z</w:t>
            </w:r>
            <w:r w:rsidRPr="008A63CF">
              <w:t>v</w:t>
            </w:r>
            <w:r w:rsidRPr="008F66AE">
              <w:t>ýšení glukózy v krvi, anémie</w:t>
            </w:r>
            <w:r w:rsidR="00A504FC">
              <w:t xml:space="preserve"> z </w:t>
            </w:r>
            <w:r>
              <w:t>tvorb</w:t>
            </w:r>
            <w:r w:rsidR="00A504FC">
              <w:t>y</w:t>
            </w:r>
            <w:r>
              <w:t xml:space="preserve"> </w:t>
            </w:r>
            <w:r w:rsidRPr="008F66AE">
              <w:t xml:space="preserve">Heinzových </w:t>
            </w:r>
            <w:proofErr w:type="spellStart"/>
            <w:r w:rsidRPr="008F66AE">
              <w:t>tělísek</w:t>
            </w:r>
            <w:r w:rsidRPr="000649B7">
              <w:rPr>
                <w:vertAlign w:val="superscript"/>
              </w:rPr>
              <w:t>b</w:t>
            </w:r>
            <w:proofErr w:type="spellEnd"/>
            <w:r w:rsidRPr="008A63CF">
              <w:t xml:space="preserve">, </w:t>
            </w:r>
            <w:proofErr w:type="spellStart"/>
            <w:r w:rsidRPr="008A63CF">
              <w:t>anorexie</w:t>
            </w:r>
            <w:r w:rsidRPr="000649B7">
              <w:rPr>
                <w:vertAlign w:val="superscript"/>
              </w:rPr>
              <w:t>b</w:t>
            </w:r>
            <w:proofErr w:type="spellEnd"/>
          </w:p>
          <w:p w:rsidR="006142B0" w:rsidRPr="009F370A" w:rsidRDefault="006142B0" w:rsidP="000649B7">
            <w:r w:rsidRPr="009F370A">
              <w:t xml:space="preserve"> </w:t>
            </w:r>
          </w:p>
        </w:tc>
      </w:tr>
    </w:tbl>
    <w:p w:rsidR="006142B0" w:rsidRDefault="006142B0" w:rsidP="006142B0">
      <w:pPr>
        <w:tabs>
          <w:tab w:val="clear" w:pos="567"/>
        </w:tabs>
        <w:spacing w:line="240" w:lineRule="auto"/>
      </w:pPr>
    </w:p>
    <w:p w:rsidR="006142B0" w:rsidRPr="002121F4" w:rsidRDefault="006142B0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6208A">
        <w:rPr>
          <w:vertAlign w:val="superscript"/>
          <w:lang w:val="en-GB"/>
        </w:rPr>
        <w:t>a</w:t>
      </w:r>
      <w:r>
        <w:rPr>
          <w:lang w:val="en-GB"/>
        </w:rPr>
        <w:t xml:space="preserve"> </w:t>
      </w:r>
      <w:r>
        <w:rPr>
          <w:szCs w:val="22"/>
          <w:lang w:val="en-GB"/>
        </w:rPr>
        <w:t xml:space="preserve">Po </w:t>
      </w:r>
      <w:proofErr w:type="spellStart"/>
      <w:r>
        <w:rPr>
          <w:szCs w:val="22"/>
          <w:lang w:val="en-GB"/>
        </w:rPr>
        <w:t>intravenozním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podání</w:t>
      </w:r>
      <w:proofErr w:type="spellEnd"/>
    </w:p>
    <w:p w:rsidR="00FC4D5B" w:rsidRPr="002121F4" w:rsidRDefault="00FC4D5B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C4D5B" w:rsidRDefault="006142B0" w:rsidP="00283815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0649B7">
        <w:rPr>
          <w:vertAlign w:val="superscript"/>
        </w:rPr>
        <w:t xml:space="preserve">b </w:t>
      </w:r>
      <w:r>
        <w:rPr>
          <w:vertAlign w:val="superscript"/>
        </w:rPr>
        <w:t xml:space="preserve"> </w:t>
      </w:r>
      <w:r w:rsidR="002121F4">
        <w:t>U</w:t>
      </w:r>
      <w:proofErr w:type="gramEnd"/>
      <w:r w:rsidR="002121F4">
        <w:t xml:space="preserve"> koček</w:t>
      </w:r>
      <w:r w:rsidR="00FA230A">
        <w:t xml:space="preserve"> podstupujících</w:t>
      </w:r>
      <w:r w:rsidR="00FC4D5B">
        <w:t xml:space="preserve"> </w:t>
      </w:r>
      <w:r w:rsidR="002121F4">
        <w:t>opakovan</w:t>
      </w:r>
      <w:r w:rsidR="00FA230A">
        <w:t>ou</w:t>
      </w:r>
      <w:r w:rsidR="002121F4">
        <w:t xml:space="preserve"> anest</w:t>
      </w:r>
      <w:r w:rsidR="00477817">
        <w:t>é</w:t>
      </w:r>
      <w:r w:rsidR="002121F4">
        <w:t>zii. Omezení opakované anest</w:t>
      </w:r>
      <w:r w:rsidR="00477817">
        <w:t>é</w:t>
      </w:r>
      <w:r w:rsidR="002121F4">
        <w:t>zie na intervaly delší než 48 hodin sníží pravděpodobnost výskytů těchto účinků.</w:t>
      </w:r>
      <w:r>
        <w:t xml:space="preserve"> </w:t>
      </w:r>
      <w:r w:rsidR="002121F4">
        <w:t>Tyto účinky jsou obecně přechodné a samy odezní.</w:t>
      </w:r>
    </w:p>
    <w:p w:rsidR="006142B0" w:rsidRPr="008F66AE" w:rsidRDefault="006142B0" w:rsidP="006142B0">
      <w:pPr>
        <w:tabs>
          <w:tab w:val="clear" w:pos="567"/>
        </w:tabs>
        <w:spacing w:line="240" w:lineRule="auto"/>
        <w:rPr>
          <w:szCs w:val="22"/>
        </w:rPr>
      </w:pPr>
      <w:r w:rsidRPr="008A63CF">
        <w:rPr>
          <w:vertAlign w:val="superscript"/>
          <w:lang w:val="en-GB"/>
        </w:rPr>
        <w:lastRenderedPageBreak/>
        <w:t>c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Mírný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otok</w:t>
      </w:r>
      <w:proofErr w:type="spellEnd"/>
      <w:r>
        <w:rPr>
          <w:lang w:val="en-GB"/>
        </w:rPr>
        <w:t xml:space="preserve"> </w:t>
      </w:r>
      <w:proofErr w:type="spellStart"/>
      <w:r w:rsidR="008175E4">
        <w:rPr>
          <w:lang w:val="en-GB"/>
        </w:rPr>
        <w:t>obličeje</w:t>
      </w:r>
      <w:proofErr w:type="spellEnd"/>
      <w:r>
        <w:rPr>
          <w:lang w:val="en-GB"/>
        </w:rPr>
        <w:t>.</w:t>
      </w:r>
    </w:p>
    <w:p w:rsidR="006142B0" w:rsidRDefault="006142B0" w:rsidP="00FC4D5B">
      <w:pPr>
        <w:tabs>
          <w:tab w:val="clear" w:pos="567"/>
        </w:tabs>
        <w:spacing w:line="240" w:lineRule="auto"/>
        <w:rPr>
          <w:szCs w:val="22"/>
        </w:rPr>
      </w:pPr>
    </w:p>
    <w:p w:rsidR="002121F4" w:rsidRDefault="00FC4D5B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C4D5B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 nebo příslušnému vnitrostátnímu orgánu prostřednictvím národního systému hlášení. Podrobné kontaktní údaje naleznete v posledním bodě 16 příbalové informace.</w:t>
      </w:r>
    </w:p>
    <w:p w:rsidR="00EE0F1E" w:rsidRPr="00474C50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FC4D5B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.7</w:t>
      </w:r>
      <w:r w:rsidR="00C114FF">
        <w:rPr>
          <w:b/>
          <w:szCs w:val="22"/>
        </w:rPr>
        <w:tab/>
        <w:t>Použití v průběhu březosti</w:t>
      </w:r>
      <w:r>
        <w:rPr>
          <w:b/>
          <w:szCs w:val="22"/>
        </w:rPr>
        <w:t xml:space="preserve"> nebo </w:t>
      </w:r>
      <w:r w:rsidR="00C114FF">
        <w:rPr>
          <w:b/>
          <w:szCs w:val="22"/>
        </w:rPr>
        <w:t xml:space="preserve">laktace 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142B0" w:rsidRPr="002E0A5E" w:rsidRDefault="006142B0" w:rsidP="002E0A5E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2E0A5E">
        <w:rPr>
          <w:u w:val="single"/>
        </w:rPr>
        <w:t>Březost a laktace: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Bezpečnost veterinárního léčivého přípravku pro použití během březosti (u plodů/novorozených mláďat) a laktace nebyla stanovena. </w:t>
      </w:r>
      <w:proofErr w:type="spellStart"/>
      <w:r>
        <w:t>Propofol</w:t>
      </w:r>
      <w:proofErr w:type="spellEnd"/>
      <w:r>
        <w:t xml:space="preserve"> byl bezpečně použit u psů k vyvolání anest</w:t>
      </w:r>
      <w:r w:rsidR="00477817">
        <w:t>é</w:t>
      </w:r>
      <w:r>
        <w:t>zie před porodem císařsk</w:t>
      </w:r>
      <w:r w:rsidR="00EC7A01">
        <w:t>ým</w:t>
      </w:r>
      <w:r>
        <w:t xml:space="preserve"> řez</w:t>
      </w:r>
      <w:r w:rsidR="00EC7A01">
        <w:t>em</w:t>
      </w:r>
      <w:r>
        <w:t xml:space="preserve">. </w:t>
      </w:r>
      <w:proofErr w:type="spellStart"/>
      <w:r>
        <w:t>Propofol</w:t>
      </w:r>
      <w:proofErr w:type="spellEnd"/>
      <w:r>
        <w:t xml:space="preserve"> </w:t>
      </w:r>
      <w:r w:rsidR="0069286C">
        <w:t>prostupuje přes</w:t>
      </w:r>
      <w:r>
        <w:t xml:space="preserve"> placentu a hematoencefalickou bariéru</w:t>
      </w:r>
      <w:r w:rsidR="0069286C">
        <w:t xml:space="preserve"> plodu</w:t>
      </w:r>
      <w:r>
        <w:t>, proto může mít v </w:t>
      </w:r>
      <w:r w:rsidR="007015FF">
        <w:t>době</w:t>
      </w:r>
      <w:r>
        <w:t xml:space="preserve"> vývoje mozku nežádoucí účinek na neurologický vývoj u plodů </w:t>
      </w:r>
      <w:r w:rsidR="007A2708">
        <w:t>a </w:t>
      </w:r>
      <w:r>
        <w:t xml:space="preserve">novorozených mláďat. V důsledku rizika neonatálního úmrtí se nedoporučuje používat </w:t>
      </w:r>
      <w:proofErr w:type="spellStart"/>
      <w:r>
        <w:t>propofol</w:t>
      </w:r>
      <w:proofErr w:type="spellEnd"/>
      <w:r>
        <w:t xml:space="preserve"> k udržování anest</w:t>
      </w:r>
      <w:r w:rsidR="007015FF">
        <w:t>é</w:t>
      </w:r>
      <w:r>
        <w:t xml:space="preserve">zie </w:t>
      </w:r>
      <w:r w:rsidR="007015FF">
        <w:t>během</w:t>
      </w:r>
      <w:r>
        <w:t xml:space="preserve"> </w:t>
      </w:r>
      <w:r w:rsidR="007015FF">
        <w:t xml:space="preserve">operace </w:t>
      </w:r>
      <w:proofErr w:type="gramStart"/>
      <w:r>
        <w:t>císařsk</w:t>
      </w:r>
      <w:r w:rsidR="007015FF">
        <w:t xml:space="preserve">ým </w:t>
      </w:r>
      <w:r>
        <w:t xml:space="preserve"> řez</w:t>
      </w:r>
      <w:r w:rsidR="007015FF">
        <w:t>em</w:t>
      </w:r>
      <w:proofErr w:type="gramEnd"/>
      <w:r>
        <w:t>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Default="008175E4" w:rsidP="002E0A5E">
      <w:pPr>
        <w:tabs>
          <w:tab w:val="clear" w:pos="567"/>
        </w:tabs>
        <w:spacing w:line="240" w:lineRule="auto"/>
        <w:jc w:val="both"/>
      </w:pPr>
      <w:r>
        <w:rPr>
          <w:szCs w:val="22"/>
          <w:lang w:eastAsia="cs-CZ"/>
        </w:rPr>
        <w:t>P</w:t>
      </w:r>
      <w:r w:rsidR="002744E7" w:rsidRPr="00B71938">
        <w:rPr>
          <w:szCs w:val="22"/>
          <w:lang w:eastAsia="cs-CZ"/>
        </w:rPr>
        <w:t>oužít pouze po zvážení terapeutického prospěchu a rizika příslušným veterinárním lékařem.</w:t>
      </w:r>
      <w:r w:rsidR="002744E7" w:rsidDel="002744E7">
        <w:t xml:space="preserve"> </w:t>
      </w:r>
    </w:p>
    <w:p w:rsidR="006142B0" w:rsidRPr="00474C50" w:rsidRDefault="006142B0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FC4D5B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.8</w:t>
      </w:r>
      <w:r w:rsidR="00C114FF">
        <w:rPr>
          <w:b/>
          <w:szCs w:val="22"/>
        </w:rPr>
        <w:tab/>
        <w:t>Interakce s </w:t>
      </w:r>
      <w:r>
        <w:rPr>
          <w:b/>
          <w:szCs w:val="22"/>
        </w:rPr>
        <w:t xml:space="preserve">jinými </w:t>
      </w:r>
      <w:r w:rsidR="00C114FF">
        <w:rPr>
          <w:b/>
          <w:szCs w:val="22"/>
        </w:rPr>
        <w:t>léčivými přípravky a další formy interakce</w:t>
      </w:r>
    </w:p>
    <w:p w:rsidR="00C114FF" w:rsidRPr="00474C50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7015FF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7015FF">
        <w:t>Propofol</w:t>
      </w:r>
      <w:proofErr w:type="spellEnd"/>
      <w:r w:rsidRPr="007015FF">
        <w:t xml:space="preserve"> lze použít společně s</w:t>
      </w:r>
      <w:r w:rsidR="00FA230A" w:rsidRPr="007015FF">
        <w:t xml:space="preserve"> látkami k </w:t>
      </w:r>
      <w:r w:rsidRPr="007015FF">
        <w:t>premedikac</w:t>
      </w:r>
      <w:r w:rsidR="00FA230A" w:rsidRPr="007015FF">
        <w:t>i</w:t>
      </w:r>
      <w:r w:rsidRPr="00854D5E">
        <w:t xml:space="preserve"> jako j</w:t>
      </w:r>
      <w:r w:rsidR="007015FF">
        <w:t>sou</w:t>
      </w:r>
      <w:r w:rsidRPr="007015FF">
        <w:t xml:space="preserve"> např. atropin, </w:t>
      </w:r>
      <w:proofErr w:type="spellStart"/>
      <w:r w:rsidRPr="007015FF">
        <w:t>glykopyrolát</w:t>
      </w:r>
      <w:proofErr w:type="spellEnd"/>
      <w:r w:rsidRPr="007015FF">
        <w:t xml:space="preserve">, </w:t>
      </w:r>
      <w:r w:rsidRPr="007015FF">
        <w:sym w:font="Symbol" w:char="F061"/>
      </w:r>
      <w:r w:rsidRPr="007015FF">
        <w:t>2</w:t>
      </w:r>
      <w:r w:rsidR="007015FF" w:rsidRPr="007015FF">
        <w:t>-</w:t>
      </w:r>
      <w:r w:rsidRPr="007015FF">
        <w:t xml:space="preserve"> agonisté (</w:t>
      </w:r>
      <w:proofErr w:type="spellStart"/>
      <w:r w:rsidRPr="007015FF">
        <w:t>medetomidin</w:t>
      </w:r>
      <w:proofErr w:type="spellEnd"/>
      <w:r w:rsidRPr="007015FF">
        <w:t xml:space="preserve">, </w:t>
      </w:r>
      <w:proofErr w:type="spellStart"/>
      <w:r w:rsidRPr="007015FF">
        <w:t>dexmedetomidin</w:t>
      </w:r>
      <w:proofErr w:type="spellEnd"/>
      <w:r w:rsidRPr="007015FF">
        <w:t xml:space="preserve">), </w:t>
      </w:r>
      <w:proofErr w:type="spellStart"/>
      <w:r w:rsidRPr="007015FF">
        <w:t>acepromazin</w:t>
      </w:r>
      <w:proofErr w:type="spellEnd"/>
      <w:r w:rsidRPr="007015FF">
        <w:t xml:space="preserve">, benzodiazepiny (diazepam, midazolam); </w:t>
      </w:r>
      <w:r w:rsidRPr="009E3C22">
        <w:t xml:space="preserve">inhalačními látkami (např. </w:t>
      </w:r>
      <w:proofErr w:type="spellStart"/>
      <w:r w:rsidRPr="00201F62">
        <w:t>halothan</w:t>
      </w:r>
      <w:proofErr w:type="spellEnd"/>
      <w:r w:rsidRPr="007015FF">
        <w:t xml:space="preserve">, </w:t>
      </w:r>
      <w:proofErr w:type="spellStart"/>
      <w:r w:rsidRPr="007015FF">
        <w:t>isofluran</w:t>
      </w:r>
      <w:proofErr w:type="spellEnd"/>
      <w:r w:rsidRPr="007015FF">
        <w:t xml:space="preserve">, </w:t>
      </w:r>
      <w:proofErr w:type="spellStart"/>
      <w:r w:rsidRPr="007015FF">
        <w:t>sevofluran</w:t>
      </w:r>
      <w:proofErr w:type="spellEnd"/>
      <w:r w:rsidRPr="007015FF">
        <w:t xml:space="preserve">, </w:t>
      </w:r>
      <w:proofErr w:type="spellStart"/>
      <w:r w:rsidRPr="007015FF">
        <w:t>enfluran</w:t>
      </w:r>
      <w:proofErr w:type="spellEnd"/>
      <w:r w:rsidRPr="007015FF">
        <w:t xml:space="preserve"> a oxid dusný); jako i analgetiky, například </w:t>
      </w:r>
      <w:proofErr w:type="spellStart"/>
      <w:r w:rsidRPr="007015FF">
        <w:t>pethidin</w:t>
      </w:r>
      <w:proofErr w:type="spellEnd"/>
      <w:r w:rsidRPr="007015FF">
        <w:t xml:space="preserve"> a buprenorfin.</w:t>
      </w:r>
    </w:p>
    <w:p w:rsidR="00B801CB" w:rsidRPr="007015FF" w:rsidRDefault="00B801CB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1162F" w:rsidRPr="003911C8" w:rsidRDefault="00BB5B79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15FF">
        <w:t xml:space="preserve">Tento </w:t>
      </w:r>
      <w:r w:rsidR="006142B0">
        <w:rPr>
          <w:szCs w:val="22"/>
          <w:lang w:eastAsia="cs-CZ"/>
        </w:rPr>
        <w:t xml:space="preserve">veterinární léčivý </w:t>
      </w:r>
      <w:r w:rsidRPr="007015FF">
        <w:t xml:space="preserve">přípravek lze podávat paralelně se všemi </w:t>
      </w:r>
      <w:r w:rsidR="008D0CD6" w:rsidRPr="007015FF">
        <w:t xml:space="preserve">intravenózními </w:t>
      </w:r>
      <w:r w:rsidRPr="007015FF">
        <w:t xml:space="preserve">kapalinami např. pomocí Y </w:t>
      </w:r>
      <w:r w:rsidR="00854D5E">
        <w:t>spojky začleněné co nejblíže</w:t>
      </w:r>
      <w:r w:rsidR="00854D5E" w:rsidRPr="00854D5E">
        <w:t xml:space="preserve"> </w:t>
      </w:r>
      <w:r w:rsidRPr="00854D5E">
        <w:t>k</w:t>
      </w:r>
      <w:r w:rsidR="008D0CD6" w:rsidRPr="00854D5E">
        <w:t> </w:t>
      </w:r>
      <w:r w:rsidRPr="00854D5E">
        <w:t>míst</w:t>
      </w:r>
      <w:r w:rsidR="00854D5E">
        <w:t>u</w:t>
      </w:r>
      <w:r w:rsidR="008D0CD6" w:rsidRPr="00854D5E">
        <w:t xml:space="preserve"> </w:t>
      </w:r>
      <w:r w:rsidR="001E3831">
        <w:t>injekčního podání</w:t>
      </w:r>
      <w:r w:rsidRPr="00854D5E">
        <w:t xml:space="preserve">. </w:t>
      </w:r>
      <w:r w:rsidR="006142B0">
        <w:rPr>
          <w:szCs w:val="22"/>
          <w:lang w:eastAsia="cs-CZ"/>
        </w:rPr>
        <w:t>Veterinární léčivý p</w:t>
      </w:r>
      <w:r w:rsidRPr="00854D5E">
        <w:t xml:space="preserve">řípravek lze zředit </w:t>
      </w:r>
      <w:proofErr w:type="gramStart"/>
      <w:r w:rsidRPr="00854D5E">
        <w:t>5%</w:t>
      </w:r>
      <w:proofErr w:type="gramEnd"/>
      <w:r w:rsidRPr="00854D5E">
        <w:t xml:space="preserve"> infuzním roztokem glukózy. Studie kompatibility s jinými infuzními roztoky (např. </w:t>
      </w:r>
      <w:proofErr w:type="spellStart"/>
      <w:r w:rsidRPr="00854D5E">
        <w:t>NaCl</w:t>
      </w:r>
      <w:proofErr w:type="spellEnd"/>
      <w:r w:rsidRPr="00854D5E">
        <w:t xml:space="preserve"> nebo lak</w:t>
      </w:r>
      <w:r w:rsidR="00854D5E">
        <w:t>tá</w:t>
      </w:r>
      <w:r w:rsidRPr="00854D5E">
        <w:t xml:space="preserve">tovým </w:t>
      </w:r>
      <w:proofErr w:type="spellStart"/>
      <w:r w:rsidRPr="00854D5E">
        <w:t>Ringerovým</w:t>
      </w:r>
      <w:proofErr w:type="spellEnd"/>
      <w:r w:rsidRPr="00854D5E">
        <w:t xml:space="preserve"> roztokem) nebyly s tímto veterinárním léčivým přípravkem provedeny.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8D0CD6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Souběžné podání </w:t>
      </w:r>
      <w:r w:rsidR="00EE0F1E">
        <w:t xml:space="preserve">sedativ nebo analgetik pravděpodobně vede ke snížení dávky </w:t>
      </w:r>
      <w:proofErr w:type="spellStart"/>
      <w:r w:rsidR="00EE0F1E">
        <w:t>propofolu</w:t>
      </w:r>
      <w:proofErr w:type="spellEnd"/>
      <w:r w:rsidR="00EE0F1E">
        <w:t xml:space="preserve"> potřebné k vyvolání a udržení anest</w:t>
      </w:r>
      <w:r w:rsidR="00477817">
        <w:t>é</w:t>
      </w:r>
      <w:r w:rsidR="00EE0F1E">
        <w:t xml:space="preserve">zie. Viz </w:t>
      </w:r>
      <w:r>
        <w:t xml:space="preserve">bod </w:t>
      </w:r>
      <w:r w:rsidR="00FC4D5B">
        <w:t>3</w:t>
      </w:r>
      <w:r w:rsidR="00EE0F1E">
        <w:t>.9.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Současné použití </w:t>
      </w:r>
      <w:proofErr w:type="spellStart"/>
      <w:r>
        <w:t>propofolu</w:t>
      </w:r>
      <w:proofErr w:type="spellEnd"/>
      <w:r>
        <w:t xml:space="preserve"> s </w:t>
      </w:r>
      <w:proofErr w:type="spellStart"/>
      <w:r>
        <w:t>opioidy</w:t>
      </w:r>
      <w:proofErr w:type="spellEnd"/>
      <w:r>
        <w:t xml:space="preserve"> může vést k vážné respirační depresi a významnému snížení frekvence srdečního tepu. U koček byl při současném použití </w:t>
      </w:r>
      <w:proofErr w:type="spellStart"/>
      <w:r>
        <w:t>propofolu</w:t>
      </w:r>
      <w:proofErr w:type="spellEnd"/>
      <w:r>
        <w:t xml:space="preserve"> a </w:t>
      </w:r>
      <w:proofErr w:type="spellStart"/>
      <w:r>
        <w:t>ketaminu</w:t>
      </w:r>
      <w:proofErr w:type="spellEnd"/>
      <w:r>
        <w:t xml:space="preserve"> pozorován častější výskyt apnoe než u použití </w:t>
      </w:r>
      <w:proofErr w:type="spellStart"/>
      <w:r>
        <w:t>propofolu</w:t>
      </w:r>
      <w:proofErr w:type="spellEnd"/>
      <w:r>
        <w:t xml:space="preserve"> </w:t>
      </w:r>
      <w:r w:rsidR="008D0CD6">
        <w:t>s</w:t>
      </w:r>
      <w:r>
        <w:t xml:space="preserve"> jiný</w:t>
      </w:r>
      <w:r w:rsidR="008D0CD6">
        <w:t>mi látkami k</w:t>
      </w:r>
      <w:r>
        <w:t xml:space="preserve"> premedikac</w:t>
      </w:r>
      <w:r w:rsidR="008D0CD6">
        <w:t>i</w:t>
      </w:r>
      <w:r>
        <w:t xml:space="preserve">. Aby se snížilo riziko apnoe, </w:t>
      </w:r>
      <w:proofErr w:type="spellStart"/>
      <w:r>
        <w:t>propofol</w:t>
      </w:r>
      <w:proofErr w:type="spellEnd"/>
      <w:r>
        <w:t xml:space="preserve"> </w:t>
      </w:r>
      <w:r w:rsidR="009964ED">
        <w:t xml:space="preserve">by měl být podáván </w:t>
      </w:r>
      <w:r>
        <w:t xml:space="preserve">pomalu v průběhu 20 až 60 sekund. Viz také </w:t>
      </w:r>
      <w:r w:rsidR="009964ED">
        <w:t xml:space="preserve">bod </w:t>
      </w:r>
      <w:r w:rsidR="00FC4D5B">
        <w:t>3</w:t>
      </w:r>
      <w:r>
        <w:t>.5.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90EDA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Společné podávání </w:t>
      </w:r>
      <w:proofErr w:type="spellStart"/>
      <w:r>
        <w:t>propofolových</w:t>
      </w:r>
      <w:proofErr w:type="spellEnd"/>
      <w:r>
        <w:t xml:space="preserve"> a </w:t>
      </w:r>
      <w:proofErr w:type="spellStart"/>
      <w:r>
        <w:t>opioidových</w:t>
      </w:r>
      <w:proofErr w:type="spellEnd"/>
      <w:r>
        <w:t xml:space="preserve"> (např. </w:t>
      </w:r>
      <w:proofErr w:type="spellStart"/>
      <w:r>
        <w:t>fentanyl</w:t>
      </w:r>
      <w:proofErr w:type="spellEnd"/>
      <w:r>
        <w:t xml:space="preserve">, </w:t>
      </w:r>
      <w:proofErr w:type="spellStart"/>
      <w:r>
        <w:t>alfentanil</w:t>
      </w:r>
      <w:proofErr w:type="spellEnd"/>
      <w:r>
        <w:t>) infuzí za účelem udržování celkové anest</w:t>
      </w:r>
      <w:r w:rsidR="00477817">
        <w:t>é</w:t>
      </w:r>
      <w:r>
        <w:t>zie může vést k delší době zotav</w:t>
      </w:r>
      <w:r w:rsidR="00854D5E">
        <w:t>ová</w:t>
      </w:r>
      <w:r>
        <w:t xml:space="preserve">ní. U psů, kterým byl podán </w:t>
      </w:r>
      <w:proofErr w:type="spellStart"/>
      <w:r>
        <w:t>propofol</w:t>
      </w:r>
      <w:proofErr w:type="spellEnd"/>
      <w:r>
        <w:t xml:space="preserve"> </w:t>
      </w:r>
      <w:r w:rsidR="007A2708">
        <w:t>a </w:t>
      </w:r>
      <w:r>
        <w:t xml:space="preserve">následně </w:t>
      </w:r>
      <w:proofErr w:type="spellStart"/>
      <w:r>
        <w:t>alfentanil</w:t>
      </w:r>
      <w:proofErr w:type="spellEnd"/>
      <w:r>
        <w:t>, byla pozorována srdeční zástava.</w:t>
      </w:r>
    </w:p>
    <w:p w:rsidR="00F1162F" w:rsidRDefault="00F1162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1162F" w:rsidRDefault="00F1162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Podávání </w:t>
      </w:r>
      <w:proofErr w:type="spellStart"/>
      <w:r>
        <w:t>propofolu</w:t>
      </w:r>
      <w:proofErr w:type="spellEnd"/>
      <w:r>
        <w:t xml:space="preserve"> společně s dalšími léčivými přípravky, které jsou metabolizovány pomocí cytochromu P450 (</w:t>
      </w:r>
      <w:proofErr w:type="spellStart"/>
      <w:r>
        <w:t>isoenzymu</w:t>
      </w:r>
      <w:proofErr w:type="spellEnd"/>
      <w:r>
        <w:t xml:space="preserve"> 2B11 u psů), například chloramfenikolem, </w:t>
      </w:r>
      <w:proofErr w:type="spellStart"/>
      <w:r>
        <w:t>ketokonazolem</w:t>
      </w:r>
      <w:proofErr w:type="spellEnd"/>
      <w:r>
        <w:t xml:space="preserve"> </w:t>
      </w:r>
      <w:r w:rsidR="007A2708">
        <w:t>a </w:t>
      </w:r>
      <w:proofErr w:type="spellStart"/>
      <w:r w:rsidRPr="00854D5E">
        <w:t>loperamidem</w:t>
      </w:r>
      <w:proofErr w:type="spellEnd"/>
      <w:r w:rsidRPr="00854D5E">
        <w:t xml:space="preserve">, snižuje </w:t>
      </w:r>
      <w:proofErr w:type="spellStart"/>
      <w:r w:rsidR="00854D5E" w:rsidRPr="00854D5E">
        <w:t>clearence</w:t>
      </w:r>
      <w:proofErr w:type="spellEnd"/>
      <w:r w:rsidR="00854D5E" w:rsidRPr="00854D5E">
        <w:t xml:space="preserve"> </w:t>
      </w:r>
      <w:proofErr w:type="spellStart"/>
      <w:r w:rsidRPr="00854D5E">
        <w:t>propofolu</w:t>
      </w:r>
      <w:proofErr w:type="spellEnd"/>
      <w:r w:rsidRPr="00854D5E">
        <w:t xml:space="preserve"> a prodlužuje zotavení z anest</w:t>
      </w:r>
      <w:r w:rsidR="009964ED" w:rsidRPr="00854D5E">
        <w:t>é</w:t>
      </w:r>
      <w:r w:rsidRPr="00EB7C36">
        <w:t>zie.</w:t>
      </w:r>
    </w:p>
    <w:p w:rsidR="00EE0F1E" w:rsidRPr="00474C50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FC4D5B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.9</w:t>
      </w:r>
      <w:r w:rsidR="00C114FF">
        <w:rPr>
          <w:b/>
          <w:szCs w:val="22"/>
        </w:rPr>
        <w:tab/>
      </w:r>
      <w:r>
        <w:rPr>
          <w:b/>
          <w:szCs w:val="22"/>
        </w:rPr>
        <w:t>Cesty</w:t>
      </w:r>
      <w:r w:rsidR="00C114FF">
        <w:rPr>
          <w:b/>
          <w:bCs/>
          <w:szCs w:val="22"/>
        </w:rPr>
        <w:t xml:space="preserve"> podání</w:t>
      </w:r>
      <w:r>
        <w:rPr>
          <w:b/>
          <w:bCs/>
          <w:szCs w:val="22"/>
        </w:rPr>
        <w:t xml:space="preserve"> a dávkování</w:t>
      </w:r>
    </w:p>
    <w:p w:rsidR="00145D34" w:rsidRPr="00474C50" w:rsidRDefault="00145D3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142B0" w:rsidRDefault="006142B0" w:rsidP="002E0A5E">
      <w:pPr>
        <w:tabs>
          <w:tab w:val="clear" w:pos="567"/>
        </w:tabs>
        <w:spacing w:line="240" w:lineRule="auto"/>
        <w:jc w:val="both"/>
      </w:pPr>
      <w:r>
        <w:t>Intravenózní podání.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</w:t>
      </w:r>
      <w:r w:rsidR="006142B0">
        <w:rPr>
          <w:szCs w:val="22"/>
          <w:lang w:eastAsia="cs-CZ"/>
        </w:rPr>
        <w:t xml:space="preserve">veterinární léčivý </w:t>
      </w:r>
      <w:r>
        <w:t xml:space="preserve">přípravek </w:t>
      </w:r>
      <w:r w:rsidR="009964ED">
        <w:t xml:space="preserve">je </w:t>
      </w:r>
      <w:r>
        <w:t>sterilní přípravek k </w:t>
      </w:r>
      <w:r w:rsidR="009964ED">
        <w:t>intravenóznímu podání</w:t>
      </w:r>
      <w:r>
        <w:t>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Před použitím jemně protřep</w:t>
      </w:r>
      <w:r w:rsidR="00EC7A01">
        <w:t>at</w:t>
      </w:r>
      <w:r>
        <w:t>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Požadované dávky se </w:t>
      </w:r>
      <w:r w:rsidR="00854D5E">
        <w:t xml:space="preserve">mohou </w:t>
      </w:r>
      <w:r>
        <w:t>u jednotlivých zvířat významně liš</w:t>
      </w:r>
      <w:r w:rsidR="00785BB9">
        <w:t>it</w:t>
      </w:r>
      <w:r>
        <w:t xml:space="preserve"> a jsou ovlivněny různými faktory (viz </w:t>
      </w:r>
      <w:r w:rsidR="009964ED">
        <w:t xml:space="preserve">bod </w:t>
      </w:r>
      <w:r w:rsidR="00FC4D5B">
        <w:t>3</w:t>
      </w:r>
      <w:r>
        <w:t xml:space="preserve">.5 Zvláštní opatření pro </w:t>
      </w:r>
      <w:r w:rsidR="00FC4D5B" w:rsidRPr="00FC4D5B">
        <w:t>bezpečné použití u cílových druhů zvířat</w:t>
      </w:r>
      <w:r>
        <w:t xml:space="preserve"> </w:t>
      </w:r>
      <w:r w:rsidR="009964ED">
        <w:t>a bod</w:t>
      </w:r>
      <w:r>
        <w:t xml:space="preserve"> </w:t>
      </w:r>
      <w:r w:rsidR="00FC4D5B">
        <w:t>3</w:t>
      </w:r>
      <w:r>
        <w:t>.8</w:t>
      </w:r>
      <w:r w:rsidR="00FC4D5B">
        <w:t xml:space="preserve"> </w:t>
      </w:r>
      <w:r w:rsidR="00FC4D5B" w:rsidRPr="00FC4D5B">
        <w:t xml:space="preserve">Interakce </w:t>
      </w:r>
      <w:r w:rsidR="00FC4D5B" w:rsidRPr="00FC4D5B">
        <w:lastRenderedPageBreak/>
        <w:t>s</w:t>
      </w:r>
      <w:r w:rsidR="007A2708">
        <w:t> </w:t>
      </w:r>
      <w:r w:rsidR="00FC4D5B" w:rsidRPr="00FC4D5B">
        <w:t>jinými léčivými přípravky a další formy interakce</w:t>
      </w:r>
      <w:r>
        <w:t xml:space="preserve">). Zejména platí, že použití </w:t>
      </w:r>
      <w:proofErr w:type="spellStart"/>
      <w:r w:rsidR="009964ED">
        <w:t>pre</w:t>
      </w:r>
      <w:proofErr w:type="spellEnd"/>
      <w:r w:rsidR="009964ED">
        <w:t>-anestetických látek</w:t>
      </w:r>
      <w:r>
        <w:t xml:space="preserve"> (premedikac</w:t>
      </w:r>
      <w:r w:rsidR="009964ED">
        <w:t>e</w:t>
      </w:r>
      <w:r>
        <w:t xml:space="preserve">) může významně snížit dávku </w:t>
      </w:r>
      <w:proofErr w:type="spellStart"/>
      <w:proofErr w:type="gramStart"/>
      <w:r>
        <w:t>propofolu</w:t>
      </w:r>
      <w:proofErr w:type="spellEnd"/>
      <w:proofErr w:type="gramEnd"/>
      <w:r>
        <w:t xml:space="preserve"> </w:t>
      </w:r>
      <w:r w:rsidR="00EB7C36">
        <w:t xml:space="preserve">a to </w:t>
      </w:r>
      <w:r>
        <w:t xml:space="preserve">podle typu a dávky </w:t>
      </w:r>
      <w:proofErr w:type="spellStart"/>
      <w:r w:rsidR="009964ED">
        <w:t>pre</w:t>
      </w:r>
      <w:proofErr w:type="spellEnd"/>
      <w:r w:rsidR="009964ED">
        <w:t>-anestetické látky</w:t>
      </w:r>
      <w:r>
        <w:t>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005C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</w:t>
      </w:r>
      <w:r w:rsidR="00EE0F1E">
        <w:t>ávka by měla být odhadnuta na základě průměrn</w:t>
      </w:r>
      <w:r w:rsidR="009815A5">
        <w:t>é</w:t>
      </w:r>
      <w:r>
        <w:t xml:space="preserve"> dávky</w:t>
      </w:r>
      <w:r w:rsidR="005C595F">
        <w:t>,</w:t>
      </w:r>
      <w:r w:rsidR="009815A5">
        <w:t xml:space="preserve"> potřebné k</w:t>
      </w:r>
      <w:r w:rsidR="00EE0F1E">
        <w:t xml:space="preserve"> příprav</w:t>
      </w:r>
      <w:r w:rsidR="009815A5">
        <w:t>ě</w:t>
      </w:r>
      <w:r w:rsidR="00EE0F1E">
        <w:t xml:space="preserve"> na anest</w:t>
      </w:r>
      <w:r w:rsidR="00477817">
        <w:t>é</w:t>
      </w:r>
      <w:r w:rsidR="00EE0F1E">
        <w:t xml:space="preserve">zii. Skutečné požadavky na dávku u </w:t>
      </w:r>
      <w:r w:rsidR="009815A5">
        <w:t xml:space="preserve">daného </w:t>
      </w:r>
      <w:r w:rsidR="00EE0F1E">
        <w:t xml:space="preserve">zvířete mohou být významně </w:t>
      </w:r>
      <w:r w:rsidR="009815A5">
        <w:t>nižší</w:t>
      </w:r>
      <w:r w:rsidR="00EE0F1E">
        <w:t xml:space="preserve"> nebo </w:t>
      </w:r>
      <w:proofErr w:type="gramStart"/>
      <w:r w:rsidR="009815A5">
        <w:t>vyšší</w:t>
      </w:r>
      <w:proofErr w:type="gramEnd"/>
      <w:r w:rsidR="009815A5">
        <w:t xml:space="preserve"> </w:t>
      </w:r>
      <w:r w:rsidR="00EE0F1E">
        <w:t>než je průměrná dávka.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Default="009815A5" w:rsidP="002E0A5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Úvod do anestézie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:rsidR="00C114FF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Indukční dávka veterinárního léčivého přípravku uvedená v tabulce níže je založena na údajích získaných v</w:t>
      </w:r>
      <w:r w:rsidR="009815A5">
        <w:t xml:space="preserve"> kontrolovaných</w:t>
      </w:r>
      <w:r>
        <w:t> </w:t>
      </w:r>
      <w:r w:rsidR="009815A5">
        <w:t xml:space="preserve">laboratorních </w:t>
      </w:r>
      <w:r w:rsidR="00007BDD">
        <w:t xml:space="preserve">a terénních </w:t>
      </w:r>
      <w:proofErr w:type="gramStart"/>
      <w:r>
        <w:t>studiích  a</w:t>
      </w:r>
      <w:proofErr w:type="gramEnd"/>
      <w:r>
        <w:t xml:space="preserve"> představuje průměrné množství léčiv</w:t>
      </w:r>
      <w:r w:rsidR="0002121A">
        <w:t>é látky</w:t>
      </w:r>
      <w:r>
        <w:t xml:space="preserve">, které u psů nebo koček úspěšně vyvolá anestetický účinek. Skutečná podaná dávka </w:t>
      </w:r>
      <w:r w:rsidR="00B34EBD">
        <w:t xml:space="preserve">by měla </w:t>
      </w:r>
      <w:r>
        <w:t xml:space="preserve">být založena na individuální reakci </w:t>
      </w:r>
      <w:r w:rsidR="009815A5">
        <w:t xml:space="preserve">daného </w:t>
      </w:r>
      <w:r>
        <w:t>zvířete.</w:t>
      </w:r>
    </w:p>
    <w:p w:rsidR="00EE0F1E" w:rsidRDefault="00EE0F1E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853"/>
        <w:gridCol w:w="3639"/>
      </w:tblGrid>
      <w:tr w:rsidR="00EE0F1E" w:rsidRPr="00EE0F1E" w:rsidTr="004F13A3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PSI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EE0F1E" w:rsidRPr="00EE0F1E" w:rsidRDefault="004E51CB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Průvodce dávkování</w:t>
            </w:r>
          </w:p>
          <w:p w:rsidR="00EE0F1E" w:rsidRPr="00EE0F1E" w:rsidRDefault="00EE0F1E" w:rsidP="009815A5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mg/kg </w:t>
            </w:r>
            <w:r w:rsidR="009815A5">
              <w:rPr>
                <w:b/>
                <w:szCs w:val="22"/>
              </w:rPr>
              <w:t xml:space="preserve">živé </w:t>
            </w:r>
            <w:r>
              <w:rPr>
                <w:b/>
                <w:szCs w:val="22"/>
              </w:rPr>
              <w:t>hmotnosti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Objem dávky</w:t>
            </w:r>
          </w:p>
          <w:p w:rsidR="00EE0F1E" w:rsidRPr="00EE0F1E" w:rsidRDefault="009A2F31" w:rsidP="009815A5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ml/kg </w:t>
            </w:r>
            <w:r w:rsidR="009815A5">
              <w:rPr>
                <w:b/>
                <w:szCs w:val="22"/>
              </w:rPr>
              <w:t xml:space="preserve">živé </w:t>
            </w:r>
            <w:r>
              <w:rPr>
                <w:b/>
                <w:szCs w:val="22"/>
              </w:rPr>
              <w:t>hmotnosti</w:t>
            </w:r>
          </w:p>
        </w:tc>
      </w:tr>
      <w:tr w:rsidR="00EE0F1E" w:rsidRPr="00EE0F1E" w:rsidTr="000255D4">
        <w:tc>
          <w:tcPr>
            <w:tcW w:w="1505" w:type="pct"/>
            <w:tcBorders>
              <w:bottom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Bez premedikace</w:t>
            </w:r>
          </w:p>
        </w:tc>
        <w:tc>
          <w:tcPr>
            <w:tcW w:w="1536" w:type="pct"/>
            <w:tcBorders>
              <w:bottom w:val="nil"/>
            </w:tcBorders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6,5</w:t>
            </w:r>
          </w:p>
        </w:tc>
        <w:tc>
          <w:tcPr>
            <w:tcW w:w="1959" w:type="pct"/>
            <w:tcBorders>
              <w:bottom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0,65</w:t>
            </w:r>
          </w:p>
        </w:tc>
      </w:tr>
      <w:tr w:rsidR="00EE0F1E" w:rsidRPr="00EE0F1E" w:rsidTr="000255D4">
        <w:tc>
          <w:tcPr>
            <w:tcW w:w="1505" w:type="pct"/>
            <w:tcBorders>
              <w:top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>S premedikací</w:t>
            </w:r>
            <w:r>
              <w:rPr>
                <w:b/>
                <w:szCs w:val="22"/>
              </w:rPr>
              <w:t>*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alfa-2 agonista 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 bázi </w:t>
            </w:r>
            <w:proofErr w:type="spellStart"/>
            <w:r>
              <w:rPr>
                <w:b/>
                <w:szCs w:val="22"/>
              </w:rPr>
              <w:t>acepromazinu</w:t>
            </w:r>
            <w:proofErr w:type="spellEnd"/>
          </w:p>
        </w:tc>
        <w:tc>
          <w:tcPr>
            <w:tcW w:w="1536" w:type="pct"/>
            <w:tcBorders>
              <w:top w:val="nil"/>
            </w:tcBorders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3,0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4,5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0,30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0,45</w:t>
            </w:r>
          </w:p>
        </w:tc>
      </w:tr>
      <w:tr w:rsidR="00EE0F1E" w:rsidRPr="00EE0F1E" w:rsidTr="000255D4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KOČKY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EE0F1E" w:rsidRPr="00EE0F1E" w:rsidTr="000255D4">
        <w:tc>
          <w:tcPr>
            <w:tcW w:w="1505" w:type="pct"/>
            <w:tcBorders>
              <w:bottom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Bez premedikace</w:t>
            </w:r>
          </w:p>
        </w:tc>
        <w:tc>
          <w:tcPr>
            <w:tcW w:w="1536" w:type="pct"/>
            <w:tcBorders>
              <w:bottom w:val="nil"/>
            </w:tcBorders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8,0</w:t>
            </w:r>
          </w:p>
        </w:tc>
        <w:tc>
          <w:tcPr>
            <w:tcW w:w="1959" w:type="pct"/>
            <w:tcBorders>
              <w:bottom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0,8</w:t>
            </w:r>
          </w:p>
        </w:tc>
      </w:tr>
      <w:tr w:rsidR="00EE0F1E" w:rsidRPr="00EE0F1E" w:rsidTr="000255D4">
        <w:tc>
          <w:tcPr>
            <w:tcW w:w="1505" w:type="pct"/>
            <w:tcBorders>
              <w:top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>S premedikací</w:t>
            </w:r>
            <w:r>
              <w:rPr>
                <w:b/>
                <w:szCs w:val="22"/>
              </w:rPr>
              <w:t>*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alfa-2 agonista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 bázi </w:t>
            </w:r>
            <w:proofErr w:type="spellStart"/>
            <w:r>
              <w:rPr>
                <w:b/>
                <w:szCs w:val="22"/>
              </w:rPr>
              <w:t>acepromazinu</w:t>
            </w:r>
            <w:proofErr w:type="spellEnd"/>
          </w:p>
        </w:tc>
        <w:tc>
          <w:tcPr>
            <w:tcW w:w="1536" w:type="pct"/>
            <w:tcBorders>
              <w:top w:val="nil"/>
            </w:tcBorders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2,0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6,0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0,2</w:t>
            </w:r>
          </w:p>
          <w:p w:rsidR="00EE0F1E" w:rsidRPr="00EE0F1E" w:rsidRDefault="00EE0F1E" w:rsidP="004F13A3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0,6</w:t>
            </w:r>
          </w:p>
        </w:tc>
      </w:tr>
    </w:tbl>
    <w:p w:rsidR="00EE0F1E" w:rsidRDefault="00EE0F1E" w:rsidP="004F13A3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* U některých zvířat při premedikaci </w:t>
      </w:r>
      <w:r w:rsidR="004E51CB">
        <w:t xml:space="preserve">alfa-2 </w:t>
      </w:r>
      <w:proofErr w:type="spellStart"/>
      <w:r w:rsidR="004E51CB">
        <w:t>adrenoceptorem</w:t>
      </w:r>
      <w:proofErr w:type="spellEnd"/>
      <w:r w:rsidR="004E51CB">
        <w:t xml:space="preserve"> </w:t>
      </w:r>
      <w:r w:rsidR="009815A5">
        <w:t xml:space="preserve">dle </w:t>
      </w:r>
      <w:r>
        <w:t xml:space="preserve">protokolu </w:t>
      </w:r>
      <w:r w:rsidR="009815A5">
        <w:t xml:space="preserve">mohou být </w:t>
      </w:r>
      <w:r>
        <w:t xml:space="preserve">účinné indukční dávky, které jsou významně </w:t>
      </w:r>
      <w:proofErr w:type="gramStart"/>
      <w:r>
        <w:t>nižší</w:t>
      </w:r>
      <w:proofErr w:type="gramEnd"/>
      <w:r>
        <w:t xml:space="preserve"> než je průměrná dávka.</w:t>
      </w:r>
    </w:p>
    <w:p w:rsidR="00604152" w:rsidRPr="00604152" w:rsidRDefault="00604152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Default="00604152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Pokud je </w:t>
      </w:r>
      <w:proofErr w:type="spellStart"/>
      <w:r>
        <w:t>propofol</w:t>
      </w:r>
      <w:proofErr w:type="spellEnd"/>
      <w:r>
        <w:t xml:space="preserve"> použit v kombinaci například s </w:t>
      </w:r>
      <w:proofErr w:type="spellStart"/>
      <w:r>
        <w:t>ketaminem</w:t>
      </w:r>
      <w:proofErr w:type="spellEnd"/>
      <w:r>
        <w:t xml:space="preserve">, </w:t>
      </w:r>
      <w:proofErr w:type="spellStart"/>
      <w:r>
        <w:t>fentanylem</w:t>
      </w:r>
      <w:proofErr w:type="spellEnd"/>
      <w:r>
        <w:t xml:space="preserve"> nebo benzodiazepiny </w:t>
      </w:r>
      <w:r w:rsidRPr="00007BDD">
        <w:t>k </w:t>
      </w:r>
      <w:r w:rsidR="00007BDD" w:rsidRPr="00007BDD">
        <w:t xml:space="preserve">úvodu do </w:t>
      </w:r>
      <w:r w:rsidRPr="00007BDD">
        <w:t>anest</w:t>
      </w:r>
      <w:r w:rsidR="00477817">
        <w:t>é</w:t>
      </w:r>
      <w:r w:rsidRPr="00007BDD">
        <w:t xml:space="preserve">zie (takzvaná </w:t>
      </w:r>
      <w:proofErr w:type="spellStart"/>
      <w:r w:rsidRPr="00007BDD">
        <w:t>koindukce</w:t>
      </w:r>
      <w:proofErr w:type="spellEnd"/>
      <w:r w:rsidRPr="00007BDD">
        <w:t xml:space="preserve">), lze celkovou dávku </w:t>
      </w:r>
      <w:proofErr w:type="spellStart"/>
      <w:r w:rsidRPr="00007BDD">
        <w:t>propofolu</w:t>
      </w:r>
      <w:proofErr w:type="spellEnd"/>
      <w:r w:rsidRPr="00007BDD">
        <w:t xml:space="preserve"> ještě snížit.</w:t>
      </w:r>
    </w:p>
    <w:p w:rsidR="00604152" w:rsidRPr="00EE0F1E" w:rsidRDefault="00604152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Dávkovací stříkačka by měla být připravena </w:t>
      </w:r>
      <w:r w:rsidR="00B34EBD">
        <w:t>dle</w:t>
      </w:r>
      <w:r>
        <w:t xml:space="preserve"> objemu dávky </w:t>
      </w:r>
      <w:r w:rsidR="006142B0">
        <w:rPr>
          <w:szCs w:val="22"/>
          <w:lang w:eastAsia="cs-CZ"/>
        </w:rPr>
        <w:t xml:space="preserve">veterinárního léčivého </w:t>
      </w:r>
      <w:r w:rsidR="00CE3B81">
        <w:t xml:space="preserve">přípravku </w:t>
      </w:r>
      <w:r>
        <w:t xml:space="preserve">uvedeného výše. Tento objem by měl být vypočten na základě </w:t>
      </w:r>
      <w:r w:rsidR="00684AD7">
        <w:t xml:space="preserve">živé </w:t>
      </w:r>
      <w:r>
        <w:t xml:space="preserve">hmotnosti. Dávka by měla být podávána </w:t>
      </w:r>
      <w:proofErr w:type="gramStart"/>
      <w:r>
        <w:t xml:space="preserve">pomalu </w:t>
      </w:r>
      <w:r w:rsidR="00CE3B81">
        <w:t> z</w:t>
      </w:r>
      <w:proofErr w:type="gramEnd"/>
      <w:r w:rsidR="00CE3B81">
        <w:t xml:space="preserve"> důvodu </w:t>
      </w:r>
      <w:r>
        <w:t xml:space="preserve">omezení výskytu a </w:t>
      </w:r>
      <w:r w:rsidR="00CE3B81">
        <w:t xml:space="preserve">délky </w:t>
      </w:r>
      <w:r>
        <w:t>apnoe a podávání by mělo pokračovat, dokud lékař nevyhodnotí hloubku anest</w:t>
      </w:r>
      <w:r w:rsidR="00477817">
        <w:t>é</w:t>
      </w:r>
      <w:r>
        <w:t xml:space="preserve">zie jako dostatečnou k endotracheální intubaci nebo </w:t>
      </w:r>
      <w:r w:rsidR="00B34EBD">
        <w:t xml:space="preserve">k </w:t>
      </w:r>
      <w:r>
        <w:t xml:space="preserve">provedení plánovaného zákroku. Jako </w:t>
      </w:r>
      <w:proofErr w:type="gramStart"/>
      <w:r w:rsidR="00CE3B81">
        <w:t>vodítko</w:t>
      </w:r>
      <w:r w:rsidR="00B34EBD">
        <w:t xml:space="preserve"> -</w:t>
      </w:r>
      <w:r>
        <w:t xml:space="preserve"> podávání</w:t>
      </w:r>
      <w:proofErr w:type="gramEnd"/>
      <w:r>
        <w:t xml:space="preserve"> </w:t>
      </w:r>
      <w:r w:rsidR="008175E4">
        <w:rPr>
          <w:szCs w:val="22"/>
          <w:lang w:eastAsia="cs-CZ"/>
        </w:rPr>
        <w:t xml:space="preserve">veterinárního léčivého </w:t>
      </w:r>
      <w:r>
        <w:t xml:space="preserve">přípravku </w:t>
      </w:r>
      <w:r w:rsidR="00CE3B81">
        <w:t xml:space="preserve">by mělo </w:t>
      </w:r>
      <w:r>
        <w:t xml:space="preserve">trvat </w:t>
      </w:r>
      <w:r w:rsidR="00CE3B81">
        <w:t xml:space="preserve">po dobu </w:t>
      </w:r>
      <w:r>
        <w:t>20 až 60 sekund.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Udržování</w:t>
      </w:r>
      <w:r w:rsidR="00007BDD">
        <w:rPr>
          <w:szCs w:val="22"/>
          <w:u w:val="single"/>
        </w:rPr>
        <w:t xml:space="preserve"> </w:t>
      </w:r>
      <w:r w:rsidR="00684AD7">
        <w:rPr>
          <w:szCs w:val="22"/>
          <w:u w:val="single"/>
        </w:rPr>
        <w:t>anestézie</w:t>
      </w:r>
    </w:p>
    <w:p w:rsid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64C8E" w:rsidRPr="00C87EC7" w:rsidRDefault="00064C8E" w:rsidP="002E0A5E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9E3C22">
        <w:rPr>
          <w:i/>
          <w:szCs w:val="22"/>
        </w:rPr>
        <w:t>Opakované bolusové injekce</w:t>
      </w:r>
      <w:r w:rsidR="009E3C22">
        <w:rPr>
          <w:i/>
          <w:szCs w:val="22"/>
        </w:rPr>
        <w:t xml:space="preserve">  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udržování anest</w:t>
      </w:r>
      <w:r w:rsidR="00F73A43">
        <w:t>é</w:t>
      </w:r>
      <w:r>
        <w:t>zie</w:t>
      </w:r>
      <w:r w:rsidR="00007BDD" w:rsidRPr="00007BDD">
        <w:t xml:space="preserve"> </w:t>
      </w:r>
      <w:r w:rsidR="00007BDD">
        <w:t xml:space="preserve">přírůstkovým podáváním </w:t>
      </w:r>
      <w:r w:rsidR="006142B0">
        <w:rPr>
          <w:szCs w:val="22"/>
          <w:lang w:eastAsia="cs-CZ"/>
        </w:rPr>
        <w:t xml:space="preserve">veterinárního léčivého </w:t>
      </w:r>
      <w:r>
        <w:t>přípravku</w:t>
      </w:r>
      <w:r w:rsidR="00007BDD">
        <w:t xml:space="preserve">, </w:t>
      </w:r>
      <w:r w:rsidR="009E3C22">
        <w:t>velikost dávky</w:t>
      </w:r>
      <w:r w:rsidR="00007BDD">
        <w:t xml:space="preserve"> </w:t>
      </w:r>
      <w:r w:rsidR="007A2708">
        <w:t>a </w:t>
      </w:r>
      <w:r>
        <w:t xml:space="preserve">trvání účinku </w:t>
      </w:r>
      <w:r w:rsidR="00F73A43">
        <w:t xml:space="preserve">se budou </w:t>
      </w:r>
      <w:r>
        <w:t>lišit</w:t>
      </w:r>
      <w:r w:rsidR="009E3C22" w:rsidRPr="009E3C22">
        <w:t xml:space="preserve"> </w:t>
      </w:r>
      <w:r w:rsidR="009E3C22">
        <w:t>u jednotlivých zvířat</w:t>
      </w:r>
      <w:r>
        <w:t xml:space="preserve">. </w:t>
      </w:r>
      <w:r w:rsidR="00F73A43">
        <w:t xml:space="preserve">Přírůstkové </w:t>
      </w:r>
      <w:r>
        <w:t xml:space="preserve">dávky </w:t>
      </w:r>
      <w:r w:rsidR="00F73A43">
        <w:t xml:space="preserve">nutné </w:t>
      </w:r>
      <w:r>
        <w:t>k udržování anest</w:t>
      </w:r>
      <w:r w:rsidR="00F73A43">
        <w:t>é</w:t>
      </w:r>
      <w:r>
        <w:t>zie jsou u zvířat s premedikací typicky nižší než u zvířat bez premedikace.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Pokud anestetický účinek příliš zeslábne, lze podat </w:t>
      </w:r>
      <w:r w:rsidR="00F73A43">
        <w:t xml:space="preserve">přírůstkovou </w:t>
      </w:r>
      <w:r>
        <w:t>dávku přibližně 1 mg/kg (0,1 ml/kg) u psů a 2 mg/kg (0,2 ml/kg) u koček. Tuto dávku lze podle potřeby opakovat k udržení dostatečně hluboké anest</w:t>
      </w:r>
      <w:r w:rsidR="00477817">
        <w:t>é</w:t>
      </w:r>
      <w:r>
        <w:t xml:space="preserve">zie, přičemž mezi jednotlivými dávkami vyčkejte 20 až 30 sekund, abyste mohli posoudit </w:t>
      </w:r>
      <w:r w:rsidR="00FA5AD0">
        <w:t xml:space="preserve">její </w:t>
      </w:r>
      <w:r>
        <w:t xml:space="preserve">účinek. Jednotlivé </w:t>
      </w:r>
      <w:r w:rsidR="00F73A43">
        <w:t xml:space="preserve">přírůstkové </w:t>
      </w:r>
      <w:r>
        <w:t>dávky by měly být podávány pomalu až do dosažení požadovaného účinku.</w:t>
      </w:r>
    </w:p>
    <w:p w:rsidR="00F1162F" w:rsidRDefault="00F1162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64C8E" w:rsidRPr="00C87EC7" w:rsidRDefault="00064C8E" w:rsidP="002E0A5E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>
        <w:rPr>
          <w:i/>
          <w:szCs w:val="22"/>
        </w:rPr>
        <w:t>Inf</w:t>
      </w:r>
      <w:r w:rsidR="00EC7A01">
        <w:rPr>
          <w:i/>
          <w:szCs w:val="22"/>
        </w:rPr>
        <w:t>ú</w:t>
      </w:r>
      <w:r>
        <w:rPr>
          <w:i/>
          <w:szCs w:val="22"/>
        </w:rPr>
        <w:t>ze s konstantní rychlostí</w:t>
      </w:r>
    </w:p>
    <w:p w:rsidR="00EE0F1E" w:rsidRPr="00EE0F1E" w:rsidRDefault="00F1162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Pokud je anest</w:t>
      </w:r>
      <w:r w:rsidR="00F73A43">
        <w:t>é</w:t>
      </w:r>
      <w:r>
        <w:t>zie udržována pomocí inf</w:t>
      </w:r>
      <w:r w:rsidR="00F73A43">
        <w:t>ú</w:t>
      </w:r>
      <w:r>
        <w:t>ze s konstantní rychlostí (CRI)</w:t>
      </w:r>
      <w:r w:rsidR="00F73A43">
        <w:t xml:space="preserve"> podání</w:t>
      </w:r>
      <w:r>
        <w:t xml:space="preserve"> </w:t>
      </w:r>
      <w:proofErr w:type="spellStart"/>
      <w:r>
        <w:t>propofolu</w:t>
      </w:r>
      <w:proofErr w:type="spellEnd"/>
      <w:r>
        <w:t xml:space="preserve">, je dávka </w:t>
      </w:r>
      <w:r w:rsidR="007A2708">
        <w:t>u </w:t>
      </w:r>
      <w:r>
        <w:t xml:space="preserve">psů 0,2–0,4 mg/kg/min. Skutečná podaná dávka musí být založena na individuální reakci </w:t>
      </w:r>
      <w:r w:rsidR="00FA5AD0">
        <w:t xml:space="preserve">daného </w:t>
      </w:r>
      <w:r>
        <w:t>zvířete a může být krátkodobě zvýšena až na 0,6 mg/kg/min. U koček je udržovací dávka 0,1–0,3 mg/kg/min. a měla by být přizpůsobena dle individuální reakce. Inf</w:t>
      </w:r>
      <w:r w:rsidR="00FA5AD0">
        <w:t>ú</w:t>
      </w:r>
      <w:r>
        <w:t xml:space="preserve">ze s konstantní rychlostí trvající až 2 hodiny při dávce 0,4 mg/kg/min u psů a 0,2 mg/kg/min u koček je podle hlášení dobře snášena. </w:t>
      </w:r>
      <w:r>
        <w:lastRenderedPageBreak/>
        <w:t xml:space="preserve">Kromě toho může být </w:t>
      </w:r>
      <w:r w:rsidR="00FA5AD0">
        <w:t xml:space="preserve">rychlost </w:t>
      </w:r>
      <w:r>
        <w:t>inf</w:t>
      </w:r>
      <w:r w:rsidR="00FA5AD0">
        <w:t>ú</w:t>
      </w:r>
      <w:r>
        <w:t>ze zvýšena nebo snížena po krocích 0,025–0,1 mg/kg/min. u psů nebo 0,01–0,025 mg/kg/min. u koček v intervalech 5–10 minut</w:t>
      </w:r>
      <w:r w:rsidR="00133A70">
        <w:t>, aby se přizpůsobila úroveň anestézie.</w:t>
      </w:r>
      <w:r>
        <w:t xml:space="preserve"> </w:t>
      </w:r>
    </w:p>
    <w:p w:rsidR="008175E4" w:rsidRDefault="008175E4" w:rsidP="002E0A5E">
      <w:pPr>
        <w:tabs>
          <w:tab w:val="clear" w:pos="567"/>
        </w:tabs>
        <w:spacing w:line="240" w:lineRule="auto"/>
        <w:jc w:val="both"/>
      </w:pPr>
    </w:p>
    <w:p w:rsidR="00EE0F1E" w:rsidRPr="00EE0F1E" w:rsidRDefault="001D1BB1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Nepřetržité a dlouhodobé vystavení</w:t>
      </w:r>
      <w:r w:rsidR="00EE0F1E">
        <w:t xml:space="preserve"> (trvající více než 30 minut) může vést k pomalejšímu zotavení, zejména u koček.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Udržování anest</w:t>
      </w:r>
      <w:r w:rsidR="001D1BB1">
        <w:rPr>
          <w:szCs w:val="22"/>
          <w:u w:val="single"/>
        </w:rPr>
        <w:t>é</w:t>
      </w:r>
      <w:r>
        <w:rPr>
          <w:szCs w:val="22"/>
          <w:u w:val="single"/>
        </w:rPr>
        <w:t>zie pomocí inhalačních látek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Pokud jsou k udržování celkové anest</w:t>
      </w:r>
      <w:r w:rsidR="00133A70">
        <w:t>é</w:t>
      </w:r>
      <w:r>
        <w:t xml:space="preserve">zie použity inhalační látky, </w:t>
      </w:r>
      <w:r w:rsidR="001D1BB1">
        <w:t>měla by být podána pro úvod do anestézie</w:t>
      </w:r>
      <w:r>
        <w:t xml:space="preserve"> vyšší úvodní koncentrac</w:t>
      </w:r>
      <w:r w:rsidR="001D1BB1">
        <w:t>e</w:t>
      </w:r>
      <w:r>
        <w:t xml:space="preserve"> inhalačního </w:t>
      </w:r>
      <w:proofErr w:type="gramStart"/>
      <w:r>
        <w:t>anestetika</w:t>
      </w:r>
      <w:proofErr w:type="gramEnd"/>
      <w:r>
        <w:t xml:space="preserve"> než je běžn</w:t>
      </w:r>
      <w:r w:rsidR="00133A70">
        <w:t>é</w:t>
      </w:r>
      <w:r>
        <w:t xml:space="preserve"> p</w:t>
      </w:r>
      <w:r w:rsidR="001D1BB1">
        <w:t>ři</w:t>
      </w:r>
      <w:r>
        <w:t xml:space="preserve"> </w:t>
      </w:r>
      <w:r w:rsidR="001D1BB1">
        <w:t xml:space="preserve">úvodu do anestézie </w:t>
      </w:r>
      <w:r>
        <w:t>barbiturát</w:t>
      </w:r>
      <w:r w:rsidR="001D1BB1">
        <w:t>y</w:t>
      </w:r>
      <w:r>
        <w:t>.</w:t>
      </w:r>
    </w:p>
    <w:p w:rsidR="00EE0F1E" w:rsidRPr="00EE0F1E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E0F1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Další informace viz </w:t>
      </w:r>
      <w:r w:rsidR="001D1BB1">
        <w:t xml:space="preserve">bod </w:t>
      </w:r>
      <w:r w:rsidR="00B8423C">
        <w:t>3</w:t>
      </w:r>
      <w:r>
        <w:t xml:space="preserve">.5 Zvláštní opatření pro </w:t>
      </w:r>
      <w:r w:rsidR="00B8423C" w:rsidRPr="00FC4D5B">
        <w:t>bezpečné použití u cílových druhů zvířat</w:t>
      </w:r>
      <w:r>
        <w:t>.</w:t>
      </w:r>
    </w:p>
    <w:p w:rsidR="00EE0F1E" w:rsidRPr="00474C50" w:rsidRDefault="00EE0F1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895A2F" w:rsidRDefault="00B8423C" w:rsidP="002E0A5E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3</w:t>
      </w:r>
      <w:r w:rsidR="00C114FF">
        <w:rPr>
          <w:b/>
          <w:bCs/>
          <w:szCs w:val="22"/>
        </w:rPr>
        <w:t>.10</w:t>
      </w:r>
      <w:r w:rsidR="00C114FF">
        <w:rPr>
          <w:b/>
          <w:bCs/>
          <w:szCs w:val="22"/>
        </w:rPr>
        <w:tab/>
        <w:t>Př</w:t>
      </w:r>
      <w:r>
        <w:rPr>
          <w:b/>
          <w:bCs/>
          <w:szCs w:val="22"/>
        </w:rPr>
        <w:t>íznaky př</w:t>
      </w:r>
      <w:r w:rsidR="00C114FF">
        <w:rPr>
          <w:b/>
          <w:bCs/>
          <w:szCs w:val="22"/>
        </w:rPr>
        <w:t>edávkování (</w:t>
      </w:r>
      <w:r>
        <w:rPr>
          <w:b/>
          <w:bCs/>
          <w:szCs w:val="22"/>
        </w:rPr>
        <w:t xml:space="preserve">a kde je relevantní, </w:t>
      </w:r>
      <w:r w:rsidR="00C114FF">
        <w:rPr>
          <w:b/>
          <w:bCs/>
          <w:szCs w:val="22"/>
        </w:rPr>
        <w:t xml:space="preserve">první pomoc, </w:t>
      </w:r>
      <w:proofErr w:type="spellStart"/>
      <w:r w:rsidR="00C114FF">
        <w:rPr>
          <w:b/>
          <w:bCs/>
          <w:szCs w:val="22"/>
        </w:rPr>
        <w:t>antidota</w:t>
      </w:r>
      <w:proofErr w:type="spellEnd"/>
      <w:r w:rsidR="00C114FF">
        <w:rPr>
          <w:b/>
          <w:bCs/>
          <w:szCs w:val="22"/>
        </w:rPr>
        <w:t>)</w:t>
      </w:r>
    </w:p>
    <w:p w:rsidR="00C114FF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D04EE" w:rsidRDefault="004D04EE" w:rsidP="002E0A5E">
      <w:pPr>
        <w:tabs>
          <w:tab w:val="clear" w:pos="567"/>
        </w:tabs>
        <w:spacing w:line="240" w:lineRule="auto"/>
        <w:jc w:val="both"/>
      </w:pPr>
      <w:r>
        <w:t xml:space="preserve">Náhodné předávkování pravděpodobně </w:t>
      </w:r>
      <w:r w:rsidR="001D1BB1">
        <w:t xml:space="preserve">vyvolá </w:t>
      </w:r>
      <w:r>
        <w:t>kardiorespirační depresi. V takových případech zajistěte průchodnost dýchacích cest a začněte s asistovan</w:t>
      </w:r>
      <w:r w:rsidR="001D1BB1">
        <w:t>ou</w:t>
      </w:r>
      <w:r>
        <w:t xml:space="preserve"> nebo </w:t>
      </w:r>
      <w:r w:rsidR="001D1BB1">
        <w:t>umělou ventilací</w:t>
      </w:r>
      <w:r>
        <w:t xml:space="preserve"> s </w:t>
      </w:r>
      <w:r w:rsidR="000A1D5C">
        <w:t>obohacením kyslíkem</w:t>
      </w:r>
      <w:r>
        <w:t xml:space="preserve">, podáváním látek ovlivňujících tlak a </w:t>
      </w:r>
      <w:r w:rsidR="00FE26DD">
        <w:t xml:space="preserve">intravenózním podáním </w:t>
      </w:r>
      <w:r>
        <w:t>tekutin</w:t>
      </w:r>
      <w:r w:rsidR="00133A70">
        <w:t>.</w:t>
      </w:r>
      <w:r w:rsidR="00FE26DD">
        <w:t xml:space="preserve"> </w:t>
      </w:r>
      <w:r w:rsidR="00133A70">
        <w:t>T</w:t>
      </w:r>
      <w:r w:rsidR="00FE26DD">
        <w:t>ím</w:t>
      </w:r>
      <w:r>
        <w:t xml:space="preserve"> podpo</w:t>
      </w:r>
      <w:r w:rsidR="00FE26DD">
        <w:t>říte</w:t>
      </w:r>
      <w:r>
        <w:t xml:space="preserve"> kardiovaskulární funkci. U psů mohou bolusové dávky přesahující 10 mg/kg způsobit cyanózu. Také může být pozorována mydriáza. Pokud dojde k cyanóze a mydriáze, znamená to, že je nutn</w:t>
      </w:r>
      <w:r w:rsidR="00133A70">
        <w:t>é obohacení kyslíkem</w:t>
      </w:r>
      <w:r>
        <w:t xml:space="preserve">. Při bolusových dávkách 19,5 mg/kg u koček a 20 mg/kg u psů byl </w:t>
      </w:r>
      <w:r w:rsidR="00133A70">
        <w:t>zaznamenán úhyn</w:t>
      </w:r>
      <w:r>
        <w:t>.</w:t>
      </w:r>
    </w:p>
    <w:p w:rsidR="00B8423C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B8423C" w:rsidRPr="002E0A5E" w:rsidRDefault="00B8423C" w:rsidP="002E0A5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2E0A5E">
        <w:rPr>
          <w:b/>
          <w:szCs w:val="22"/>
        </w:rPr>
        <w:t>3.11.</w:t>
      </w:r>
      <w:r w:rsidRPr="002E0A5E">
        <w:rPr>
          <w:b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2E0A5E">
        <w:rPr>
          <w:b/>
          <w:szCs w:val="22"/>
        </w:rPr>
        <w:t>antiparazitárních</w:t>
      </w:r>
      <w:proofErr w:type="spellEnd"/>
      <w:r w:rsidRPr="002E0A5E">
        <w:rPr>
          <w:b/>
          <w:szCs w:val="22"/>
        </w:rPr>
        <w:t xml:space="preserve"> veterinárních </w:t>
      </w:r>
      <w:proofErr w:type="spellStart"/>
      <w:r w:rsidRPr="002E0A5E">
        <w:rPr>
          <w:b/>
          <w:szCs w:val="22"/>
        </w:rPr>
        <w:t>léčivých</w:t>
      </w:r>
      <w:proofErr w:type="spellEnd"/>
      <w:r w:rsidRPr="002E0A5E">
        <w:rPr>
          <w:b/>
          <w:szCs w:val="22"/>
        </w:rPr>
        <w:t xml:space="preserve"> přípravků, za účelem snížení rizika rozvoje rezistence</w:t>
      </w:r>
    </w:p>
    <w:p w:rsidR="004D04E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B8423C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C114FF">
        <w:rPr>
          <w:b/>
          <w:szCs w:val="22"/>
        </w:rPr>
        <w:t>.</w:t>
      </w:r>
      <w:r w:rsidR="00C114FF"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 w:rsidR="00C114FF">
        <w:rPr>
          <w:b/>
          <w:szCs w:val="22"/>
        </w:rPr>
        <w:tab/>
        <w:t>Ochranné lhůty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C7A01" w:rsidRPr="00A40EC9" w:rsidRDefault="00EC7A01" w:rsidP="002E0A5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Ne</w:t>
      </w:r>
      <w:r w:rsidR="00A00092">
        <w:rPr>
          <w:iCs/>
          <w:szCs w:val="22"/>
        </w:rPr>
        <w:t>uplatňuje se.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B8423C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4</w:t>
      </w:r>
      <w:r w:rsidR="004D04EE">
        <w:rPr>
          <w:b/>
          <w:szCs w:val="22"/>
        </w:rPr>
        <w:t>.</w:t>
      </w:r>
      <w:r w:rsidR="004D04EE">
        <w:rPr>
          <w:b/>
          <w:szCs w:val="22"/>
        </w:rPr>
        <w:tab/>
        <w:t xml:space="preserve">FARMAKOLOGICKÉ </w:t>
      </w:r>
      <w:r>
        <w:rPr>
          <w:b/>
          <w:szCs w:val="22"/>
        </w:rPr>
        <w:t>INFORMACE</w:t>
      </w:r>
    </w:p>
    <w:p w:rsidR="00C114FF" w:rsidRPr="00474C50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A00092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</w:rPr>
        <w:t>4.1</w:t>
      </w:r>
      <w:r w:rsidRPr="002E0A5E">
        <w:rPr>
          <w:b/>
        </w:rPr>
        <w:tab/>
      </w:r>
      <w:proofErr w:type="spellStart"/>
      <w:r w:rsidR="004D04EE" w:rsidRPr="002E0A5E">
        <w:rPr>
          <w:b/>
        </w:rPr>
        <w:t>ATCvet</w:t>
      </w:r>
      <w:proofErr w:type="spellEnd"/>
      <w:r w:rsidR="00A51E29" w:rsidRPr="002E0A5E">
        <w:rPr>
          <w:b/>
        </w:rPr>
        <w:t xml:space="preserve"> kód</w:t>
      </w:r>
      <w:r w:rsidR="004D04EE" w:rsidRPr="002E0A5E">
        <w:rPr>
          <w:b/>
        </w:rPr>
        <w:t xml:space="preserve">: </w:t>
      </w:r>
      <w:r w:rsidR="004D04EE" w:rsidRPr="008175E4">
        <w:t>QN01AX10</w:t>
      </w:r>
    </w:p>
    <w:p w:rsidR="004D04EE" w:rsidRPr="00474C50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B8423C" w:rsidP="002E0A5E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4</w:t>
      </w:r>
      <w:r w:rsidR="004D04EE">
        <w:rPr>
          <w:b/>
          <w:szCs w:val="22"/>
        </w:rPr>
        <w:t>.</w:t>
      </w:r>
      <w:r>
        <w:rPr>
          <w:b/>
          <w:szCs w:val="22"/>
        </w:rPr>
        <w:t>2</w:t>
      </w:r>
      <w:r w:rsidR="004D04EE">
        <w:rPr>
          <w:b/>
          <w:szCs w:val="22"/>
        </w:rPr>
        <w:tab/>
        <w:t>Farmakodynami</w:t>
      </w:r>
      <w:r>
        <w:rPr>
          <w:b/>
          <w:szCs w:val="22"/>
        </w:rPr>
        <w:t>ka</w:t>
      </w:r>
    </w:p>
    <w:p w:rsidR="00C114FF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4D04EE" w:rsidRPr="004D04E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Propofol</w:t>
      </w:r>
      <w:proofErr w:type="spellEnd"/>
      <w:r>
        <w:t xml:space="preserve"> je </w:t>
      </w:r>
      <w:r w:rsidR="00E13A7D">
        <w:t xml:space="preserve">krátkodobě působící </w:t>
      </w:r>
      <w:r w:rsidR="00FE26DD">
        <w:t>intravenózní</w:t>
      </w:r>
      <w:r>
        <w:t xml:space="preserve"> celkové anestetikum, které je charakterizováno rychlým nástupem, krátkým trváním anest</w:t>
      </w:r>
      <w:r w:rsidR="00FE26DD">
        <w:t>é</w:t>
      </w:r>
      <w:r>
        <w:t xml:space="preserve">zie a rychlým zotavením. </w:t>
      </w:r>
      <w:proofErr w:type="spellStart"/>
      <w:r>
        <w:t>Propofol</w:t>
      </w:r>
      <w:proofErr w:type="spellEnd"/>
      <w:r>
        <w:t xml:space="preserve"> vyvolává bezvědomí depres</w:t>
      </w:r>
      <w:r w:rsidR="000F7370">
        <w:t>í</w:t>
      </w:r>
      <w:r>
        <w:t xml:space="preserve"> centrálního nervového systému.</w:t>
      </w:r>
    </w:p>
    <w:p w:rsidR="004D04EE" w:rsidRPr="004D04E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D04E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Tlumící účinky </w:t>
      </w:r>
      <w:proofErr w:type="spellStart"/>
      <w:r>
        <w:t>propofolu</w:t>
      </w:r>
      <w:proofErr w:type="spellEnd"/>
      <w:r>
        <w:t xml:space="preserve"> jsou zprostředkovány zejména </w:t>
      </w:r>
      <w:proofErr w:type="spellStart"/>
      <w:r>
        <w:t>potenciací</w:t>
      </w:r>
      <w:proofErr w:type="spellEnd"/>
      <w:r>
        <w:t xml:space="preserve"> postsynaptických receptorů GABA</w:t>
      </w:r>
      <w:r>
        <w:rPr>
          <w:szCs w:val="22"/>
          <w:vertAlign w:val="subscript"/>
        </w:rPr>
        <w:t>A</w:t>
      </w:r>
      <w:r>
        <w:t xml:space="preserve"> centrálního nervového systému. Předpokládá se však, že při zprostředkování účinků </w:t>
      </w:r>
      <w:proofErr w:type="spellStart"/>
      <w:r>
        <w:t>propofolu</w:t>
      </w:r>
      <w:proofErr w:type="spellEnd"/>
      <w:r>
        <w:t xml:space="preserve"> také sehrávají jistou roli i </w:t>
      </w:r>
      <w:proofErr w:type="spellStart"/>
      <w:r>
        <w:t>glutaminergické</w:t>
      </w:r>
      <w:proofErr w:type="spellEnd"/>
      <w:r>
        <w:t xml:space="preserve"> a </w:t>
      </w:r>
      <w:proofErr w:type="spellStart"/>
      <w:r>
        <w:t>noradrenergické</w:t>
      </w:r>
      <w:proofErr w:type="spellEnd"/>
      <w:r>
        <w:t xml:space="preserve"> </w:t>
      </w:r>
      <w:proofErr w:type="spellStart"/>
      <w:r>
        <w:t>neurotransmiterové</w:t>
      </w:r>
      <w:proofErr w:type="spellEnd"/>
      <w:r>
        <w:t xml:space="preserve"> systémy.</w:t>
      </w:r>
    </w:p>
    <w:p w:rsidR="004D04EE" w:rsidRPr="00474C50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4</w:t>
      </w:r>
      <w:r w:rsidR="00C114FF">
        <w:rPr>
          <w:b/>
          <w:szCs w:val="22"/>
        </w:rPr>
        <w:t>.</w:t>
      </w:r>
      <w:r>
        <w:rPr>
          <w:b/>
          <w:szCs w:val="22"/>
        </w:rPr>
        <w:t>3</w:t>
      </w:r>
      <w:r w:rsidR="00C114FF">
        <w:rPr>
          <w:b/>
          <w:szCs w:val="22"/>
        </w:rPr>
        <w:tab/>
        <w:t>Farmakokineti</w:t>
      </w:r>
      <w:r>
        <w:rPr>
          <w:b/>
          <w:szCs w:val="22"/>
        </w:rPr>
        <w:t>ka</w:t>
      </w:r>
    </w:p>
    <w:p w:rsidR="00C114FF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D04EE" w:rsidRPr="002E0A5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E68E8">
        <w:t xml:space="preserve">Koncentrace </w:t>
      </w:r>
      <w:proofErr w:type="spellStart"/>
      <w:r w:rsidRPr="000E68E8">
        <w:t>propofolu</w:t>
      </w:r>
      <w:proofErr w:type="spellEnd"/>
      <w:r w:rsidRPr="000E68E8">
        <w:t xml:space="preserve"> v krvi </w:t>
      </w:r>
      <w:r w:rsidRPr="00955ACD">
        <w:t>vykazuj</w:t>
      </w:r>
      <w:r w:rsidR="00371F7D" w:rsidRPr="00955ACD">
        <w:t>e</w:t>
      </w:r>
      <w:r w:rsidRPr="00955ACD">
        <w:t xml:space="preserve"> </w:t>
      </w:r>
      <w:r w:rsidR="000E68E8" w:rsidRPr="00955ACD">
        <w:t xml:space="preserve">pokles ve třech fázích </w:t>
      </w:r>
      <w:r w:rsidRPr="000E68E8">
        <w:t xml:space="preserve">u psů </w:t>
      </w:r>
      <w:r w:rsidR="00371F7D" w:rsidRPr="000E68E8">
        <w:t>a</w:t>
      </w:r>
      <w:r w:rsidRPr="000E68E8">
        <w:t xml:space="preserve"> koček.</w:t>
      </w:r>
      <w:r>
        <w:t xml:space="preserve"> To je pravděpodobně způsobeno rychlou distribucí </w:t>
      </w:r>
      <w:proofErr w:type="spellStart"/>
      <w:r>
        <w:t>propofolu</w:t>
      </w:r>
      <w:proofErr w:type="spellEnd"/>
      <w:r>
        <w:t xml:space="preserve"> z</w:t>
      </w:r>
      <w:r w:rsidR="00285EB4">
        <w:t> </w:t>
      </w:r>
      <w:r>
        <w:t>krv</w:t>
      </w:r>
      <w:r w:rsidR="00371F7D">
        <w:t>e</w:t>
      </w:r>
      <w:r w:rsidR="00285EB4">
        <w:t xml:space="preserve"> </w:t>
      </w:r>
      <w:r>
        <w:t>a mozku do méně prokrvených tkání, rychl</w:t>
      </w:r>
      <w:r w:rsidR="000F7370">
        <w:t>ou</w:t>
      </w:r>
      <w:r>
        <w:t xml:space="preserve"> </w:t>
      </w:r>
      <w:r w:rsidRPr="000F7370">
        <w:t>metabolick</w:t>
      </w:r>
      <w:r w:rsidR="000F7370" w:rsidRPr="000F7370">
        <w:t>ou</w:t>
      </w:r>
      <w:r w:rsidRPr="000F7370">
        <w:t xml:space="preserve"> </w:t>
      </w:r>
      <w:proofErr w:type="spellStart"/>
      <w:r w:rsidR="000F7370" w:rsidRPr="000F7370">
        <w:t>clearance</w:t>
      </w:r>
      <w:proofErr w:type="spellEnd"/>
      <w:r w:rsidRPr="000F7370">
        <w:t xml:space="preserve"> a pomalejší </w:t>
      </w:r>
      <w:r w:rsidR="00371F7D" w:rsidRPr="000F7370">
        <w:t>re</w:t>
      </w:r>
      <w:r w:rsidRPr="000F7370">
        <w:t>distribucí z méně prokrvených tkání do krve. Klinicky relevantní je první fáze (t</w:t>
      </w:r>
      <w:r w:rsidRPr="000F7370">
        <w:rPr>
          <w:szCs w:val="22"/>
          <w:vertAlign w:val="subscript"/>
        </w:rPr>
        <w:t>½</w:t>
      </w:r>
      <w:r w:rsidRPr="000F7370">
        <w:t xml:space="preserve">, alfa přibližně 10 minut), protože se zvířata proberou po úvodní redistribuci </w:t>
      </w:r>
      <w:proofErr w:type="spellStart"/>
      <w:r w:rsidRPr="000F7370">
        <w:t>propofolu</w:t>
      </w:r>
      <w:proofErr w:type="spellEnd"/>
      <w:r w:rsidRPr="000F7370">
        <w:t xml:space="preserve"> z mozku. </w:t>
      </w:r>
      <w:proofErr w:type="spellStart"/>
      <w:r w:rsidR="000F7370">
        <w:t>Clearance</w:t>
      </w:r>
      <w:proofErr w:type="spellEnd"/>
      <w:r w:rsidR="000F7370" w:rsidRPr="000F7370">
        <w:t xml:space="preserve"> </w:t>
      </w:r>
      <w:r w:rsidRPr="000F7370">
        <w:t>léčiv</w:t>
      </w:r>
      <w:r w:rsidR="000F7370">
        <w:t>é látky</w:t>
      </w:r>
      <w:r w:rsidRPr="000F7370">
        <w:t xml:space="preserve"> je vysoký u psů a nižší u koček, pravděpodobně v důsledku mezidruhových metabolických rozdílů. U psů</w:t>
      </w:r>
      <w:r w:rsidR="00201F62">
        <w:t>, kde</w:t>
      </w:r>
      <w:r w:rsidRPr="000F7370">
        <w:t xml:space="preserve"> je </w:t>
      </w:r>
      <w:proofErr w:type="spellStart"/>
      <w:r w:rsidR="000F7370">
        <w:t>clearance</w:t>
      </w:r>
      <w:proofErr w:type="spellEnd"/>
      <w:r w:rsidR="000F7370" w:rsidRPr="000F7370">
        <w:t xml:space="preserve"> </w:t>
      </w:r>
      <w:r w:rsidRPr="000F7370">
        <w:t>vyšší než průtok krve</w:t>
      </w:r>
      <w:r w:rsidR="00371F7D" w:rsidRPr="000F7370">
        <w:t xml:space="preserve"> játry, </w:t>
      </w:r>
      <w:r w:rsidRPr="000F7370">
        <w:t xml:space="preserve">naznačuje </w:t>
      </w:r>
      <w:r w:rsidR="00201F62" w:rsidRPr="002E0A5E">
        <w:rPr>
          <w:szCs w:val="22"/>
        </w:rPr>
        <w:lastRenderedPageBreak/>
        <w:t xml:space="preserve">toto na </w:t>
      </w:r>
      <w:r w:rsidRPr="002E0A5E">
        <w:rPr>
          <w:szCs w:val="22"/>
        </w:rPr>
        <w:t xml:space="preserve">přítomnost dalších metabolických míst kromě jater. Objem distribuce je vysoký u psů i koček. </w:t>
      </w:r>
      <w:proofErr w:type="spellStart"/>
      <w:r w:rsidRPr="002E0A5E">
        <w:rPr>
          <w:szCs w:val="22"/>
        </w:rPr>
        <w:t>Propofol</w:t>
      </w:r>
      <w:proofErr w:type="spellEnd"/>
      <w:r w:rsidRPr="002E0A5E">
        <w:rPr>
          <w:szCs w:val="22"/>
        </w:rPr>
        <w:t xml:space="preserve"> je ve </w:t>
      </w:r>
      <w:r w:rsidR="00201F62" w:rsidRPr="002E0A5E">
        <w:rPr>
          <w:szCs w:val="22"/>
        </w:rPr>
        <w:t xml:space="preserve">značné </w:t>
      </w:r>
      <w:r w:rsidRPr="002E0A5E">
        <w:rPr>
          <w:szCs w:val="22"/>
        </w:rPr>
        <w:t xml:space="preserve">míře vázán </w:t>
      </w:r>
      <w:r w:rsidR="00371F7D" w:rsidRPr="002E0A5E">
        <w:rPr>
          <w:szCs w:val="22"/>
        </w:rPr>
        <w:t xml:space="preserve">na bílkoviny </w:t>
      </w:r>
      <w:r w:rsidRPr="002E0A5E">
        <w:rPr>
          <w:szCs w:val="22"/>
        </w:rPr>
        <w:t>v plazmě (96–</w:t>
      </w:r>
      <w:proofErr w:type="gramStart"/>
      <w:r w:rsidRPr="002E0A5E">
        <w:rPr>
          <w:szCs w:val="22"/>
        </w:rPr>
        <w:t>98%</w:t>
      </w:r>
      <w:proofErr w:type="gramEnd"/>
      <w:r w:rsidRPr="002E0A5E">
        <w:rPr>
          <w:szCs w:val="22"/>
        </w:rPr>
        <w:t>).</w:t>
      </w:r>
    </w:p>
    <w:p w:rsidR="004D04EE" w:rsidRPr="002E0A5E" w:rsidRDefault="004D04EE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D04EE" w:rsidRPr="002E0A5E" w:rsidRDefault="000F7370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2E0A5E">
        <w:rPr>
          <w:szCs w:val="22"/>
        </w:rPr>
        <w:t>Clearance</w:t>
      </w:r>
      <w:proofErr w:type="spellEnd"/>
      <w:r w:rsidRPr="002E0A5E">
        <w:rPr>
          <w:szCs w:val="22"/>
        </w:rPr>
        <w:t xml:space="preserve"> </w:t>
      </w:r>
      <w:r w:rsidR="00362087" w:rsidRPr="002E0A5E">
        <w:rPr>
          <w:szCs w:val="22"/>
        </w:rPr>
        <w:t>léčiv</w:t>
      </w:r>
      <w:r w:rsidR="00371F7D" w:rsidRPr="002E0A5E">
        <w:rPr>
          <w:szCs w:val="22"/>
        </w:rPr>
        <w:t>é látky</w:t>
      </w:r>
      <w:r w:rsidR="00362087" w:rsidRPr="002E0A5E">
        <w:rPr>
          <w:szCs w:val="22"/>
        </w:rPr>
        <w:t xml:space="preserve"> probíhá prostřednictvím </w:t>
      </w:r>
      <w:proofErr w:type="spellStart"/>
      <w:r w:rsidR="00362087" w:rsidRPr="002E0A5E">
        <w:rPr>
          <w:szCs w:val="22"/>
        </w:rPr>
        <w:t>metabolizace</w:t>
      </w:r>
      <w:proofErr w:type="spellEnd"/>
      <w:r w:rsidR="00362087" w:rsidRPr="002E0A5E">
        <w:rPr>
          <w:szCs w:val="22"/>
        </w:rPr>
        <w:t xml:space="preserve"> v játrech a následné eliminace konjugovaných metabolitů ledvin</w:t>
      </w:r>
      <w:r w:rsidR="00E13A7D" w:rsidRPr="002E0A5E">
        <w:rPr>
          <w:szCs w:val="22"/>
        </w:rPr>
        <w:t>a</w:t>
      </w:r>
      <w:r w:rsidR="00371F7D" w:rsidRPr="002E0A5E">
        <w:rPr>
          <w:szCs w:val="22"/>
        </w:rPr>
        <w:t>mi</w:t>
      </w:r>
      <w:r w:rsidR="00362087" w:rsidRPr="002E0A5E">
        <w:rPr>
          <w:szCs w:val="22"/>
        </w:rPr>
        <w:t>. Malé množství látky je vyloučeno ve výkalech.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02E64" w:rsidRPr="002E0A5E" w:rsidRDefault="00502E6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5</w:t>
      </w:r>
      <w:r w:rsidR="00C114FF" w:rsidRPr="002E0A5E">
        <w:rPr>
          <w:b/>
          <w:szCs w:val="22"/>
        </w:rPr>
        <w:t>.</w:t>
      </w:r>
      <w:r w:rsidR="00C114FF" w:rsidRPr="002E0A5E">
        <w:rPr>
          <w:b/>
          <w:szCs w:val="22"/>
        </w:rPr>
        <w:tab/>
        <w:t>FARMACEUTICKÉ ÚDAJE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5</w:t>
      </w:r>
      <w:r w:rsidR="00C114FF" w:rsidRPr="002E0A5E">
        <w:rPr>
          <w:b/>
          <w:szCs w:val="22"/>
        </w:rPr>
        <w:t>.</w:t>
      </w:r>
      <w:r w:rsidRPr="002E0A5E">
        <w:rPr>
          <w:b/>
          <w:szCs w:val="22"/>
        </w:rPr>
        <w:t>1</w:t>
      </w:r>
      <w:r w:rsidR="00C114FF" w:rsidRPr="002E0A5E">
        <w:rPr>
          <w:b/>
          <w:szCs w:val="22"/>
        </w:rPr>
        <w:tab/>
        <w:t>Hlavní inkompatibility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83E14" w:rsidRPr="002E0A5E" w:rsidRDefault="000C0866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Veterinární léčivý p</w:t>
      </w:r>
      <w:r w:rsidR="00383E14" w:rsidRPr="002E0A5E">
        <w:rPr>
          <w:szCs w:val="22"/>
        </w:rPr>
        <w:t xml:space="preserve">řípravek lze zředit </w:t>
      </w:r>
      <w:proofErr w:type="gramStart"/>
      <w:r w:rsidR="00383E14" w:rsidRPr="002E0A5E">
        <w:rPr>
          <w:szCs w:val="22"/>
        </w:rPr>
        <w:t>5%</w:t>
      </w:r>
      <w:proofErr w:type="gramEnd"/>
      <w:r w:rsidR="00383E14" w:rsidRPr="002E0A5E">
        <w:rPr>
          <w:szCs w:val="22"/>
        </w:rPr>
        <w:t xml:space="preserve"> infuzním roztokem glukózy. Studie kompatibility s jinými infuzními roztoky (např. </w:t>
      </w:r>
      <w:proofErr w:type="spellStart"/>
      <w:r w:rsidR="00383E14" w:rsidRPr="002E0A5E">
        <w:rPr>
          <w:szCs w:val="22"/>
        </w:rPr>
        <w:t>NaCl</w:t>
      </w:r>
      <w:proofErr w:type="spellEnd"/>
      <w:r w:rsidR="00383E14" w:rsidRPr="002E0A5E">
        <w:rPr>
          <w:szCs w:val="22"/>
        </w:rPr>
        <w:t xml:space="preserve"> nebo </w:t>
      </w:r>
      <w:proofErr w:type="spellStart"/>
      <w:r w:rsidR="00383E14" w:rsidRPr="002E0A5E">
        <w:rPr>
          <w:szCs w:val="22"/>
        </w:rPr>
        <w:t>Ringerovým</w:t>
      </w:r>
      <w:proofErr w:type="spellEnd"/>
      <w:r w:rsidR="00383E14" w:rsidRPr="002E0A5E">
        <w:rPr>
          <w:szCs w:val="22"/>
        </w:rPr>
        <w:t xml:space="preserve"> </w:t>
      </w:r>
      <w:r w:rsidR="00A837F9" w:rsidRPr="002E0A5E">
        <w:rPr>
          <w:szCs w:val="22"/>
        </w:rPr>
        <w:t xml:space="preserve">laktátovým </w:t>
      </w:r>
      <w:r w:rsidR="00383E14" w:rsidRPr="002E0A5E">
        <w:rPr>
          <w:szCs w:val="22"/>
        </w:rPr>
        <w:t>roztokem) nebyly s tímto veterinárním léčivým přípravkem provedeny.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5</w:t>
      </w:r>
      <w:r w:rsidR="00C114FF" w:rsidRPr="002E0A5E">
        <w:rPr>
          <w:b/>
          <w:szCs w:val="22"/>
        </w:rPr>
        <w:t>.</w:t>
      </w:r>
      <w:r w:rsidRPr="002E0A5E">
        <w:rPr>
          <w:b/>
          <w:szCs w:val="22"/>
        </w:rPr>
        <w:t>2</w:t>
      </w:r>
      <w:r w:rsidR="00C114FF" w:rsidRPr="002E0A5E">
        <w:rPr>
          <w:b/>
          <w:szCs w:val="22"/>
        </w:rPr>
        <w:tab/>
        <w:t>Doba použitelnosti</w:t>
      </w:r>
    </w:p>
    <w:p w:rsidR="00A90194" w:rsidRPr="002E0A5E" w:rsidRDefault="00A9019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706AD" w:rsidRPr="002E0A5E" w:rsidRDefault="009706AD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Doba použitelnosti veterinárního léčivého přípravku v neporušeném obalu: 3 roky</w:t>
      </w:r>
      <w:r w:rsidR="008175E4" w:rsidRPr="002E0A5E">
        <w:rPr>
          <w:szCs w:val="22"/>
        </w:rPr>
        <w:t>.</w:t>
      </w:r>
    </w:p>
    <w:p w:rsidR="00C114FF" w:rsidRPr="002E0A5E" w:rsidRDefault="00815E35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Doba použitelnosti po prvním otevření vnitřního obalu: spotřebujte</w:t>
      </w:r>
      <w:r w:rsidR="00A837F9" w:rsidRPr="002E0A5E">
        <w:rPr>
          <w:szCs w:val="22"/>
        </w:rPr>
        <w:t xml:space="preserve"> ihned</w:t>
      </w:r>
      <w:r w:rsidRPr="002E0A5E">
        <w:rPr>
          <w:szCs w:val="22"/>
        </w:rPr>
        <w:t>.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5</w:t>
      </w:r>
      <w:r w:rsidR="00A51E29" w:rsidRPr="002E0A5E">
        <w:rPr>
          <w:b/>
          <w:szCs w:val="22"/>
        </w:rPr>
        <w:t>.</w:t>
      </w:r>
      <w:r w:rsidRPr="002E0A5E">
        <w:rPr>
          <w:b/>
          <w:szCs w:val="22"/>
        </w:rPr>
        <w:t>3</w:t>
      </w:r>
      <w:r w:rsidR="00C114FF" w:rsidRPr="002E0A5E">
        <w:rPr>
          <w:b/>
          <w:szCs w:val="22"/>
        </w:rPr>
        <w:tab/>
        <w:t>Zvláštní opatření pro uchovávání</w:t>
      </w:r>
    </w:p>
    <w:p w:rsidR="00C114FF" w:rsidRPr="002E0A5E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CB3422" w:rsidRDefault="00A90194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Chraňte před mrazem.</w:t>
      </w:r>
      <w:r w:rsidR="00B3019F" w:rsidRPr="002E0A5E">
        <w:rPr>
          <w:szCs w:val="22"/>
        </w:rPr>
        <w:t xml:space="preserve"> </w:t>
      </w:r>
    </w:p>
    <w:p w:rsidR="00A90194" w:rsidRPr="002E0A5E" w:rsidRDefault="00B3019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Uchovávejte lahvičku v krabičce.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5</w:t>
      </w:r>
      <w:r w:rsidR="00C114FF" w:rsidRPr="002E0A5E">
        <w:rPr>
          <w:b/>
          <w:szCs w:val="22"/>
        </w:rPr>
        <w:t>.</w:t>
      </w:r>
      <w:r w:rsidRPr="002E0A5E">
        <w:rPr>
          <w:b/>
          <w:szCs w:val="22"/>
        </w:rPr>
        <w:t>4</w:t>
      </w:r>
      <w:r w:rsidR="00C114FF" w:rsidRPr="002E0A5E">
        <w:rPr>
          <w:b/>
          <w:szCs w:val="22"/>
        </w:rPr>
        <w:tab/>
        <w:t xml:space="preserve">Druh a </w:t>
      </w:r>
      <w:r w:rsidR="00C114FF" w:rsidRPr="002E0A5E">
        <w:rPr>
          <w:b/>
          <w:bCs/>
          <w:szCs w:val="22"/>
        </w:rPr>
        <w:t>složení vnitřního obalu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D4853" w:rsidRPr="002E0A5E" w:rsidRDefault="00A837F9" w:rsidP="002E0A5E">
      <w:pPr>
        <w:spacing w:line="240" w:lineRule="auto"/>
        <w:jc w:val="both"/>
        <w:rPr>
          <w:szCs w:val="22"/>
        </w:rPr>
      </w:pPr>
      <w:r w:rsidRPr="002E0A5E">
        <w:rPr>
          <w:szCs w:val="22"/>
        </w:rPr>
        <w:t>Injekční</w:t>
      </w:r>
      <w:r w:rsidR="007D4853" w:rsidRPr="002E0A5E">
        <w:rPr>
          <w:szCs w:val="22"/>
        </w:rPr>
        <w:t xml:space="preserve"> lahvička </w:t>
      </w:r>
      <w:r w:rsidRPr="002E0A5E">
        <w:rPr>
          <w:szCs w:val="22"/>
        </w:rPr>
        <w:t xml:space="preserve">ze skla </w:t>
      </w:r>
      <w:r w:rsidR="007D4853" w:rsidRPr="002E0A5E">
        <w:rPr>
          <w:szCs w:val="22"/>
        </w:rPr>
        <w:t xml:space="preserve">typu I (20, 50 a 100 ml) s šedou </w:t>
      </w:r>
      <w:proofErr w:type="spellStart"/>
      <w:r w:rsidRPr="002E0A5E">
        <w:rPr>
          <w:szCs w:val="22"/>
        </w:rPr>
        <w:t>silikonozovanou</w:t>
      </w:r>
      <w:proofErr w:type="spellEnd"/>
      <w:r w:rsidRPr="002E0A5E">
        <w:rPr>
          <w:szCs w:val="22"/>
        </w:rPr>
        <w:t xml:space="preserve"> </w:t>
      </w:r>
      <w:proofErr w:type="spellStart"/>
      <w:r w:rsidRPr="002E0A5E">
        <w:rPr>
          <w:szCs w:val="22"/>
        </w:rPr>
        <w:t>bromobutylovou</w:t>
      </w:r>
      <w:proofErr w:type="spellEnd"/>
      <w:r w:rsidRPr="002E0A5E">
        <w:rPr>
          <w:szCs w:val="22"/>
        </w:rPr>
        <w:t xml:space="preserve"> gumovou</w:t>
      </w:r>
      <w:r w:rsidR="00F3347A" w:rsidRPr="002E0A5E">
        <w:rPr>
          <w:szCs w:val="22"/>
        </w:rPr>
        <w:t xml:space="preserve"> </w:t>
      </w:r>
      <w:r w:rsidR="007C2F63" w:rsidRPr="002E0A5E">
        <w:rPr>
          <w:szCs w:val="22"/>
        </w:rPr>
        <w:t xml:space="preserve">zátkou </w:t>
      </w:r>
      <w:r w:rsidR="007D4853" w:rsidRPr="002E0A5E">
        <w:rPr>
          <w:szCs w:val="22"/>
        </w:rPr>
        <w:t>a hliníkov</w:t>
      </w:r>
      <w:r w:rsidR="00CB3422">
        <w:rPr>
          <w:szCs w:val="22"/>
        </w:rPr>
        <w:t>ým</w:t>
      </w:r>
      <w:r w:rsidR="007D4853" w:rsidRPr="002E0A5E">
        <w:rPr>
          <w:szCs w:val="22"/>
        </w:rPr>
        <w:t xml:space="preserve"> </w:t>
      </w:r>
      <w:proofErr w:type="spellStart"/>
      <w:r w:rsidR="007871AE" w:rsidRPr="002E0A5E">
        <w:rPr>
          <w:szCs w:val="22"/>
        </w:rPr>
        <w:t>pertl</w:t>
      </w:r>
      <w:r w:rsidR="00CB3422">
        <w:rPr>
          <w:szCs w:val="22"/>
        </w:rPr>
        <w:t>em</w:t>
      </w:r>
      <w:proofErr w:type="spellEnd"/>
      <w:r w:rsidR="007D4853" w:rsidRPr="002E0A5E">
        <w:rPr>
          <w:szCs w:val="22"/>
        </w:rPr>
        <w:t>.</w:t>
      </w:r>
    </w:p>
    <w:p w:rsidR="007D4853" w:rsidRPr="002E0A5E" w:rsidRDefault="007D4853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53D66" w:rsidRPr="002E0A5E" w:rsidRDefault="00453D66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Velikosti balení: 1x20 ml, 5x20 ml, 1x50 ml, 1x100 ml</w:t>
      </w:r>
    </w:p>
    <w:p w:rsidR="00453D66" w:rsidRPr="002E0A5E" w:rsidRDefault="00453D66" w:rsidP="002E0A5E">
      <w:pPr>
        <w:tabs>
          <w:tab w:val="clear" w:pos="567"/>
        </w:tabs>
        <w:spacing w:line="240" w:lineRule="auto"/>
        <w:jc w:val="both"/>
        <w:rPr>
          <w:szCs w:val="22"/>
          <w:lang w:val="fi-FI"/>
        </w:rPr>
      </w:pP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Na trhu nemusí být všechny velikosti balení.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2E0A5E">
        <w:rPr>
          <w:b/>
          <w:szCs w:val="22"/>
        </w:rPr>
        <w:t>5</w:t>
      </w:r>
      <w:r w:rsidR="00C114FF" w:rsidRPr="002E0A5E">
        <w:rPr>
          <w:b/>
          <w:szCs w:val="22"/>
        </w:rPr>
        <w:t>.</w:t>
      </w:r>
      <w:r w:rsidRPr="002E0A5E">
        <w:rPr>
          <w:b/>
          <w:szCs w:val="22"/>
        </w:rPr>
        <w:t>5</w:t>
      </w:r>
      <w:r w:rsidR="00C114FF" w:rsidRPr="002E0A5E">
        <w:rPr>
          <w:szCs w:val="22"/>
        </w:rPr>
        <w:tab/>
      </w:r>
      <w:r w:rsidR="00C114FF" w:rsidRPr="002E0A5E">
        <w:rPr>
          <w:b/>
          <w:szCs w:val="22"/>
        </w:rPr>
        <w:t xml:space="preserve">Zvláštní opatření pro </w:t>
      </w:r>
      <w:r w:rsidR="007A2708">
        <w:rPr>
          <w:b/>
          <w:szCs w:val="22"/>
        </w:rPr>
        <w:t>likvidaci</w:t>
      </w:r>
      <w:r w:rsidR="007A2708" w:rsidRPr="002E0A5E">
        <w:rPr>
          <w:b/>
          <w:szCs w:val="22"/>
        </w:rPr>
        <w:t xml:space="preserve"> </w:t>
      </w:r>
      <w:r w:rsidR="00C114FF" w:rsidRPr="002E0A5E">
        <w:rPr>
          <w:b/>
          <w:szCs w:val="22"/>
        </w:rPr>
        <w:t>nepoužit</w:t>
      </w:r>
      <w:r w:rsidRPr="002E0A5E">
        <w:rPr>
          <w:b/>
          <w:szCs w:val="22"/>
        </w:rPr>
        <w:t>ých</w:t>
      </w:r>
      <w:r w:rsidR="00C114FF" w:rsidRPr="002E0A5E">
        <w:rPr>
          <w:b/>
          <w:szCs w:val="22"/>
        </w:rPr>
        <w:t xml:space="preserve"> veterinární</w:t>
      </w:r>
      <w:r w:rsidRPr="002E0A5E">
        <w:rPr>
          <w:b/>
          <w:szCs w:val="22"/>
        </w:rPr>
        <w:t>ch</w:t>
      </w:r>
      <w:r w:rsidR="00C114FF" w:rsidRPr="002E0A5E">
        <w:rPr>
          <w:b/>
          <w:szCs w:val="22"/>
        </w:rPr>
        <w:t xml:space="preserve"> léčiv</w:t>
      </w:r>
      <w:r w:rsidRPr="002E0A5E">
        <w:rPr>
          <w:b/>
          <w:szCs w:val="22"/>
        </w:rPr>
        <w:t>ých</w:t>
      </w:r>
      <w:r w:rsidR="00C114FF" w:rsidRPr="002E0A5E">
        <w:rPr>
          <w:b/>
          <w:szCs w:val="22"/>
        </w:rPr>
        <w:t xml:space="preserve"> přípravk</w:t>
      </w:r>
      <w:r w:rsidRPr="002E0A5E">
        <w:rPr>
          <w:b/>
          <w:szCs w:val="22"/>
        </w:rPr>
        <w:t>ů</w:t>
      </w:r>
      <w:r w:rsidR="00C114FF" w:rsidRPr="002E0A5E">
        <w:rPr>
          <w:b/>
          <w:szCs w:val="22"/>
        </w:rPr>
        <w:t xml:space="preserve"> nebo odpad</w:t>
      </w:r>
      <w:r w:rsidRPr="002E0A5E">
        <w:rPr>
          <w:b/>
          <w:szCs w:val="22"/>
        </w:rPr>
        <w:t>ů</w:t>
      </w:r>
      <w:r w:rsidR="00C114FF" w:rsidRPr="002E0A5E">
        <w:rPr>
          <w:b/>
          <w:szCs w:val="22"/>
        </w:rPr>
        <w:t>, kter</w:t>
      </w:r>
      <w:r w:rsidRPr="002E0A5E">
        <w:rPr>
          <w:b/>
          <w:szCs w:val="22"/>
        </w:rPr>
        <w:t>é</w:t>
      </w:r>
      <w:r w:rsidR="00C114FF" w:rsidRPr="002E0A5E">
        <w:rPr>
          <w:b/>
          <w:szCs w:val="22"/>
        </w:rPr>
        <w:t xml:space="preserve"> pochází z t</w:t>
      </w:r>
      <w:r w:rsidRPr="002E0A5E">
        <w:rPr>
          <w:b/>
          <w:szCs w:val="22"/>
        </w:rPr>
        <w:t>ěchto</w:t>
      </w:r>
      <w:r w:rsidR="00C114FF" w:rsidRPr="002E0A5E">
        <w:rPr>
          <w:b/>
          <w:szCs w:val="22"/>
        </w:rPr>
        <w:t xml:space="preserve"> přípravk</w:t>
      </w:r>
      <w:r w:rsidRPr="002E0A5E">
        <w:rPr>
          <w:b/>
          <w:szCs w:val="22"/>
        </w:rPr>
        <w:t>ů</w:t>
      </w:r>
    </w:p>
    <w:p w:rsidR="00C114FF" w:rsidRPr="002E0A5E" w:rsidRDefault="00C114FF" w:rsidP="002E0A5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B8423C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Léčivé přípravky se nesmí likvidovat prostřednictvím odpadní vody či domovního odpadu.</w:t>
      </w:r>
    </w:p>
    <w:p w:rsidR="00B8423C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2E0A5E">
        <w:rPr>
          <w:szCs w:val="22"/>
        </w:rPr>
        <w:t>Všechen nepoužitý veterinární léčivý přípravek nebo odpad, který pochází z tohoto přípravku</w:t>
      </w:r>
      <w:r w:rsidR="00184D62" w:rsidRPr="002E0A5E">
        <w:rPr>
          <w:szCs w:val="22"/>
        </w:rPr>
        <w:t xml:space="preserve">, </w:t>
      </w:r>
      <w:r w:rsidR="00B8423C" w:rsidRPr="002E0A5E">
        <w:rPr>
          <w:szCs w:val="22"/>
        </w:rPr>
        <w:t xml:space="preserve">likvidujte odevzdáním v souladu s místními požadavky a národními systémy sběru, které jsou platné pro </w:t>
      </w:r>
      <w:proofErr w:type="spellStart"/>
      <w:r w:rsidR="00B8423C" w:rsidRPr="002E0A5E">
        <w:rPr>
          <w:szCs w:val="22"/>
        </w:rPr>
        <w:t>příslušny</w:t>
      </w:r>
      <w:proofErr w:type="spellEnd"/>
      <w:r w:rsidR="00B8423C" w:rsidRPr="002E0A5E">
        <w:rPr>
          <w:szCs w:val="22"/>
        </w:rPr>
        <w:t>́ veterinární léčivý přípravek</w:t>
      </w:r>
      <w:r w:rsidRPr="002E0A5E">
        <w:rPr>
          <w:szCs w:val="22"/>
        </w:rPr>
        <w:t>.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B8423C" w:rsidP="002E0A5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2E0A5E">
        <w:rPr>
          <w:b/>
          <w:szCs w:val="22"/>
        </w:rPr>
        <w:t>6</w:t>
      </w:r>
      <w:r w:rsidR="00C114FF" w:rsidRPr="002E0A5E">
        <w:rPr>
          <w:b/>
          <w:szCs w:val="22"/>
        </w:rPr>
        <w:t>.</w:t>
      </w:r>
      <w:r w:rsidR="00C114FF" w:rsidRPr="002E0A5E">
        <w:rPr>
          <w:b/>
          <w:szCs w:val="22"/>
        </w:rPr>
        <w:tab/>
      </w:r>
      <w:r w:rsidRPr="002E0A5E">
        <w:rPr>
          <w:b/>
          <w:szCs w:val="22"/>
        </w:rPr>
        <w:t xml:space="preserve">JMÉNO </w:t>
      </w:r>
      <w:r w:rsidR="00C114FF" w:rsidRPr="002E0A5E">
        <w:rPr>
          <w:b/>
          <w:szCs w:val="22"/>
        </w:rPr>
        <w:t>DRŽITEL</w:t>
      </w:r>
      <w:r w:rsidRPr="002E0A5E">
        <w:rPr>
          <w:b/>
          <w:szCs w:val="22"/>
        </w:rPr>
        <w:t>E</w:t>
      </w:r>
      <w:r w:rsidR="00C114FF" w:rsidRPr="002E0A5E">
        <w:rPr>
          <w:b/>
          <w:szCs w:val="22"/>
        </w:rPr>
        <w:t xml:space="preserve"> ROZHODNUTÍ O REGISTRACI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880736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Orion Corporation</w:t>
      </w:r>
    </w:p>
    <w:p w:rsidR="00B8423C" w:rsidRPr="002E0A5E" w:rsidRDefault="00B8423C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880736" w:rsidRPr="002E0A5E" w:rsidRDefault="00880736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A8083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7</w:t>
      </w:r>
      <w:r w:rsidR="00C114FF" w:rsidRPr="002E0A5E">
        <w:rPr>
          <w:b/>
          <w:szCs w:val="22"/>
        </w:rPr>
        <w:t>.</w:t>
      </w:r>
      <w:r w:rsidR="00C114FF" w:rsidRPr="002E0A5E">
        <w:rPr>
          <w:b/>
          <w:szCs w:val="22"/>
        </w:rPr>
        <w:tab/>
        <w:t>REGISTRAČNÍ ČÍSLO(A)</w:t>
      </w:r>
    </w:p>
    <w:p w:rsidR="004F13A3" w:rsidRPr="002E0A5E" w:rsidRDefault="004F13A3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D5297" w:rsidRPr="002E0A5E" w:rsidRDefault="002C659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96/030/</w:t>
      </w:r>
      <w:proofErr w:type="gramStart"/>
      <w:r w:rsidRPr="002E0A5E">
        <w:rPr>
          <w:szCs w:val="22"/>
        </w:rPr>
        <w:t>20-C</w:t>
      </w:r>
      <w:proofErr w:type="gramEnd"/>
    </w:p>
    <w:p w:rsidR="002C6597" w:rsidRPr="002E0A5E" w:rsidRDefault="002C659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A2F31" w:rsidRPr="002E0A5E" w:rsidRDefault="009A2F31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A8083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b/>
          <w:szCs w:val="22"/>
        </w:rPr>
        <w:t>8</w:t>
      </w:r>
      <w:r w:rsidR="00C114FF" w:rsidRPr="002E0A5E">
        <w:rPr>
          <w:b/>
          <w:szCs w:val="22"/>
        </w:rPr>
        <w:t>.</w:t>
      </w:r>
      <w:r w:rsidR="00C114FF" w:rsidRPr="002E0A5E">
        <w:rPr>
          <w:b/>
          <w:szCs w:val="22"/>
        </w:rPr>
        <w:tab/>
        <w:t xml:space="preserve">DATUM </w:t>
      </w:r>
      <w:r w:rsidRPr="002E0A5E">
        <w:rPr>
          <w:b/>
          <w:szCs w:val="22"/>
        </w:rPr>
        <w:t xml:space="preserve">PRVNÍ </w:t>
      </w:r>
      <w:r w:rsidR="00C114FF" w:rsidRPr="002E0A5E">
        <w:rPr>
          <w:b/>
          <w:szCs w:val="22"/>
        </w:rPr>
        <w:t>REGISTRACE</w:t>
      </w:r>
    </w:p>
    <w:p w:rsidR="00C114FF" w:rsidRPr="002E0A5E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2E0A5E" w:rsidRDefault="002C659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E0A5E">
        <w:rPr>
          <w:szCs w:val="22"/>
        </w:rPr>
        <w:t>6. 4. 2020</w:t>
      </w:r>
    </w:p>
    <w:p w:rsidR="00D65777" w:rsidRPr="002E0A5E" w:rsidRDefault="00D65777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A8083F" w:rsidP="002E0A5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9</w:t>
      </w:r>
      <w:r w:rsidR="00C114FF">
        <w:rPr>
          <w:b/>
          <w:szCs w:val="22"/>
        </w:rPr>
        <w:t>.</w:t>
      </w:r>
      <w:r w:rsidR="00C114FF">
        <w:rPr>
          <w:b/>
          <w:szCs w:val="22"/>
        </w:rPr>
        <w:tab/>
        <w:t xml:space="preserve">DATUM </w:t>
      </w:r>
      <w:r>
        <w:rPr>
          <w:b/>
          <w:szCs w:val="22"/>
        </w:rPr>
        <w:t>POSLEDNÍ AKTUALIZACE SOUHRNU ÚDAJŮ O PŘÍPRAVKU</w:t>
      </w:r>
    </w:p>
    <w:p w:rsidR="00C114FF" w:rsidRPr="00474C50" w:rsidRDefault="00C114FF" w:rsidP="002E0A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8083F" w:rsidRDefault="00BD133D" w:rsidP="002E0A5E">
      <w:pPr>
        <w:tabs>
          <w:tab w:val="clear" w:pos="567"/>
        </w:tabs>
        <w:spacing w:line="240" w:lineRule="auto"/>
        <w:jc w:val="both"/>
      </w:pPr>
      <w:proofErr w:type="gramStart"/>
      <w:r>
        <w:t>Leden</w:t>
      </w:r>
      <w:proofErr w:type="gramEnd"/>
      <w:r>
        <w:t xml:space="preserve"> 2024</w:t>
      </w:r>
      <w:bookmarkStart w:id="1" w:name="_GoBack"/>
      <w:bookmarkEnd w:id="1"/>
    </w:p>
    <w:p w:rsidR="00A8083F" w:rsidRDefault="00A8083F" w:rsidP="002E0A5E">
      <w:pPr>
        <w:tabs>
          <w:tab w:val="clear" w:pos="567"/>
        </w:tabs>
        <w:spacing w:line="240" w:lineRule="auto"/>
        <w:jc w:val="both"/>
      </w:pPr>
    </w:p>
    <w:p w:rsidR="00A8083F" w:rsidRPr="002E0A5E" w:rsidRDefault="00A8083F" w:rsidP="00B30F94">
      <w:pPr>
        <w:tabs>
          <w:tab w:val="clear" w:pos="567"/>
        </w:tabs>
        <w:spacing w:line="240" w:lineRule="auto"/>
        <w:jc w:val="both"/>
        <w:rPr>
          <w:b/>
        </w:rPr>
      </w:pPr>
      <w:r w:rsidRPr="002E0A5E">
        <w:rPr>
          <w:b/>
        </w:rPr>
        <w:t>10.</w:t>
      </w:r>
      <w:r w:rsidRPr="002E0A5E">
        <w:rPr>
          <w:b/>
        </w:rPr>
        <w:tab/>
        <w:t>KLASIFIKACE VETERINÁRNÍCH LÉČIVÝCH PŘÍPRAVKŮ</w:t>
      </w:r>
    </w:p>
    <w:p w:rsidR="002C6597" w:rsidRDefault="002C6597" w:rsidP="00B30F94">
      <w:pPr>
        <w:tabs>
          <w:tab w:val="clear" w:pos="567"/>
        </w:tabs>
        <w:spacing w:line="240" w:lineRule="auto"/>
        <w:jc w:val="both"/>
      </w:pPr>
    </w:p>
    <w:p w:rsidR="00371F7D" w:rsidRDefault="00371F7D" w:rsidP="00BD133D">
      <w:pPr>
        <w:spacing w:line="240" w:lineRule="auto"/>
        <w:jc w:val="both"/>
      </w:pPr>
      <w:r>
        <w:t>Veterinární léčivý přípravek je vydáván pouze na předpis.</w:t>
      </w:r>
    </w:p>
    <w:p w:rsidR="00A8083F" w:rsidRDefault="00A8083F" w:rsidP="00BD133D">
      <w:pPr>
        <w:spacing w:line="240" w:lineRule="auto"/>
        <w:jc w:val="both"/>
      </w:pPr>
    </w:p>
    <w:p w:rsidR="00A8083F" w:rsidRDefault="00A8083F">
      <w:pPr>
        <w:spacing w:line="240" w:lineRule="auto"/>
        <w:jc w:val="both"/>
      </w:pPr>
      <w:r w:rsidRPr="00A8083F">
        <w:t>Podrobné informace o tomto veterinárním léčivém přípravku jsou k dispozici v databázi přípravků Unie (</w:t>
      </w:r>
      <w:hyperlink r:id="rId11" w:history="1">
        <w:r w:rsidR="00054013" w:rsidRPr="009156EF">
          <w:rPr>
            <w:rStyle w:val="Hypertextovodkaz"/>
          </w:rPr>
          <w:t>https://medicines.health.europa.eu/veterinary</w:t>
        </w:r>
      </w:hyperlink>
      <w:r w:rsidRPr="00A8083F">
        <w:t>).</w:t>
      </w:r>
    </w:p>
    <w:p w:rsidR="00054013" w:rsidRDefault="00054013">
      <w:pPr>
        <w:spacing w:line="240" w:lineRule="auto"/>
        <w:jc w:val="both"/>
      </w:pPr>
    </w:p>
    <w:p w:rsidR="00054013" w:rsidRPr="00FF6F52" w:rsidRDefault="00054013" w:rsidP="00054013">
      <w:pPr>
        <w:spacing w:line="240" w:lineRule="auto"/>
        <w:jc w:val="both"/>
        <w:rPr>
          <w:rFonts w:asciiTheme="minorHAnsi" w:hAnsiTheme="minorHAnsi" w:cstheme="minorHAnsi"/>
        </w:rPr>
      </w:pPr>
      <w:bookmarkStart w:id="2" w:name="_Hlk148432335"/>
      <w:r w:rsidRPr="00FF6F52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12" w:history="1">
        <w:r w:rsidRPr="00FF6F52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FF6F52">
        <w:rPr>
          <w:rFonts w:asciiTheme="minorHAnsi" w:hAnsiTheme="minorHAnsi" w:cstheme="minorHAnsi"/>
        </w:rPr>
        <w:t>).</w:t>
      </w:r>
    </w:p>
    <w:bookmarkEnd w:id="2"/>
    <w:p w:rsidR="00054013" w:rsidRDefault="00054013" w:rsidP="00BD133D">
      <w:pPr>
        <w:spacing w:line="240" w:lineRule="auto"/>
        <w:jc w:val="both"/>
      </w:pPr>
    </w:p>
    <w:p w:rsidR="00371F7D" w:rsidRPr="00474C50" w:rsidRDefault="00371F7D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371F7D" w:rsidRPr="00474C50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C3" w:rsidRDefault="004737C3">
      <w:r>
        <w:separator/>
      </w:r>
    </w:p>
  </w:endnote>
  <w:endnote w:type="continuationSeparator" w:id="0">
    <w:p w:rsidR="004737C3" w:rsidRDefault="004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3" w:rsidRPr="00B94A1B" w:rsidRDefault="00F73A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0F7A2C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3" w:rsidRDefault="00F73A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C3" w:rsidRDefault="004737C3">
      <w:r>
        <w:separator/>
      </w:r>
    </w:p>
  </w:footnote>
  <w:footnote w:type="continuationSeparator" w:id="0">
    <w:p w:rsidR="004737C3" w:rsidRDefault="0047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3" w:rsidRDefault="005474BC">
    <w:pPr>
      <w:pStyle w:val="Zhlav"/>
    </w:pPr>
    <w:bookmarkStart w:id="3" w:name="_Hlk150346920"/>
    <w:r>
      <w:t xml:space="preserve">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08913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F8C04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76C4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964C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88CB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AACA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0A9E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82D2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C791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EA27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5097B33"/>
    <w:multiLevelType w:val="hybridMultilevel"/>
    <w:tmpl w:val="F666626A"/>
    <w:lvl w:ilvl="0" w:tplc="7862E6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8418A"/>
    <w:multiLevelType w:val="hybridMultilevel"/>
    <w:tmpl w:val="3B48A824"/>
    <w:lvl w:ilvl="0" w:tplc="7862E6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DA8"/>
    <w:multiLevelType w:val="hybridMultilevel"/>
    <w:tmpl w:val="CB5E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227D1"/>
    <w:multiLevelType w:val="multilevel"/>
    <w:tmpl w:val="865C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413"/>
    <w:rsid w:val="00007BDD"/>
    <w:rsid w:val="00016C3C"/>
    <w:rsid w:val="0002121A"/>
    <w:rsid w:val="00021B82"/>
    <w:rsid w:val="00024777"/>
    <w:rsid w:val="00024E21"/>
    <w:rsid w:val="000255D4"/>
    <w:rsid w:val="00027F32"/>
    <w:rsid w:val="00036C50"/>
    <w:rsid w:val="00052D2B"/>
    <w:rsid w:val="00053EF7"/>
    <w:rsid w:val="00054013"/>
    <w:rsid w:val="00054F55"/>
    <w:rsid w:val="00062945"/>
    <w:rsid w:val="00064C8E"/>
    <w:rsid w:val="000729BA"/>
    <w:rsid w:val="000736FB"/>
    <w:rsid w:val="00080453"/>
    <w:rsid w:val="0008169A"/>
    <w:rsid w:val="0008252E"/>
    <w:rsid w:val="000860CE"/>
    <w:rsid w:val="00092526"/>
    <w:rsid w:val="00092A37"/>
    <w:rsid w:val="000938A6"/>
    <w:rsid w:val="0009489B"/>
    <w:rsid w:val="00097C1E"/>
    <w:rsid w:val="000A1D5C"/>
    <w:rsid w:val="000A1DF5"/>
    <w:rsid w:val="000A6D70"/>
    <w:rsid w:val="000B7873"/>
    <w:rsid w:val="000C02A1"/>
    <w:rsid w:val="000C0866"/>
    <w:rsid w:val="000C1D4F"/>
    <w:rsid w:val="000C687A"/>
    <w:rsid w:val="000D1EC8"/>
    <w:rsid w:val="000D67D0"/>
    <w:rsid w:val="000E195C"/>
    <w:rsid w:val="000E3602"/>
    <w:rsid w:val="000E68E8"/>
    <w:rsid w:val="000F38DA"/>
    <w:rsid w:val="000F5822"/>
    <w:rsid w:val="000F7370"/>
    <w:rsid w:val="000F796B"/>
    <w:rsid w:val="000F7A2C"/>
    <w:rsid w:val="0010031E"/>
    <w:rsid w:val="001012EB"/>
    <w:rsid w:val="001078D1"/>
    <w:rsid w:val="00115782"/>
    <w:rsid w:val="00124F36"/>
    <w:rsid w:val="00125666"/>
    <w:rsid w:val="00125C80"/>
    <w:rsid w:val="00133A70"/>
    <w:rsid w:val="0013799F"/>
    <w:rsid w:val="00137ADB"/>
    <w:rsid w:val="00140DF6"/>
    <w:rsid w:val="0014326F"/>
    <w:rsid w:val="00145C3F"/>
    <w:rsid w:val="00145D34"/>
    <w:rsid w:val="00146284"/>
    <w:rsid w:val="0014690F"/>
    <w:rsid w:val="00146AA4"/>
    <w:rsid w:val="00146E79"/>
    <w:rsid w:val="0015098E"/>
    <w:rsid w:val="0015200C"/>
    <w:rsid w:val="00157CCD"/>
    <w:rsid w:val="00157D7E"/>
    <w:rsid w:val="001674D3"/>
    <w:rsid w:val="00175264"/>
    <w:rsid w:val="001803D2"/>
    <w:rsid w:val="00181EFB"/>
    <w:rsid w:val="0018228B"/>
    <w:rsid w:val="00184D62"/>
    <w:rsid w:val="001852D3"/>
    <w:rsid w:val="00185B50"/>
    <w:rsid w:val="0018625C"/>
    <w:rsid w:val="00187DE7"/>
    <w:rsid w:val="00187E62"/>
    <w:rsid w:val="00192045"/>
    <w:rsid w:val="001936C1"/>
    <w:rsid w:val="00193B14"/>
    <w:rsid w:val="00193E72"/>
    <w:rsid w:val="00195267"/>
    <w:rsid w:val="0019600B"/>
    <w:rsid w:val="0019686E"/>
    <w:rsid w:val="001A0E2C"/>
    <w:rsid w:val="001A28C9"/>
    <w:rsid w:val="001A34BC"/>
    <w:rsid w:val="001B1C77"/>
    <w:rsid w:val="001B6F4A"/>
    <w:rsid w:val="001C5288"/>
    <w:rsid w:val="001C5B03"/>
    <w:rsid w:val="001D1BB1"/>
    <w:rsid w:val="001D368F"/>
    <w:rsid w:val="001D5297"/>
    <w:rsid w:val="001D6D96"/>
    <w:rsid w:val="001E3831"/>
    <w:rsid w:val="001E5621"/>
    <w:rsid w:val="001F254B"/>
    <w:rsid w:val="001F3EF9"/>
    <w:rsid w:val="001F627D"/>
    <w:rsid w:val="001F6622"/>
    <w:rsid w:val="00201F62"/>
    <w:rsid w:val="002100FC"/>
    <w:rsid w:val="002121F4"/>
    <w:rsid w:val="00213890"/>
    <w:rsid w:val="00214E52"/>
    <w:rsid w:val="0021661A"/>
    <w:rsid w:val="002207C0"/>
    <w:rsid w:val="00224B93"/>
    <w:rsid w:val="002278BF"/>
    <w:rsid w:val="0023676E"/>
    <w:rsid w:val="002414B6"/>
    <w:rsid w:val="002422EB"/>
    <w:rsid w:val="00242397"/>
    <w:rsid w:val="00246556"/>
    <w:rsid w:val="00250DD1"/>
    <w:rsid w:val="00251183"/>
    <w:rsid w:val="00251689"/>
    <w:rsid w:val="0025267C"/>
    <w:rsid w:val="00253B6B"/>
    <w:rsid w:val="00265656"/>
    <w:rsid w:val="0026581A"/>
    <w:rsid w:val="00265E77"/>
    <w:rsid w:val="00266155"/>
    <w:rsid w:val="0027270B"/>
    <w:rsid w:val="002744E7"/>
    <w:rsid w:val="00277C15"/>
    <w:rsid w:val="00282856"/>
    <w:rsid w:val="00283815"/>
    <w:rsid w:val="002838C8"/>
    <w:rsid w:val="00285EB4"/>
    <w:rsid w:val="00290805"/>
    <w:rsid w:val="00290C2A"/>
    <w:rsid w:val="002931DD"/>
    <w:rsid w:val="002A0E7C"/>
    <w:rsid w:val="002A21ED"/>
    <w:rsid w:val="002A3F88"/>
    <w:rsid w:val="002B0F11"/>
    <w:rsid w:val="002C0346"/>
    <w:rsid w:val="002C55FF"/>
    <w:rsid w:val="002C592B"/>
    <w:rsid w:val="002C6597"/>
    <w:rsid w:val="002E0509"/>
    <w:rsid w:val="002E0A5E"/>
    <w:rsid w:val="002E3A90"/>
    <w:rsid w:val="002E46CC"/>
    <w:rsid w:val="002E4BB6"/>
    <w:rsid w:val="002E4F48"/>
    <w:rsid w:val="002E62CB"/>
    <w:rsid w:val="002E6DF1"/>
    <w:rsid w:val="002E6ED9"/>
    <w:rsid w:val="002F0957"/>
    <w:rsid w:val="002F2C38"/>
    <w:rsid w:val="002F41AD"/>
    <w:rsid w:val="002F43F6"/>
    <w:rsid w:val="002F71D5"/>
    <w:rsid w:val="003020BB"/>
    <w:rsid w:val="00304393"/>
    <w:rsid w:val="00305AB2"/>
    <w:rsid w:val="0031032B"/>
    <w:rsid w:val="00316E87"/>
    <w:rsid w:val="00320D0A"/>
    <w:rsid w:val="00323129"/>
    <w:rsid w:val="0032453E"/>
    <w:rsid w:val="00325053"/>
    <w:rsid w:val="003256AC"/>
    <w:rsid w:val="0033129D"/>
    <w:rsid w:val="003320ED"/>
    <w:rsid w:val="0033480E"/>
    <w:rsid w:val="00337123"/>
    <w:rsid w:val="00341866"/>
    <w:rsid w:val="00344791"/>
    <w:rsid w:val="003535E0"/>
    <w:rsid w:val="00354209"/>
    <w:rsid w:val="00360EEC"/>
    <w:rsid w:val="00362087"/>
    <w:rsid w:val="00366F56"/>
    <w:rsid w:val="00371F7D"/>
    <w:rsid w:val="003737C8"/>
    <w:rsid w:val="0037589D"/>
    <w:rsid w:val="00376BB1"/>
    <w:rsid w:val="00377E23"/>
    <w:rsid w:val="0038277C"/>
    <w:rsid w:val="00383E14"/>
    <w:rsid w:val="00386244"/>
    <w:rsid w:val="003909E0"/>
    <w:rsid w:val="003911C8"/>
    <w:rsid w:val="0039362A"/>
    <w:rsid w:val="00393E09"/>
    <w:rsid w:val="00395B15"/>
    <w:rsid w:val="00396026"/>
    <w:rsid w:val="00396EF8"/>
    <w:rsid w:val="003A3E2F"/>
    <w:rsid w:val="003A6CCB"/>
    <w:rsid w:val="003B10C4"/>
    <w:rsid w:val="003B48EB"/>
    <w:rsid w:val="003C33FF"/>
    <w:rsid w:val="003C64A5"/>
    <w:rsid w:val="003D03CC"/>
    <w:rsid w:val="003D170B"/>
    <w:rsid w:val="003D2092"/>
    <w:rsid w:val="003D4BB7"/>
    <w:rsid w:val="003E0116"/>
    <w:rsid w:val="003E26C3"/>
    <w:rsid w:val="003F0D6C"/>
    <w:rsid w:val="003F0F26"/>
    <w:rsid w:val="003F12D9"/>
    <w:rsid w:val="003F1B4C"/>
    <w:rsid w:val="003F23FA"/>
    <w:rsid w:val="003F418E"/>
    <w:rsid w:val="0040016F"/>
    <w:rsid w:val="004008F6"/>
    <w:rsid w:val="0040706D"/>
    <w:rsid w:val="00412BBE"/>
    <w:rsid w:val="00414B20"/>
    <w:rsid w:val="0041798B"/>
    <w:rsid w:val="00417DE3"/>
    <w:rsid w:val="00420850"/>
    <w:rsid w:val="00423968"/>
    <w:rsid w:val="00427054"/>
    <w:rsid w:val="004304B1"/>
    <w:rsid w:val="0043320A"/>
    <w:rsid w:val="004332E3"/>
    <w:rsid w:val="00435090"/>
    <w:rsid w:val="004518A6"/>
    <w:rsid w:val="00453D66"/>
    <w:rsid w:val="00453E1D"/>
    <w:rsid w:val="00454589"/>
    <w:rsid w:val="00456ED0"/>
    <w:rsid w:val="00457550"/>
    <w:rsid w:val="004622BC"/>
    <w:rsid w:val="004737C3"/>
    <w:rsid w:val="00474C50"/>
    <w:rsid w:val="004771F9"/>
    <w:rsid w:val="00477817"/>
    <w:rsid w:val="004800AB"/>
    <w:rsid w:val="00481CE3"/>
    <w:rsid w:val="00486006"/>
    <w:rsid w:val="00486BAD"/>
    <w:rsid w:val="00486BBE"/>
    <w:rsid w:val="00487123"/>
    <w:rsid w:val="0049520D"/>
    <w:rsid w:val="004A1BD5"/>
    <w:rsid w:val="004A61E1"/>
    <w:rsid w:val="004B2344"/>
    <w:rsid w:val="004B5DDC"/>
    <w:rsid w:val="004B798E"/>
    <w:rsid w:val="004C2ABD"/>
    <w:rsid w:val="004D04EE"/>
    <w:rsid w:val="004D3E58"/>
    <w:rsid w:val="004D56D6"/>
    <w:rsid w:val="004D6746"/>
    <w:rsid w:val="004D767B"/>
    <w:rsid w:val="004E0F32"/>
    <w:rsid w:val="004E23A1"/>
    <w:rsid w:val="004E51CB"/>
    <w:rsid w:val="004E7092"/>
    <w:rsid w:val="004E7ECE"/>
    <w:rsid w:val="004F13A3"/>
    <w:rsid w:val="004F6F64"/>
    <w:rsid w:val="005004EC"/>
    <w:rsid w:val="00502E64"/>
    <w:rsid w:val="00517756"/>
    <w:rsid w:val="005202C6"/>
    <w:rsid w:val="005211BF"/>
    <w:rsid w:val="00523C53"/>
    <w:rsid w:val="00527B8F"/>
    <w:rsid w:val="00534863"/>
    <w:rsid w:val="00542012"/>
    <w:rsid w:val="00543DF5"/>
    <w:rsid w:val="005474BC"/>
    <w:rsid w:val="0055260D"/>
    <w:rsid w:val="00555422"/>
    <w:rsid w:val="00555810"/>
    <w:rsid w:val="00562DCA"/>
    <w:rsid w:val="0056568F"/>
    <w:rsid w:val="00571D26"/>
    <w:rsid w:val="005750F6"/>
    <w:rsid w:val="00582578"/>
    <w:rsid w:val="00587241"/>
    <w:rsid w:val="005A00AC"/>
    <w:rsid w:val="005A1576"/>
    <w:rsid w:val="005A3BB3"/>
    <w:rsid w:val="005B04A8"/>
    <w:rsid w:val="005B248A"/>
    <w:rsid w:val="005B28AD"/>
    <w:rsid w:val="005B328D"/>
    <w:rsid w:val="005B3503"/>
    <w:rsid w:val="005B3EE7"/>
    <w:rsid w:val="005B4DCD"/>
    <w:rsid w:val="005B4FAD"/>
    <w:rsid w:val="005C595F"/>
    <w:rsid w:val="005C765D"/>
    <w:rsid w:val="005D380C"/>
    <w:rsid w:val="005D6E04"/>
    <w:rsid w:val="005D7A12"/>
    <w:rsid w:val="005E53EE"/>
    <w:rsid w:val="005E6E61"/>
    <w:rsid w:val="005F0542"/>
    <w:rsid w:val="005F0F72"/>
    <w:rsid w:val="005F1C1F"/>
    <w:rsid w:val="005F346D"/>
    <w:rsid w:val="005F38FB"/>
    <w:rsid w:val="005F6A6F"/>
    <w:rsid w:val="00602D3B"/>
    <w:rsid w:val="00604152"/>
    <w:rsid w:val="00606EA1"/>
    <w:rsid w:val="006128F0"/>
    <w:rsid w:val="006142B0"/>
    <w:rsid w:val="006146A7"/>
    <w:rsid w:val="0061726B"/>
    <w:rsid w:val="006174CD"/>
    <w:rsid w:val="0062387A"/>
    <w:rsid w:val="0063377D"/>
    <w:rsid w:val="006344BE"/>
    <w:rsid w:val="00634A66"/>
    <w:rsid w:val="00640336"/>
    <w:rsid w:val="00640FC9"/>
    <w:rsid w:val="006432F2"/>
    <w:rsid w:val="0065320F"/>
    <w:rsid w:val="00653D64"/>
    <w:rsid w:val="00654E13"/>
    <w:rsid w:val="00667489"/>
    <w:rsid w:val="00670D44"/>
    <w:rsid w:val="00676AFC"/>
    <w:rsid w:val="006807CD"/>
    <w:rsid w:val="00682D43"/>
    <w:rsid w:val="00684AD7"/>
    <w:rsid w:val="00685BAF"/>
    <w:rsid w:val="0069286C"/>
    <w:rsid w:val="006A0D03"/>
    <w:rsid w:val="006A41E9"/>
    <w:rsid w:val="006B12CB"/>
    <w:rsid w:val="006B5916"/>
    <w:rsid w:val="006C462A"/>
    <w:rsid w:val="006C4775"/>
    <w:rsid w:val="006C4F4A"/>
    <w:rsid w:val="006C5E80"/>
    <w:rsid w:val="006C7CEE"/>
    <w:rsid w:val="006D075E"/>
    <w:rsid w:val="006D1F81"/>
    <w:rsid w:val="006D7C6E"/>
    <w:rsid w:val="006E2F95"/>
    <w:rsid w:val="006E669A"/>
    <w:rsid w:val="007015FF"/>
    <w:rsid w:val="00701C62"/>
    <w:rsid w:val="00705EAF"/>
    <w:rsid w:val="007101CC"/>
    <w:rsid w:val="00710F3D"/>
    <w:rsid w:val="007152EB"/>
    <w:rsid w:val="00724E3B"/>
    <w:rsid w:val="00725EEA"/>
    <w:rsid w:val="00730CE9"/>
    <w:rsid w:val="0073373D"/>
    <w:rsid w:val="007439DB"/>
    <w:rsid w:val="007568D8"/>
    <w:rsid w:val="00760E32"/>
    <w:rsid w:val="00764A65"/>
    <w:rsid w:val="00765316"/>
    <w:rsid w:val="007653A5"/>
    <w:rsid w:val="007708C8"/>
    <w:rsid w:val="0077719D"/>
    <w:rsid w:val="00777D76"/>
    <w:rsid w:val="00780159"/>
    <w:rsid w:val="00780DF0"/>
    <w:rsid w:val="00780FB9"/>
    <w:rsid w:val="00782F0F"/>
    <w:rsid w:val="00785BB9"/>
    <w:rsid w:val="007871AE"/>
    <w:rsid w:val="00787482"/>
    <w:rsid w:val="007965BC"/>
    <w:rsid w:val="007A2708"/>
    <w:rsid w:val="007A286D"/>
    <w:rsid w:val="007A38DF"/>
    <w:rsid w:val="007B20CF"/>
    <w:rsid w:val="007B2499"/>
    <w:rsid w:val="007B6F0A"/>
    <w:rsid w:val="007B72E1"/>
    <w:rsid w:val="007B783A"/>
    <w:rsid w:val="007C1B95"/>
    <w:rsid w:val="007C2F63"/>
    <w:rsid w:val="007D4853"/>
    <w:rsid w:val="007D5496"/>
    <w:rsid w:val="007D73FB"/>
    <w:rsid w:val="007E2F2D"/>
    <w:rsid w:val="007E3312"/>
    <w:rsid w:val="007F1433"/>
    <w:rsid w:val="007F1491"/>
    <w:rsid w:val="007F2F03"/>
    <w:rsid w:val="00800FE0"/>
    <w:rsid w:val="008066AD"/>
    <w:rsid w:val="00807F30"/>
    <w:rsid w:val="00814AF1"/>
    <w:rsid w:val="0081517F"/>
    <w:rsid w:val="00815370"/>
    <w:rsid w:val="00815E35"/>
    <w:rsid w:val="008175E4"/>
    <w:rsid w:val="0082153D"/>
    <w:rsid w:val="008232D3"/>
    <w:rsid w:val="008255AA"/>
    <w:rsid w:val="00830FF3"/>
    <w:rsid w:val="008334BF"/>
    <w:rsid w:val="00836B8C"/>
    <w:rsid w:val="00840062"/>
    <w:rsid w:val="008410C5"/>
    <w:rsid w:val="008464AE"/>
    <w:rsid w:val="00846538"/>
    <w:rsid w:val="00846C08"/>
    <w:rsid w:val="008530E7"/>
    <w:rsid w:val="00854D5E"/>
    <w:rsid w:val="00856BDB"/>
    <w:rsid w:val="00857675"/>
    <w:rsid w:val="0086095D"/>
    <w:rsid w:val="008671D2"/>
    <w:rsid w:val="00875EC3"/>
    <w:rsid w:val="008763E7"/>
    <w:rsid w:val="00880736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C0016"/>
    <w:rsid w:val="008C261B"/>
    <w:rsid w:val="008C4FCA"/>
    <w:rsid w:val="008C7882"/>
    <w:rsid w:val="008D0CD6"/>
    <w:rsid w:val="008D2261"/>
    <w:rsid w:val="008D4C28"/>
    <w:rsid w:val="008D577B"/>
    <w:rsid w:val="008D7A98"/>
    <w:rsid w:val="008E03CD"/>
    <w:rsid w:val="008E17C4"/>
    <w:rsid w:val="008E45C4"/>
    <w:rsid w:val="008E64B1"/>
    <w:rsid w:val="008E64FA"/>
    <w:rsid w:val="008E74ED"/>
    <w:rsid w:val="008F4DEF"/>
    <w:rsid w:val="009010E1"/>
    <w:rsid w:val="00903D0D"/>
    <w:rsid w:val="009048E1"/>
    <w:rsid w:val="0090598C"/>
    <w:rsid w:val="009071BB"/>
    <w:rsid w:val="00913885"/>
    <w:rsid w:val="00931D41"/>
    <w:rsid w:val="00933D18"/>
    <w:rsid w:val="00935DB5"/>
    <w:rsid w:val="00942221"/>
    <w:rsid w:val="00950FBB"/>
    <w:rsid w:val="0095122F"/>
    <w:rsid w:val="00953349"/>
    <w:rsid w:val="00954BF2"/>
    <w:rsid w:val="00954E0C"/>
    <w:rsid w:val="00955ACD"/>
    <w:rsid w:val="00961156"/>
    <w:rsid w:val="00964F03"/>
    <w:rsid w:val="00966F1F"/>
    <w:rsid w:val="009706AD"/>
    <w:rsid w:val="00975676"/>
    <w:rsid w:val="00976467"/>
    <w:rsid w:val="00976D32"/>
    <w:rsid w:val="009815A5"/>
    <w:rsid w:val="009844F7"/>
    <w:rsid w:val="0099008C"/>
    <w:rsid w:val="009923B7"/>
    <w:rsid w:val="00992944"/>
    <w:rsid w:val="009938F7"/>
    <w:rsid w:val="009964ED"/>
    <w:rsid w:val="009A05AA"/>
    <w:rsid w:val="009A2D5A"/>
    <w:rsid w:val="009A2F31"/>
    <w:rsid w:val="009B2C7E"/>
    <w:rsid w:val="009B515A"/>
    <w:rsid w:val="009B6DBD"/>
    <w:rsid w:val="009C108A"/>
    <w:rsid w:val="009C2E47"/>
    <w:rsid w:val="009C6BFB"/>
    <w:rsid w:val="009D0C05"/>
    <w:rsid w:val="009D24DB"/>
    <w:rsid w:val="009E1B67"/>
    <w:rsid w:val="009E2C00"/>
    <w:rsid w:val="009E3C22"/>
    <w:rsid w:val="009E49AD"/>
    <w:rsid w:val="009E70F4"/>
    <w:rsid w:val="009F0DF5"/>
    <w:rsid w:val="009F1AD2"/>
    <w:rsid w:val="009F50D2"/>
    <w:rsid w:val="00A00092"/>
    <w:rsid w:val="00A0479E"/>
    <w:rsid w:val="00A07979"/>
    <w:rsid w:val="00A11755"/>
    <w:rsid w:val="00A12E97"/>
    <w:rsid w:val="00A14886"/>
    <w:rsid w:val="00A17198"/>
    <w:rsid w:val="00A207FB"/>
    <w:rsid w:val="00A24016"/>
    <w:rsid w:val="00A265BF"/>
    <w:rsid w:val="00A26F44"/>
    <w:rsid w:val="00A34FAB"/>
    <w:rsid w:val="00A36890"/>
    <w:rsid w:val="00A4313D"/>
    <w:rsid w:val="00A47C6C"/>
    <w:rsid w:val="00A50120"/>
    <w:rsid w:val="00A504FC"/>
    <w:rsid w:val="00A51E29"/>
    <w:rsid w:val="00A60351"/>
    <w:rsid w:val="00A61C6D"/>
    <w:rsid w:val="00A63015"/>
    <w:rsid w:val="00A66254"/>
    <w:rsid w:val="00A678B4"/>
    <w:rsid w:val="00A704A3"/>
    <w:rsid w:val="00A70947"/>
    <w:rsid w:val="00A75E23"/>
    <w:rsid w:val="00A8083F"/>
    <w:rsid w:val="00A82AA0"/>
    <w:rsid w:val="00A82F8A"/>
    <w:rsid w:val="00A837F9"/>
    <w:rsid w:val="00A84BF0"/>
    <w:rsid w:val="00A90194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577"/>
    <w:rsid w:val="00AD0710"/>
    <w:rsid w:val="00AD4DB9"/>
    <w:rsid w:val="00AD63C0"/>
    <w:rsid w:val="00AE35B2"/>
    <w:rsid w:val="00AE6AA0"/>
    <w:rsid w:val="00AF2655"/>
    <w:rsid w:val="00AF7679"/>
    <w:rsid w:val="00B119A2"/>
    <w:rsid w:val="00B177F2"/>
    <w:rsid w:val="00B201F1"/>
    <w:rsid w:val="00B3019F"/>
    <w:rsid w:val="00B304E7"/>
    <w:rsid w:val="00B30F94"/>
    <w:rsid w:val="00B318B6"/>
    <w:rsid w:val="00B34EBD"/>
    <w:rsid w:val="00B41F47"/>
    <w:rsid w:val="00B60AC9"/>
    <w:rsid w:val="00B61C91"/>
    <w:rsid w:val="00B67323"/>
    <w:rsid w:val="00B715F2"/>
    <w:rsid w:val="00B74071"/>
    <w:rsid w:val="00B7428E"/>
    <w:rsid w:val="00B74B67"/>
    <w:rsid w:val="00B779AA"/>
    <w:rsid w:val="00B801CB"/>
    <w:rsid w:val="00B81C95"/>
    <w:rsid w:val="00B82330"/>
    <w:rsid w:val="00B82ED4"/>
    <w:rsid w:val="00B8423C"/>
    <w:rsid w:val="00B8424F"/>
    <w:rsid w:val="00B86896"/>
    <w:rsid w:val="00B875A6"/>
    <w:rsid w:val="00B92088"/>
    <w:rsid w:val="00B93E4C"/>
    <w:rsid w:val="00B94A1B"/>
    <w:rsid w:val="00BA5C89"/>
    <w:rsid w:val="00BB4CE2"/>
    <w:rsid w:val="00BB5197"/>
    <w:rsid w:val="00BB5B79"/>
    <w:rsid w:val="00BB5EF0"/>
    <w:rsid w:val="00BB6724"/>
    <w:rsid w:val="00BC0EFB"/>
    <w:rsid w:val="00BC2E39"/>
    <w:rsid w:val="00BD133D"/>
    <w:rsid w:val="00BD2364"/>
    <w:rsid w:val="00BD28E3"/>
    <w:rsid w:val="00BE0C12"/>
    <w:rsid w:val="00BE3261"/>
    <w:rsid w:val="00BE4B0A"/>
    <w:rsid w:val="00BF58FC"/>
    <w:rsid w:val="00C01F77"/>
    <w:rsid w:val="00C01FFC"/>
    <w:rsid w:val="00C055D7"/>
    <w:rsid w:val="00C06AE4"/>
    <w:rsid w:val="00C114FF"/>
    <w:rsid w:val="00C171A1"/>
    <w:rsid w:val="00C171A4"/>
    <w:rsid w:val="00C17F12"/>
    <w:rsid w:val="00C21C1A"/>
    <w:rsid w:val="00C237E9"/>
    <w:rsid w:val="00C24DFB"/>
    <w:rsid w:val="00C31DD7"/>
    <w:rsid w:val="00C32989"/>
    <w:rsid w:val="00C36883"/>
    <w:rsid w:val="00C40928"/>
    <w:rsid w:val="00C42697"/>
    <w:rsid w:val="00C43F01"/>
    <w:rsid w:val="00C4579D"/>
    <w:rsid w:val="00C47552"/>
    <w:rsid w:val="00C526F1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5CD7"/>
    <w:rsid w:val="00C87EC7"/>
    <w:rsid w:val="00C90EDA"/>
    <w:rsid w:val="00C94488"/>
    <w:rsid w:val="00C959E7"/>
    <w:rsid w:val="00CB3422"/>
    <w:rsid w:val="00CC1070"/>
    <w:rsid w:val="00CC1E65"/>
    <w:rsid w:val="00CC3ADE"/>
    <w:rsid w:val="00CC567A"/>
    <w:rsid w:val="00CC7272"/>
    <w:rsid w:val="00CD4059"/>
    <w:rsid w:val="00CD4E5A"/>
    <w:rsid w:val="00CE03CE"/>
    <w:rsid w:val="00CE3B81"/>
    <w:rsid w:val="00CE46C0"/>
    <w:rsid w:val="00CF0DFF"/>
    <w:rsid w:val="00D028A9"/>
    <w:rsid w:val="00D0359D"/>
    <w:rsid w:val="00D04DED"/>
    <w:rsid w:val="00D1089A"/>
    <w:rsid w:val="00D116BD"/>
    <w:rsid w:val="00D2001A"/>
    <w:rsid w:val="00D20684"/>
    <w:rsid w:val="00D26B62"/>
    <w:rsid w:val="00D3691A"/>
    <w:rsid w:val="00D377E2"/>
    <w:rsid w:val="00D37D87"/>
    <w:rsid w:val="00D42DCB"/>
    <w:rsid w:val="00D45482"/>
    <w:rsid w:val="00D46DF2"/>
    <w:rsid w:val="00D47674"/>
    <w:rsid w:val="00D5338C"/>
    <w:rsid w:val="00D606B2"/>
    <w:rsid w:val="00D625A7"/>
    <w:rsid w:val="00D64074"/>
    <w:rsid w:val="00D6458D"/>
    <w:rsid w:val="00D65777"/>
    <w:rsid w:val="00D67853"/>
    <w:rsid w:val="00D70555"/>
    <w:rsid w:val="00D728A0"/>
    <w:rsid w:val="00D75039"/>
    <w:rsid w:val="00D768EE"/>
    <w:rsid w:val="00D804CD"/>
    <w:rsid w:val="00D82667"/>
    <w:rsid w:val="00D83661"/>
    <w:rsid w:val="00D861D7"/>
    <w:rsid w:val="00D97E7D"/>
    <w:rsid w:val="00DB3439"/>
    <w:rsid w:val="00DB3618"/>
    <w:rsid w:val="00DC2946"/>
    <w:rsid w:val="00DC550F"/>
    <w:rsid w:val="00DC64FD"/>
    <w:rsid w:val="00DE127F"/>
    <w:rsid w:val="00DE424A"/>
    <w:rsid w:val="00DE4419"/>
    <w:rsid w:val="00DE4EE0"/>
    <w:rsid w:val="00DF0ACA"/>
    <w:rsid w:val="00DF2245"/>
    <w:rsid w:val="00DF77CF"/>
    <w:rsid w:val="00E005C7"/>
    <w:rsid w:val="00E026E8"/>
    <w:rsid w:val="00E13A7D"/>
    <w:rsid w:val="00E14C47"/>
    <w:rsid w:val="00E22698"/>
    <w:rsid w:val="00E25B7C"/>
    <w:rsid w:val="00E3076B"/>
    <w:rsid w:val="00E3725B"/>
    <w:rsid w:val="00E434D1"/>
    <w:rsid w:val="00E56CBB"/>
    <w:rsid w:val="00E57F8F"/>
    <w:rsid w:val="00E61950"/>
    <w:rsid w:val="00E61E51"/>
    <w:rsid w:val="00E62EE6"/>
    <w:rsid w:val="00E6552A"/>
    <w:rsid w:val="00E6707D"/>
    <w:rsid w:val="00E70E7C"/>
    <w:rsid w:val="00E71313"/>
    <w:rsid w:val="00E72606"/>
    <w:rsid w:val="00E73C3E"/>
    <w:rsid w:val="00E82496"/>
    <w:rsid w:val="00E834CD"/>
    <w:rsid w:val="00E84E9D"/>
    <w:rsid w:val="00E86CEE"/>
    <w:rsid w:val="00E91F2C"/>
    <w:rsid w:val="00E935AF"/>
    <w:rsid w:val="00EA79D0"/>
    <w:rsid w:val="00EB0E20"/>
    <w:rsid w:val="00EB1A80"/>
    <w:rsid w:val="00EB457B"/>
    <w:rsid w:val="00EB7C36"/>
    <w:rsid w:val="00EC4F3A"/>
    <w:rsid w:val="00EC5E74"/>
    <w:rsid w:val="00EC7A01"/>
    <w:rsid w:val="00ED594D"/>
    <w:rsid w:val="00EE0F1E"/>
    <w:rsid w:val="00EE11E0"/>
    <w:rsid w:val="00EE36E1"/>
    <w:rsid w:val="00EE7B3F"/>
    <w:rsid w:val="00EF2F69"/>
    <w:rsid w:val="00EF5320"/>
    <w:rsid w:val="00F0054D"/>
    <w:rsid w:val="00F02467"/>
    <w:rsid w:val="00F04D0E"/>
    <w:rsid w:val="00F1162F"/>
    <w:rsid w:val="00F12214"/>
    <w:rsid w:val="00F12565"/>
    <w:rsid w:val="00F14ACA"/>
    <w:rsid w:val="00F155E0"/>
    <w:rsid w:val="00F22DD2"/>
    <w:rsid w:val="00F23927"/>
    <w:rsid w:val="00F2638B"/>
    <w:rsid w:val="00F26A05"/>
    <w:rsid w:val="00F307CE"/>
    <w:rsid w:val="00F312A9"/>
    <w:rsid w:val="00F3347A"/>
    <w:rsid w:val="00F37108"/>
    <w:rsid w:val="00F47BAA"/>
    <w:rsid w:val="00F521AD"/>
    <w:rsid w:val="00F52EAB"/>
    <w:rsid w:val="00F61A31"/>
    <w:rsid w:val="00F67A2D"/>
    <w:rsid w:val="00F70A1B"/>
    <w:rsid w:val="00F72FDF"/>
    <w:rsid w:val="00F73A43"/>
    <w:rsid w:val="00F75960"/>
    <w:rsid w:val="00F82526"/>
    <w:rsid w:val="00F84672"/>
    <w:rsid w:val="00F84802"/>
    <w:rsid w:val="00F8731F"/>
    <w:rsid w:val="00F93A0B"/>
    <w:rsid w:val="00F95A8C"/>
    <w:rsid w:val="00FA06FD"/>
    <w:rsid w:val="00FA230A"/>
    <w:rsid w:val="00FA515B"/>
    <w:rsid w:val="00FA5AD0"/>
    <w:rsid w:val="00FA6B90"/>
    <w:rsid w:val="00FA74CB"/>
    <w:rsid w:val="00FB207A"/>
    <w:rsid w:val="00FB2886"/>
    <w:rsid w:val="00FB466E"/>
    <w:rsid w:val="00FC2AFC"/>
    <w:rsid w:val="00FC4D5B"/>
    <w:rsid w:val="00FC752C"/>
    <w:rsid w:val="00FD0492"/>
    <w:rsid w:val="00FD13EC"/>
    <w:rsid w:val="00FD26D2"/>
    <w:rsid w:val="00FD4DA8"/>
    <w:rsid w:val="00FD4EEF"/>
    <w:rsid w:val="00FD5461"/>
    <w:rsid w:val="00FD6BDB"/>
    <w:rsid w:val="00FD6F00"/>
    <w:rsid w:val="00FD7B98"/>
    <w:rsid w:val="00FE26DD"/>
    <w:rsid w:val="00FE334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2E37F"/>
  <w15:docId w15:val="{1F08A46E-F01C-244E-A327-3EA833B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styleId="Bibliografie">
    <w:name w:val="Bibliography"/>
    <w:basedOn w:val="Normln"/>
    <w:next w:val="Normln"/>
    <w:uiPriority w:val="37"/>
    <w:semiHidden/>
    <w:unhideWhenUsed/>
    <w:rsid w:val="00F3347A"/>
  </w:style>
  <w:style w:type="paragraph" w:styleId="Zkladntext-prvnodsazen">
    <w:name w:val="Body Text First Indent"/>
    <w:basedOn w:val="Zkladntext"/>
    <w:link w:val="Zkladntext-prvnodsazenChar"/>
    <w:rsid w:val="00F3347A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sid w:val="00F3347A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F3347A"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rsid w:val="00F3347A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F3347A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F3347A"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rsid w:val="00F33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vr">
    <w:name w:val="Closing"/>
    <w:basedOn w:val="Normln"/>
    <w:link w:val="ZvrChar"/>
    <w:rsid w:val="00F3347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rsid w:val="00F3347A"/>
    <w:rPr>
      <w:sz w:val="22"/>
      <w:lang w:eastAsia="en-US"/>
    </w:rPr>
  </w:style>
  <w:style w:type="paragraph" w:styleId="Datum">
    <w:name w:val="Date"/>
    <w:basedOn w:val="Normln"/>
    <w:next w:val="Normln"/>
    <w:link w:val="DatumChar"/>
    <w:rsid w:val="00F3347A"/>
  </w:style>
  <w:style w:type="character" w:customStyle="1" w:styleId="DatumChar">
    <w:name w:val="Datum Char"/>
    <w:basedOn w:val="Standardnpsmoodstavce"/>
    <w:link w:val="Datum"/>
    <w:rsid w:val="00F3347A"/>
    <w:rPr>
      <w:sz w:val="22"/>
      <w:lang w:eastAsia="en-US"/>
    </w:rPr>
  </w:style>
  <w:style w:type="paragraph" w:styleId="Rozloendokumentu">
    <w:name w:val="Document Map"/>
    <w:basedOn w:val="Normln"/>
    <w:link w:val="RozloendokumentuChar"/>
    <w:rsid w:val="00F33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F3347A"/>
    <w:rPr>
      <w:rFonts w:ascii="Tahoma" w:hAnsi="Tahoma" w:cs="Tahoma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rsid w:val="00F3347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rsid w:val="00F3347A"/>
    <w:rPr>
      <w:sz w:val="22"/>
      <w:lang w:eastAsia="en-US"/>
    </w:rPr>
  </w:style>
  <w:style w:type="paragraph" w:styleId="Adresanaoblku">
    <w:name w:val="envelope address"/>
    <w:basedOn w:val="Normln"/>
    <w:rsid w:val="00F3347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rsid w:val="00F3347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rsid w:val="00F3347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F3347A"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rsid w:val="00F3347A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F3347A"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rsid w:val="00F3347A"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rsid w:val="00F3347A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rsid w:val="00F3347A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rsid w:val="00F3347A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rsid w:val="00F3347A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rsid w:val="00F3347A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rsid w:val="00F3347A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rsid w:val="00F3347A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rsid w:val="00F3347A"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rsid w:val="00F3347A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347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347A"/>
    <w:rPr>
      <w:b/>
      <w:bCs/>
      <w:i/>
      <w:iCs/>
      <w:color w:val="5B9BD5" w:themeColor="accent1"/>
      <w:sz w:val="22"/>
      <w:lang w:eastAsia="en-US"/>
    </w:rPr>
  </w:style>
  <w:style w:type="paragraph" w:styleId="Seznam">
    <w:name w:val="List"/>
    <w:basedOn w:val="Normln"/>
    <w:rsid w:val="00F3347A"/>
    <w:pPr>
      <w:ind w:left="283" w:hanging="283"/>
      <w:contextualSpacing/>
    </w:pPr>
  </w:style>
  <w:style w:type="paragraph" w:styleId="Seznam2">
    <w:name w:val="List 2"/>
    <w:basedOn w:val="Normln"/>
    <w:rsid w:val="00F3347A"/>
    <w:pPr>
      <w:ind w:left="566" w:hanging="283"/>
      <w:contextualSpacing/>
    </w:pPr>
  </w:style>
  <w:style w:type="paragraph" w:styleId="Seznam3">
    <w:name w:val="List 3"/>
    <w:basedOn w:val="Normln"/>
    <w:rsid w:val="00F3347A"/>
    <w:pPr>
      <w:ind w:left="849" w:hanging="283"/>
      <w:contextualSpacing/>
    </w:pPr>
  </w:style>
  <w:style w:type="paragraph" w:styleId="Seznam4">
    <w:name w:val="List 4"/>
    <w:basedOn w:val="Normln"/>
    <w:rsid w:val="00F3347A"/>
    <w:pPr>
      <w:ind w:left="1132" w:hanging="283"/>
      <w:contextualSpacing/>
    </w:pPr>
  </w:style>
  <w:style w:type="paragraph" w:styleId="Seznam5">
    <w:name w:val="List 5"/>
    <w:basedOn w:val="Normln"/>
    <w:rsid w:val="00F3347A"/>
    <w:pPr>
      <w:ind w:left="1415" w:hanging="283"/>
      <w:contextualSpacing/>
    </w:pPr>
  </w:style>
  <w:style w:type="paragraph" w:styleId="Seznamsodrkami">
    <w:name w:val="List Bullet"/>
    <w:basedOn w:val="Normln"/>
    <w:rsid w:val="00F3347A"/>
    <w:pPr>
      <w:numPr>
        <w:numId w:val="5"/>
      </w:numPr>
      <w:contextualSpacing/>
    </w:pPr>
  </w:style>
  <w:style w:type="paragraph" w:styleId="Seznamsodrkami2">
    <w:name w:val="List Bullet 2"/>
    <w:basedOn w:val="Normln"/>
    <w:rsid w:val="00F3347A"/>
    <w:pPr>
      <w:numPr>
        <w:numId w:val="6"/>
      </w:numPr>
      <w:contextualSpacing/>
    </w:pPr>
  </w:style>
  <w:style w:type="paragraph" w:styleId="Seznamsodrkami3">
    <w:name w:val="List Bullet 3"/>
    <w:basedOn w:val="Normln"/>
    <w:rsid w:val="00F3347A"/>
    <w:pPr>
      <w:numPr>
        <w:numId w:val="7"/>
      </w:numPr>
      <w:contextualSpacing/>
    </w:pPr>
  </w:style>
  <w:style w:type="paragraph" w:styleId="Seznamsodrkami4">
    <w:name w:val="List Bullet 4"/>
    <w:basedOn w:val="Normln"/>
    <w:rsid w:val="00F3347A"/>
    <w:pPr>
      <w:numPr>
        <w:numId w:val="8"/>
      </w:numPr>
      <w:contextualSpacing/>
    </w:pPr>
  </w:style>
  <w:style w:type="paragraph" w:styleId="Seznamsodrkami5">
    <w:name w:val="List Bullet 5"/>
    <w:basedOn w:val="Normln"/>
    <w:rsid w:val="00F3347A"/>
    <w:pPr>
      <w:numPr>
        <w:numId w:val="9"/>
      </w:numPr>
      <w:contextualSpacing/>
    </w:pPr>
  </w:style>
  <w:style w:type="paragraph" w:styleId="Pokraovnseznamu">
    <w:name w:val="List Continue"/>
    <w:basedOn w:val="Normln"/>
    <w:rsid w:val="00F3347A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F3347A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F3347A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F3347A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F3347A"/>
    <w:pPr>
      <w:spacing w:after="120"/>
      <w:ind w:left="1415"/>
      <w:contextualSpacing/>
    </w:pPr>
  </w:style>
  <w:style w:type="paragraph" w:styleId="slovanseznam">
    <w:name w:val="List Number"/>
    <w:basedOn w:val="Normln"/>
    <w:rsid w:val="00F3347A"/>
    <w:pPr>
      <w:numPr>
        <w:numId w:val="10"/>
      </w:numPr>
      <w:contextualSpacing/>
    </w:pPr>
  </w:style>
  <w:style w:type="paragraph" w:styleId="slovanseznam2">
    <w:name w:val="List Number 2"/>
    <w:basedOn w:val="Normln"/>
    <w:rsid w:val="00F3347A"/>
    <w:pPr>
      <w:numPr>
        <w:numId w:val="11"/>
      </w:numPr>
      <w:contextualSpacing/>
    </w:pPr>
  </w:style>
  <w:style w:type="paragraph" w:styleId="slovanseznam3">
    <w:name w:val="List Number 3"/>
    <w:basedOn w:val="Normln"/>
    <w:rsid w:val="00F3347A"/>
    <w:pPr>
      <w:numPr>
        <w:numId w:val="12"/>
      </w:numPr>
      <w:contextualSpacing/>
    </w:pPr>
  </w:style>
  <w:style w:type="paragraph" w:styleId="slovanseznam4">
    <w:name w:val="List Number 4"/>
    <w:basedOn w:val="Normln"/>
    <w:rsid w:val="00F3347A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F3347A"/>
    <w:pPr>
      <w:numPr>
        <w:numId w:val="14"/>
      </w:numPr>
      <w:contextualSpacing/>
    </w:pPr>
  </w:style>
  <w:style w:type="paragraph" w:styleId="Odstavecseseznamem">
    <w:name w:val="List Paragraph"/>
    <w:basedOn w:val="Normln"/>
    <w:uiPriority w:val="34"/>
    <w:qFormat/>
    <w:rsid w:val="00F3347A"/>
    <w:pPr>
      <w:ind w:left="720"/>
      <w:contextualSpacing/>
    </w:pPr>
  </w:style>
  <w:style w:type="paragraph" w:styleId="Textmakra">
    <w:name w:val="macro"/>
    <w:link w:val="TextmakraChar"/>
    <w:rsid w:val="00F334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sid w:val="00F3347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rsid w:val="00F334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F334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rsid w:val="00F3347A"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rsid w:val="00F3347A"/>
    <w:rPr>
      <w:sz w:val="24"/>
      <w:szCs w:val="24"/>
    </w:rPr>
  </w:style>
  <w:style w:type="paragraph" w:styleId="Normlnodsazen">
    <w:name w:val="Normal Indent"/>
    <w:basedOn w:val="Normln"/>
    <w:rsid w:val="00F3347A"/>
    <w:pPr>
      <w:ind w:left="1304"/>
    </w:pPr>
  </w:style>
  <w:style w:type="paragraph" w:styleId="Nadpispoznmky">
    <w:name w:val="Note Heading"/>
    <w:basedOn w:val="Normln"/>
    <w:next w:val="Normln"/>
    <w:link w:val="NadpispoznmkyChar"/>
    <w:rsid w:val="00F3347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rsid w:val="00F3347A"/>
    <w:rPr>
      <w:sz w:val="22"/>
      <w:lang w:eastAsia="en-US"/>
    </w:rPr>
  </w:style>
  <w:style w:type="paragraph" w:styleId="Prosttext">
    <w:name w:val="Plain Text"/>
    <w:basedOn w:val="Normln"/>
    <w:link w:val="ProsttextChar"/>
    <w:rsid w:val="00F3347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3347A"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347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347A"/>
    <w:rPr>
      <w:i/>
      <w:iCs/>
      <w:color w:val="000000" w:themeColor="text1"/>
      <w:sz w:val="22"/>
      <w:lang w:eastAsia="en-US"/>
    </w:rPr>
  </w:style>
  <w:style w:type="paragraph" w:styleId="Osloven">
    <w:name w:val="Salutation"/>
    <w:basedOn w:val="Normln"/>
    <w:next w:val="Normln"/>
    <w:link w:val="OslovenChar"/>
    <w:rsid w:val="00F3347A"/>
  </w:style>
  <w:style w:type="character" w:customStyle="1" w:styleId="OslovenChar">
    <w:name w:val="Oslovení Char"/>
    <w:basedOn w:val="Standardnpsmoodstavce"/>
    <w:link w:val="Osloven"/>
    <w:rsid w:val="00F3347A"/>
    <w:rPr>
      <w:sz w:val="22"/>
      <w:lang w:eastAsia="en-US"/>
    </w:rPr>
  </w:style>
  <w:style w:type="paragraph" w:styleId="Podpis">
    <w:name w:val="Signature"/>
    <w:basedOn w:val="Normln"/>
    <w:link w:val="PodpisChar"/>
    <w:rsid w:val="00F3347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F3347A"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F334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334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rsid w:val="00F334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334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347A"/>
    <w:pPr>
      <w:keepNext/>
      <w:keepLines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05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08A6-BDC6-459E-B5E2-AB9396F4A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D921F-2E99-4075-9836-54A78B954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9DB02-4C88-44B4-84AD-069FB4DFE064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4.xml><?xml version="1.0" encoding="utf-8"?>
<ds:datastoreItem xmlns:ds="http://schemas.openxmlformats.org/officeDocument/2006/customXml" ds:itemID="{0AC5860E-7810-4F19-B18B-61D54341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2651</Words>
  <Characters>15644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Neugebauerová Kateřina</cp:lastModifiedBy>
  <cp:revision>15</cp:revision>
  <cp:lastPrinted>2024-01-05T13:56:00Z</cp:lastPrinted>
  <dcterms:created xsi:type="dcterms:W3CDTF">2023-10-29T21:53:00Z</dcterms:created>
  <dcterms:modified xsi:type="dcterms:W3CDTF">2024-01-05T13:57:00Z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0x01010024723F5AE10FE448AFF43B34AC78DB72</vt:lpwstr>
  </property>
  <property fmtid="{D5CDD505-2E9C-101B-9397-08002B2CF9AE}" pid="66" name="MediaServiceImageTags">
    <vt:lpwstr/>
  </property>
</Properties>
</file>