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0D" w:rsidRDefault="00EB1C0D">
      <w:pPr>
        <w:jc w:val="center"/>
        <w:rPr>
          <w:b/>
        </w:rPr>
      </w:pPr>
      <w:r>
        <w:rPr>
          <w:b/>
        </w:rPr>
        <w:t>Příbalová informace</w:t>
      </w:r>
    </w:p>
    <w:p w:rsidR="004915E2" w:rsidRDefault="004915E2">
      <w:pPr>
        <w:jc w:val="center"/>
        <w:rPr>
          <w:b/>
        </w:rPr>
      </w:pPr>
      <w:r w:rsidRPr="00757F20">
        <w:rPr>
          <w:b/>
        </w:rPr>
        <w:t xml:space="preserve">FATROXIMIN D. C. 100 mg </w:t>
      </w:r>
      <w:proofErr w:type="spellStart"/>
      <w:r w:rsidRPr="00757F20">
        <w:rPr>
          <w:b/>
        </w:rPr>
        <w:t>intramamární</w:t>
      </w:r>
      <w:proofErr w:type="spellEnd"/>
      <w:r w:rsidRPr="00757F20">
        <w:rPr>
          <w:b/>
        </w:rPr>
        <w:t xml:space="preserve"> mast</w:t>
      </w:r>
    </w:p>
    <w:p w:rsidR="004915E2" w:rsidRDefault="004915E2">
      <w:pPr>
        <w:jc w:val="center"/>
        <w:rPr>
          <w:b/>
        </w:rPr>
      </w:pPr>
    </w:p>
    <w:p w:rsidR="00EB1C0D" w:rsidRDefault="00EB1C0D">
      <w:pPr>
        <w:jc w:val="both"/>
        <w:rPr>
          <w:b/>
        </w:rPr>
      </w:pPr>
    </w:p>
    <w:p w:rsidR="00EB1C0D" w:rsidRDefault="00EB1C0D">
      <w:pPr>
        <w:jc w:val="both"/>
        <w:rPr>
          <w:b/>
          <w:caps/>
          <w:szCs w:val="24"/>
        </w:rPr>
      </w:pPr>
      <w:r>
        <w:rPr>
          <w:b/>
          <w:caps/>
          <w:szCs w:val="24"/>
        </w:rPr>
        <w:t>1. Jméno a adresa držitele rozhodnutí o registraci a držitele povolení k výrobě odpovědného za uvolnění šarže, pokud se neshoduje</w:t>
      </w:r>
    </w:p>
    <w:p w:rsidR="004915E2" w:rsidRDefault="004915E2">
      <w:pPr>
        <w:jc w:val="both"/>
      </w:pPr>
    </w:p>
    <w:p w:rsidR="00EB1C0D" w:rsidRDefault="00EB1C0D">
      <w:pPr>
        <w:jc w:val="both"/>
      </w:pPr>
      <w:r>
        <w:t xml:space="preserve">FATRO </w:t>
      </w:r>
      <w:proofErr w:type="spellStart"/>
      <w:r>
        <w:t>S.p.A</w:t>
      </w:r>
      <w:proofErr w:type="spellEnd"/>
      <w:r>
        <w:t>.</w:t>
      </w:r>
      <w:r w:rsidR="004915E2">
        <w:t>,</w:t>
      </w:r>
      <w:r>
        <w:t xml:space="preserve"> Via </w:t>
      </w:r>
      <w:proofErr w:type="gramStart"/>
      <w:r>
        <w:t>Emilia</w:t>
      </w:r>
      <w:proofErr w:type="gramEnd"/>
      <w:r>
        <w:t xml:space="preserve"> 285</w:t>
      </w:r>
      <w:r w:rsidR="004915E2">
        <w:t>,</w:t>
      </w:r>
      <w:r>
        <w:t xml:space="preserve"> </w:t>
      </w:r>
      <w:proofErr w:type="spellStart"/>
      <w:r>
        <w:t>Ozzano</w:t>
      </w:r>
      <w:proofErr w:type="spellEnd"/>
      <w:r>
        <w:t xml:space="preserve"> Emilia (Bologna), Itálie</w:t>
      </w:r>
    </w:p>
    <w:p w:rsidR="00EB1C0D" w:rsidRDefault="00EB1C0D">
      <w:pPr>
        <w:jc w:val="both"/>
      </w:pPr>
    </w:p>
    <w:p w:rsidR="00EB1C0D" w:rsidRDefault="00EB1C0D">
      <w:pPr>
        <w:rPr>
          <w:b/>
          <w:caps/>
          <w:szCs w:val="24"/>
        </w:rPr>
      </w:pPr>
      <w:r>
        <w:rPr>
          <w:b/>
          <w:caps/>
          <w:szCs w:val="24"/>
        </w:rPr>
        <w:t>2. Název veterinárního léčivého přípravku</w:t>
      </w:r>
    </w:p>
    <w:p w:rsidR="00EB1C0D" w:rsidRDefault="00EB1C0D"/>
    <w:p w:rsidR="00EB1C0D" w:rsidRDefault="00EB1C0D" w:rsidP="00651AC6">
      <w:pPr>
        <w:rPr>
          <w:b/>
          <w:bCs/>
        </w:rPr>
      </w:pPr>
      <w:r>
        <w:t xml:space="preserve">FATROXIMIN D. C. </w:t>
      </w:r>
      <w:r w:rsidRPr="00552349">
        <w:rPr>
          <w:bCs/>
        </w:rPr>
        <w:t>100 mg intramamární mast</w:t>
      </w:r>
    </w:p>
    <w:p w:rsidR="00EB1C0D" w:rsidRPr="00552349" w:rsidRDefault="00EB1C0D" w:rsidP="00651AC6">
      <w:pPr>
        <w:rPr>
          <w:i/>
          <w:color w:val="000000"/>
        </w:rPr>
      </w:pPr>
      <w:proofErr w:type="spellStart"/>
      <w:r w:rsidRPr="00552349">
        <w:rPr>
          <w:i/>
        </w:rPr>
        <w:t>Rifaximinum</w:t>
      </w:r>
      <w:proofErr w:type="spellEnd"/>
      <w:r w:rsidRPr="00552349">
        <w:rPr>
          <w:i/>
          <w:color w:val="000000"/>
        </w:rPr>
        <w:t xml:space="preserve"> </w:t>
      </w:r>
    </w:p>
    <w:p w:rsidR="0058604B" w:rsidRDefault="0058604B" w:rsidP="0058604B">
      <w:pPr>
        <w:rPr>
          <w:sz w:val="22"/>
        </w:rPr>
      </w:pPr>
      <w:r>
        <w:rPr>
          <w:sz w:val="22"/>
        </w:rPr>
        <w:t>Přípravek s indikačním omezením</w:t>
      </w:r>
    </w:p>
    <w:p w:rsidR="00EB1C0D" w:rsidRDefault="00EB1C0D">
      <w:pPr>
        <w:jc w:val="both"/>
      </w:pPr>
    </w:p>
    <w:p w:rsidR="00EB1C0D" w:rsidRDefault="00EB1C0D">
      <w:pPr>
        <w:rPr>
          <w:b/>
          <w:caps/>
          <w:szCs w:val="24"/>
        </w:rPr>
      </w:pPr>
      <w:r>
        <w:rPr>
          <w:b/>
          <w:caps/>
          <w:szCs w:val="24"/>
        </w:rPr>
        <w:t>3. Obsah léčivých a ostatních látek</w:t>
      </w:r>
    </w:p>
    <w:p w:rsidR="004915E2" w:rsidRDefault="004915E2">
      <w:pPr>
        <w:pStyle w:val="Zkladntext"/>
        <w:widowControl w:val="0"/>
        <w:spacing w:line="240" w:lineRule="atLeast"/>
        <w:rPr>
          <w:lang w:val="cs-CZ"/>
        </w:rPr>
      </w:pPr>
    </w:p>
    <w:p w:rsidR="00EB1C0D" w:rsidRDefault="00EB1C0D">
      <w:pPr>
        <w:pStyle w:val="Zkladntext"/>
        <w:widowControl w:val="0"/>
        <w:spacing w:line="240" w:lineRule="atLeast"/>
        <w:rPr>
          <w:lang w:val="cs-CZ"/>
        </w:rPr>
      </w:pPr>
      <w:r>
        <w:rPr>
          <w:lang w:val="cs-CZ"/>
        </w:rPr>
        <w:t>Každý 5ml aplikátor obsahuje:</w:t>
      </w:r>
    </w:p>
    <w:p w:rsidR="00EB1C0D" w:rsidRPr="00552349" w:rsidRDefault="00EB1C0D">
      <w:pPr>
        <w:pStyle w:val="Zkladntext"/>
        <w:widowControl w:val="0"/>
        <w:spacing w:line="240" w:lineRule="atLeast"/>
        <w:rPr>
          <w:b/>
          <w:lang w:val="cs-CZ"/>
        </w:rPr>
      </w:pPr>
      <w:r w:rsidRPr="00552349">
        <w:rPr>
          <w:b/>
          <w:lang w:val="cs-CZ"/>
        </w:rPr>
        <w:t>Léčivá látka:</w:t>
      </w:r>
    </w:p>
    <w:p w:rsidR="00EB1C0D" w:rsidRDefault="00EB1C0D">
      <w:pPr>
        <w:widowControl w:val="0"/>
        <w:spacing w:line="240" w:lineRule="atLeast"/>
      </w:pPr>
      <w:proofErr w:type="spellStart"/>
      <w:r>
        <w:t>Rifaximinum</w:t>
      </w:r>
      <w:proofErr w:type="spellEnd"/>
      <w:r>
        <w:t xml:space="preserve"> </w:t>
      </w:r>
      <w:r>
        <w:tab/>
      </w:r>
      <w:r>
        <w:tab/>
        <w:t>100 mg</w:t>
      </w:r>
    </w:p>
    <w:p w:rsidR="00EB1C0D" w:rsidRDefault="00EB1C0D"/>
    <w:p w:rsidR="004662DA" w:rsidRDefault="004662DA">
      <w:r w:rsidRPr="00271343">
        <w:t>Homogenní červeno-oranžová mast.</w:t>
      </w:r>
      <w:bookmarkStart w:id="0" w:name="_GoBack"/>
      <w:bookmarkEnd w:id="0"/>
    </w:p>
    <w:p w:rsidR="004662DA" w:rsidRDefault="004662DA"/>
    <w:p w:rsidR="00EB1C0D" w:rsidRDefault="00EB1C0D">
      <w:pPr>
        <w:rPr>
          <w:b/>
          <w:caps/>
          <w:szCs w:val="24"/>
        </w:rPr>
      </w:pPr>
      <w:r>
        <w:rPr>
          <w:b/>
          <w:caps/>
          <w:szCs w:val="24"/>
        </w:rPr>
        <w:t>4. Indikace</w:t>
      </w:r>
    </w:p>
    <w:p w:rsidR="00647C32" w:rsidRDefault="00647C32" w:rsidP="00647C32">
      <w:r>
        <w:t xml:space="preserve">Léčba mastitid vyvolaných patogeny citlivými na rifaximin u krav v období </w:t>
      </w:r>
      <w:proofErr w:type="spellStart"/>
      <w:r>
        <w:t>zaprahlosti</w:t>
      </w:r>
      <w:proofErr w:type="spellEnd"/>
      <w:r>
        <w:t>.</w:t>
      </w:r>
    </w:p>
    <w:p w:rsidR="00EB1C0D" w:rsidRDefault="00EB1C0D">
      <w:pPr>
        <w:pStyle w:val="Seznamsodrkami"/>
        <w:ind w:left="0" w:firstLine="0"/>
        <w:rPr>
          <w:lang w:val="cs-CZ"/>
        </w:rPr>
      </w:pPr>
    </w:p>
    <w:p w:rsidR="00EB1C0D" w:rsidRDefault="00EB1C0D">
      <w:pPr>
        <w:rPr>
          <w:b/>
          <w:caps/>
          <w:szCs w:val="24"/>
        </w:rPr>
      </w:pPr>
      <w:r>
        <w:rPr>
          <w:b/>
          <w:caps/>
          <w:szCs w:val="24"/>
        </w:rPr>
        <w:t>5. Kontraindikace</w:t>
      </w:r>
    </w:p>
    <w:p w:rsidR="00647C32" w:rsidRDefault="00647C32" w:rsidP="00647C32">
      <w:r>
        <w:t>Nepoužívat v případě přecitlivělosti na léčivou látku, rifaximin.</w:t>
      </w:r>
    </w:p>
    <w:p w:rsidR="00647C32" w:rsidRDefault="00647C32" w:rsidP="00647C32">
      <w:pPr>
        <w:jc w:val="both"/>
      </w:pPr>
      <w:r>
        <w:t xml:space="preserve">Nepoužívat v případě rezistence původce na </w:t>
      </w:r>
      <w:proofErr w:type="spellStart"/>
      <w:r>
        <w:t>rifaximin</w:t>
      </w:r>
      <w:proofErr w:type="spellEnd"/>
      <w:r>
        <w:t xml:space="preserve"> (zejména zástupci </w:t>
      </w:r>
      <w:proofErr w:type="spellStart"/>
      <w:r>
        <w:t>enterobakterií</w:t>
      </w:r>
      <w:proofErr w:type="spellEnd"/>
      <w:r>
        <w:t xml:space="preserve"> a </w:t>
      </w:r>
      <w:r w:rsidRPr="002D3F3E">
        <w:rPr>
          <w:i/>
          <w:iCs/>
        </w:rPr>
        <w:t>Pseudomonas</w:t>
      </w:r>
      <w:r>
        <w:t xml:space="preserve"> spp.).</w:t>
      </w:r>
    </w:p>
    <w:p w:rsidR="00EB1C0D" w:rsidRDefault="00EB1C0D"/>
    <w:p w:rsidR="00EB1C0D" w:rsidRDefault="00EB1C0D">
      <w:pPr>
        <w:rPr>
          <w:b/>
          <w:caps/>
          <w:szCs w:val="24"/>
        </w:rPr>
      </w:pPr>
      <w:r>
        <w:rPr>
          <w:b/>
          <w:caps/>
          <w:szCs w:val="24"/>
        </w:rPr>
        <w:t>6. Nežádoucí účinky</w:t>
      </w:r>
    </w:p>
    <w:p w:rsidR="00EB1C0D" w:rsidRDefault="00EB1C0D">
      <w:pPr>
        <w:pStyle w:val="Seznamsodrkami"/>
        <w:rPr>
          <w:lang w:val="cs-CZ"/>
        </w:rPr>
      </w:pPr>
      <w:r>
        <w:rPr>
          <w:lang w:val="cs-CZ"/>
        </w:rPr>
        <w:t>Žádné.</w:t>
      </w:r>
    </w:p>
    <w:p w:rsidR="00EB1C0D" w:rsidRDefault="00EB1C0D"/>
    <w:p w:rsidR="00EB1C0D" w:rsidRDefault="00EB1C0D">
      <w:pPr>
        <w:rPr>
          <w:b/>
          <w:caps/>
          <w:color w:val="000000"/>
          <w:szCs w:val="24"/>
        </w:rPr>
      </w:pPr>
      <w:r>
        <w:rPr>
          <w:b/>
          <w:caps/>
          <w:color w:val="000000"/>
          <w:szCs w:val="24"/>
        </w:rPr>
        <w:t>7. Cílový druh zvířat</w:t>
      </w:r>
    </w:p>
    <w:p w:rsidR="00651AC6" w:rsidRPr="00634FCB" w:rsidRDefault="00651AC6" w:rsidP="00651AC6">
      <w:r w:rsidRPr="00634FCB">
        <w:t>Krávy skotu a buvolů v období stání na sucho.</w:t>
      </w:r>
    </w:p>
    <w:p w:rsidR="00EB1C0D" w:rsidRDefault="00EB1C0D"/>
    <w:p w:rsidR="00EB1C0D" w:rsidRDefault="00EB1C0D">
      <w:pPr>
        <w:rPr>
          <w:b/>
          <w:caps/>
          <w:szCs w:val="24"/>
        </w:rPr>
      </w:pPr>
      <w:r>
        <w:rPr>
          <w:b/>
          <w:caps/>
          <w:szCs w:val="24"/>
        </w:rPr>
        <w:t xml:space="preserve">8. Dávkování pro každý druh, </w:t>
      </w:r>
      <w:proofErr w:type="gramStart"/>
      <w:r>
        <w:rPr>
          <w:b/>
          <w:caps/>
          <w:szCs w:val="24"/>
        </w:rPr>
        <w:t>cesta(y) a způsob</w:t>
      </w:r>
      <w:proofErr w:type="gramEnd"/>
      <w:r>
        <w:rPr>
          <w:b/>
          <w:caps/>
          <w:szCs w:val="24"/>
        </w:rPr>
        <w:t xml:space="preserve"> podání</w:t>
      </w:r>
    </w:p>
    <w:p w:rsidR="00647C32" w:rsidRDefault="00647C32" w:rsidP="00647C32">
      <w:r>
        <w:t>Intramamární podání.</w:t>
      </w:r>
    </w:p>
    <w:p w:rsidR="00647C32" w:rsidRDefault="00647C32" w:rsidP="00647C32">
      <w:r>
        <w:t>Jeden aplikátor na čtvrť vemene po posledním dojení při zaprahování.</w:t>
      </w:r>
    </w:p>
    <w:p w:rsidR="00647C32" w:rsidRDefault="00647C32" w:rsidP="00647C32">
      <w:pPr>
        <w:widowControl w:val="0"/>
        <w:spacing w:line="240" w:lineRule="atLeast"/>
        <w:jc w:val="both"/>
      </w:pPr>
    </w:p>
    <w:p w:rsidR="00647C32" w:rsidRDefault="00647C32" w:rsidP="00647C32">
      <w:pPr>
        <w:widowControl w:val="0"/>
        <w:spacing w:line="240" w:lineRule="atLeast"/>
        <w:jc w:val="both"/>
      </w:pPr>
      <w:r>
        <w:t>Aplikátory jsou opatřeny systémem „</w:t>
      </w:r>
      <w:proofErr w:type="spellStart"/>
      <w:r>
        <w:t>Twinsert</w:t>
      </w:r>
      <w:proofErr w:type="spellEnd"/>
      <w:r>
        <w:t xml:space="preserve">“, který umožňuje buď částečné zasunutí kanyly (brání dilataci  sfinkteru) nebo její úplné zasunutí. </w:t>
      </w:r>
    </w:p>
    <w:p w:rsidR="00647C32" w:rsidRDefault="00647C32" w:rsidP="00647C32">
      <w:pPr>
        <w:widowControl w:val="0"/>
        <w:spacing w:line="240" w:lineRule="atLeast"/>
        <w:jc w:val="both"/>
      </w:pPr>
    </w:p>
    <w:p w:rsidR="00647C32" w:rsidRPr="009C3334" w:rsidRDefault="00647C32" w:rsidP="00647C32">
      <w:pPr>
        <w:widowControl w:val="0"/>
        <w:spacing w:line="240" w:lineRule="atLeast"/>
        <w:jc w:val="both"/>
        <w:rPr>
          <w:i/>
        </w:rPr>
      </w:pPr>
      <w:r w:rsidRPr="009C3334">
        <w:rPr>
          <w:i/>
        </w:rPr>
        <w:t>Vlastnosti aplikátoru se systémem „</w:t>
      </w:r>
      <w:proofErr w:type="spellStart"/>
      <w:r w:rsidRPr="009C3334">
        <w:rPr>
          <w:i/>
        </w:rPr>
        <w:t>Twinsert</w:t>
      </w:r>
      <w:proofErr w:type="spellEnd"/>
      <w:r w:rsidRPr="009C3334">
        <w:rPr>
          <w:i/>
        </w:rPr>
        <w:t>“:</w:t>
      </w:r>
    </w:p>
    <w:p w:rsidR="00647C32" w:rsidRPr="00647C32" w:rsidRDefault="00647C32" w:rsidP="00647C32">
      <w:pPr>
        <w:pStyle w:val="Zkladntext"/>
        <w:rPr>
          <w:lang w:val="cs-CZ"/>
        </w:rPr>
      </w:pPr>
      <w:r w:rsidRPr="00647C32">
        <w:rPr>
          <w:lang w:val="cs-CZ"/>
        </w:rPr>
        <w:t>Systém „</w:t>
      </w:r>
      <w:proofErr w:type="spellStart"/>
      <w:r w:rsidRPr="00647C32">
        <w:rPr>
          <w:lang w:val="cs-CZ"/>
        </w:rPr>
        <w:t>Twinsert</w:t>
      </w:r>
      <w:proofErr w:type="spellEnd"/>
      <w:r w:rsidRPr="00647C32">
        <w:rPr>
          <w:lang w:val="cs-CZ"/>
        </w:rPr>
        <w:t xml:space="preserve">“ umožňuje zasunout kanylu aplikátoru do strukového kanálku buď </w:t>
      </w:r>
      <w:proofErr w:type="gramStart"/>
      <w:r w:rsidRPr="00647C32">
        <w:rPr>
          <w:lang w:val="cs-CZ"/>
        </w:rPr>
        <w:t>částečně nebo</w:t>
      </w:r>
      <w:proofErr w:type="gramEnd"/>
      <w:r w:rsidRPr="00647C32">
        <w:rPr>
          <w:lang w:val="cs-CZ"/>
        </w:rPr>
        <w:t xml:space="preserve"> úplně, podle potřeby. Studie prokázaly, že </w:t>
      </w:r>
      <w:proofErr w:type="spellStart"/>
      <w:r w:rsidRPr="00647C32">
        <w:rPr>
          <w:lang w:val="cs-CZ"/>
        </w:rPr>
        <w:t>antimastitidní</w:t>
      </w:r>
      <w:proofErr w:type="spellEnd"/>
      <w:r w:rsidRPr="00647C32">
        <w:rPr>
          <w:lang w:val="cs-CZ"/>
        </w:rPr>
        <w:t xml:space="preserve"> ošetření, prováděné částečným zasunutím kanyly do strukového kanálku, výrazně omezuje vznik nových infekcí mléčné žlázy. Po zavedení celé kanyly do strukového kanálku dochází k dilataci strukového </w:t>
      </w:r>
      <w:r w:rsidRPr="00647C32">
        <w:rPr>
          <w:lang w:val="cs-CZ"/>
        </w:rPr>
        <w:lastRenderedPageBreak/>
        <w:t>sfinkteru, což usnadňuje vstup baktérií a současně i průnik bakterií, které jsou přítomny v keratinové vrstvě pokrývající strukový kanálek, přímo do strukové cisterny.</w:t>
      </w:r>
    </w:p>
    <w:p w:rsidR="00647C32" w:rsidRPr="00647C32" w:rsidRDefault="00647C32" w:rsidP="00647C32">
      <w:pPr>
        <w:pStyle w:val="Zkladntext"/>
        <w:rPr>
          <w:lang w:val="cs-CZ"/>
        </w:rPr>
      </w:pPr>
      <w:r w:rsidRPr="00647C32">
        <w:rPr>
          <w:lang w:val="cs-CZ"/>
        </w:rPr>
        <w:t>Při částečném zasunutí kanyla proniká pouze několik milimetrů do strukového kanálku, brání dilataci sfinkteru i destrukci keratinové vrstvy. Antibiotikum je deponováno do celého strukového kanálku.</w:t>
      </w:r>
    </w:p>
    <w:p w:rsidR="00647C32" w:rsidRPr="00647C32" w:rsidRDefault="00647C32" w:rsidP="00647C32">
      <w:pPr>
        <w:pStyle w:val="Zkladntext"/>
        <w:rPr>
          <w:lang w:val="cs-CZ"/>
        </w:rPr>
      </w:pPr>
      <w:r w:rsidRPr="00647C32">
        <w:rPr>
          <w:lang w:val="cs-CZ"/>
        </w:rPr>
        <w:t>U velmi neklidných krav, dochází-li k lézím struku nebo při jiných zvláštních situacích, představuje zasunutí celé kanyly jednodušší způsob aplikace.</w:t>
      </w:r>
    </w:p>
    <w:p w:rsidR="00647C32" w:rsidRDefault="00647C32" w:rsidP="00647C32">
      <w:pPr>
        <w:widowControl w:val="0"/>
        <w:spacing w:line="240" w:lineRule="atLeast"/>
      </w:pP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647C32">
        <w:tc>
          <w:tcPr>
            <w:tcW w:w="9546" w:type="dxa"/>
          </w:tcPr>
          <w:p w:rsidR="00647C32" w:rsidRDefault="00647C32" w:rsidP="00647C32">
            <w:pPr>
              <w:widowControl w:val="0"/>
              <w:spacing w:line="240" w:lineRule="atLeast"/>
              <w:rPr>
                <w:b/>
              </w:rPr>
            </w:pPr>
            <w:r>
              <w:rPr>
                <w:b/>
              </w:rPr>
              <w:t xml:space="preserve">ČÁSTEČNÉ ZASUNUTÍ     </w:t>
            </w:r>
          </w:p>
          <w:p w:rsidR="00647C32" w:rsidRDefault="00647C32" w:rsidP="00647C32">
            <w:pPr>
              <w:widowControl w:val="0"/>
              <w:spacing w:line="240" w:lineRule="atLeast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647C32" w:rsidRDefault="00647C32" w:rsidP="00647C32">
            <w:pPr>
              <w:widowControl w:val="0"/>
              <w:spacing w:line="240" w:lineRule="atLeast"/>
            </w:pPr>
            <w:r>
              <w:t>Sejmout ochranný kry</w:t>
            </w:r>
            <w:r w:rsidR="00826860">
              <w:t xml:space="preserve">t       </w:t>
            </w:r>
            <w:r>
              <w:t>Aplikovat</w:t>
            </w:r>
          </w:p>
        </w:tc>
      </w:tr>
    </w:tbl>
    <w:p w:rsidR="00647C32" w:rsidRDefault="00647C32" w:rsidP="00647C32"/>
    <w:tbl>
      <w:tblPr>
        <w:tblW w:w="95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647C32">
        <w:tc>
          <w:tcPr>
            <w:tcW w:w="9546" w:type="dxa"/>
          </w:tcPr>
          <w:p w:rsidR="00647C32" w:rsidRDefault="00647C32" w:rsidP="00647C32">
            <w:pPr>
              <w:widowControl w:val="0"/>
              <w:spacing w:line="240" w:lineRule="atLeast"/>
              <w:rPr>
                <w:b/>
              </w:rPr>
            </w:pPr>
            <w:r>
              <w:rPr>
                <w:b/>
              </w:rPr>
              <w:t>ÚPLNÉ ZASUNUTÍ</w:t>
            </w:r>
          </w:p>
          <w:p w:rsidR="00647C32" w:rsidRDefault="00647C32" w:rsidP="00647C32">
            <w:pPr>
              <w:widowControl w:val="0"/>
              <w:spacing w:line="240" w:lineRule="atLeast"/>
              <w:rPr>
                <w:b/>
              </w:rPr>
            </w:pPr>
          </w:p>
          <w:p w:rsidR="00647C32" w:rsidRDefault="00647C32" w:rsidP="00647C32">
            <w:pPr>
              <w:widowControl w:val="0"/>
              <w:spacing w:line="240" w:lineRule="atLeast"/>
            </w:pPr>
            <w:r>
              <w:t>Sejmout ochranný kryt      Otáčením oddělit adaptér       Odstranit adaptér         Aplikovat</w:t>
            </w:r>
          </w:p>
          <w:p w:rsidR="00647C32" w:rsidRDefault="00647C32" w:rsidP="00647C32">
            <w:pPr>
              <w:widowControl w:val="0"/>
              <w:spacing w:line="240" w:lineRule="atLeast"/>
            </w:pPr>
            <w:r>
              <w:t xml:space="preserve">                                           částečného zasunutí               částečného zasunutí</w:t>
            </w:r>
          </w:p>
        </w:tc>
      </w:tr>
    </w:tbl>
    <w:p w:rsidR="00EB1C0D" w:rsidRDefault="00EB1C0D">
      <w:pPr>
        <w:widowControl w:val="0"/>
        <w:spacing w:line="240" w:lineRule="atLeast"/>
      </w:pPr>
    </w:p>
    <w:p w:rsidR="00EB1C0D" w:rsidRDefault="00EB1C0D">
      <w:pPr>
        <w:rPr>
          <w:b/>
          <w:caps/>
          <w:szCs w:val="24"/>
        </w:rPr>
      </w:pPr>
      <w:r>
        <w:rPr>
          <w:b/>
          <w:caps/>
          <w:szCs w:val="24"/>
        </w:rPr>
        <w:t>9. Pokyny pro správné podání</w:t>
      </w:r>
    </w:p>
    <w:p w:rsidR="00647C32" w:rsidRPr="00647C32" w:rsidRDefault="00647C32" w:rsidP="00B5522B">
      <w:pPr>
        <w:pStyle w:val="Zkladntext"/>
        <w:rPr>
          <w:lang w:val="cs-CZ"/>
        </w:rPr>
      </w:pPr>
      <w:r w:rsidRPr="00647C32">
        <w:rPr>
          <w:lang w:val="cs-CZ"/>
        </w:rPr>
        <w:t>Před ošetřením je třeba každou čtvrť vydojit do úplného vyprázdnění a za pomoci vhodného přípravku očistit a vydezinfikovat každý struk, především jeho ústí. Pak aplikovat přípravek.</w:t>
      </w:r>
    </w:p>
    <w:p w:rsidR="00647C32" w:rsidRDefault="00647C32" w:rsidP="00B5522B">
      <w:pPr>
        <w:widowControl w:val="0"/>
        <w:spacing w:line="240" w:lineRule="atLeast"/>
        <w:jc w:val="both"/>
      </w:pPr>
      <w:r>
        <w:t>Sejmout ochranný kryt. Zasunout kanylu do strukového kanálku a aplikovat celý obsah. Vyjmout kanylu, jednou rukou podržet vrchol struku a palcem a ukazováčkem druhé ruky vmasírovat přípravek nahoru do struku. Pak souvislými pohyby vzhůru masírovat čtvrť oběma rukama tak, aby bylo zajištěno rovnoměrné rozložení přípravku až do cisterny.</w:t>
      </w:r>
    </w:p>
    <w:p w:rsidR="00EB1C0D" w:rsidRDefault="00EB1C0D" w:rsidP="00B5522B">
      <w:pPr>
        <w:jc w:val="both"/>
      </w:pPr>
    </w:p>
    <w:p w:rsidR="00EB1C0D" w:rsidRDefault="00EB1C0D">
      <w:pPr>
        <w:rPr>
          <w:b/>
          <w:caps/>
          <w:szCs w:val="24"/>
        </w:rPr>
      </w:pPr>
      <w:r>
        <w:rPr>
          <w:b/>
          <w:caps/>
          <w:szCs w:val="24"/>
        </w:rPr>
        <w:t>10. Ochranná</w:t>
      </w:r>
      <w:r w:rsidR="001D1CCD">
        <w:rPr>
          <w:b/>
          <w:caps/>
          <w:szCs w:val="24"/>
        </w:rPr>
        <w:t>(É)</w:t>
      </w:r>
      <w:r>
        <w:rPr>
          <w:b/>
          <w:caps/>
          <w:szCs w:val="24"/>
        </w:rPr>
        <w:t xml:space="preserve"> </w:t>
      </w:r>
      <w:proofErr w:type="gramStart"/>
      <w:r>
        <w:rPr>
          <w:b/>
          <w:caps/>
          <w:szCs w:val="24"/>
        </w:rPr>
        <w:t>lhůta</w:t>
      </w:r>
      <w:r w:rsidR="001D1CCD">
        <w:rPr>
          <w:b/>
          <w:caps/>
          <w:szCs w:val="24"/>
        </w:rPr>
        <w:t>(Y)</w:t>
      </w:r>
      <w:proofErr w:type="gramEnd"/>
    </w:p>
    <w:p w:rsidR="004D2A14" w:rsidRPr="001D1CCD" w:rsidRDefault="004D2A14" w:rsidP="004D2A14">
      <w:r w:rsidRPr="001D1CCD">
        <w:t>Maso: Bez ochranných lhůt.</w:t>
      </w:r>
    </w:p>
    <w:p w:rsidR="004D2A14" w:rsidRPr="001D1CCD" w:rsidRDefault="004D2A14" w:rsidP="004D2A14">
      <w:r w:rsidRPr="001D1CCD">
        <w:t>Vemeno musí být vyloučeno z lidského konzumu.</w:t>
      </w:r>
    </w:p>
    <w:p w:rsidR="001D1CCD" w:rsidRDefault="001D1CCD" w:rsidP="001D1CCD">
      <w:r>
        <w:t>Maso: Bez ochranných lhůt.</w:t>
      </w:r>
    </w:p>
    <w:p w:rsidR="001D1CCD" w:rsidRDefault="001D1CCD" w:rsidP="001D1CCD">
      <w:r>
        <w:t>Vemeno musí být vyloučeno z lidského konzumu.</w:t>
      </w:r>
    </w:p>
    <w:p w:rsidR="005E52AA" w:rsidRPr="00552349" w:rsidRDefault="001D1CCD" w:rsidP="005E52AA">
      <w:r w:rsidRPr="00552349">
        <w:t xml:space="preserve">Mléko: </w:t>
      </w:r>
      <w:r w:rsidR="005E52AA" w:rsidRPr="00552349">
        <w:t xml:space="preserve">Bez ochranných lhůt po porodu v případě, že délka </w:t>
      </w:r>
      <w:proofErr w:type="spellStart"/>
      <w:r w:rsidR="005E52AA" w:rsidRPr="00552349">
        <w:t>zaprahlosti</w:t>
      </w:r>
      <w:proofErr w:type="spellEnd"/>
      <w:r w:rsidR="005E52AA" w:rsidRPr="00552349">
        <w:t xml:space="preserve"> je 35 dnů nebo delší.</w:t>
      </w:r>
    </w:p>
    <w:p w:rsidR="005E52AA" w:rsidRPr="00552349" w:rsidRDefault="005E52AA" w:rsidP="005E52AA">
      <w:r w:rsidRPr="00552349">
        <w:t xml:space="preserve">            35 dnů po ošetření v případě, že délka </w:t>
      </w:r>
      <w:proofErr w:type="spellStart"/>
      <w:r w:rsidRPr="00552349">
        <w:t>zaprahlosti</w:t>
      </w:r>
      <w:proofErr w:type="spellEnd"/>
      <w:r w:rsidRPr="00552349">
        <w:t xml:space="preserve"> je kratší než 35 dnů.</w:t>
      </w:r>
    </w:p>
    <w:p w:rsidR="001D1CCD" w:rsidRPr="00556EC7" w:rsidRDefault="001D1CCD" w:rsidP="005E52AA">
      <w:pPr>
        <w:rPr>
          <w:color w:val="0070C0"/>
        </w:rPr>
      </w:pPr>
    </w:p>
    <w:p w:rsidR="00EB1C0D" w:rsidRDefault="00EB1C0D" w:rsidP="00552349">
      <w:pPr>
        <w:keepNext/>
        <w:rPr>
          <w:b/>
          <w:caps/>
          <w:szCs w:val="24"/>
        </w:rPr>
      </w:pPr>
      <w:r>
        <w:rPr>
          <w:b/>
          <w:caps/>
          <w:szCs w:val="24"/>
        </w:rPr>
        <w:t>11. Zvláštní opatření pro uchovávání</w:t>
      </w:r>
    </w:p>
    <w:p w:rsidR="004915E2" w:rsidRDefault="004915E2">
      <w:pPr>
        <w:rPr>
          <w:color w:val="000000"/>
        </w:rPr>
      </w:pPr>
    </w:p>
    <w:p w:rsidR="00EB1C0D" w:rsidRDefault="00EB1C0D">
      <w:pPr>
        <w:rPr>
          <w:color w:val="000000"/>
        </w:rPr>
      </w:pPr>
      <w:r>
        <w:rPr>
          <w:color w:val="000000"/>
        </w:rPr>
        <w:t xml:space="preserve">Uchovávat mimo </w:t>
      </w:r>
      <w:r w:rsidR="00E76EB2">
        <w:rPr>
          <w:color w:val="000000"/>
        </w:rPr>
        <w:t xml:space="preserve">dohled a </w:t>
      </w:r>
      <w:r>
        <w:rPr>
          <w:color w:val="000000"/>
        </w:rPr>
        <w:t>dosah dětí.</w:t>
      </w:r>
    </w:p>
    <w:p w:rsidR="00EB1C0D" w:rsidRDefault="00EB1C0D">
      <w:pPr>
        <w:pStyle w:val="StylTunernZarovnatdoblokuDolejednoduchAutomatic1"/>
        <w:rPr>
          <w:b w:val="0"/>
        </w:rPr>
      </w:pPr>
      <w:r>
        <w:rPr>
          <w:b w:val="0"/>
        </w:rPr>
        <w:t xml:space="preserve">Uchovávejte při teplotě do 25 </w:t>
      </w:r>
      <w:r>
        <w:rPr>
          <w:b w:val="0"/>
        </w:rPr>
        <w:sym w:font="Times New Roman" w:char="00B0"/>
      </w:r>
      <w:r>
        <w:rPr>
          <w:b w:val="0"/>
        </w:rPr>
        <w:t xml:space="preserve">C. </w:t>
      </w:r>
    </w:p>
    <w:p w:rsidR="00EB1C0D" w:rsidRDefault="00EB1C0D">
      <w:pPr>
        <w:pStyle w:val="StylTunernZarovnatdoblokuDolejednoduchAutomatic1"/>
        <w:rPr>
          <w:b w:val="0"/>
          <w:bCs w:val="0"/>
          <w:highlight w:val="yellow"/>
        </w:rPr>
      </w:pPr>
      <w:r>
        <w:rPr>
          <w:b w:val="0"/>
        </w:rPr>
        <w:t>Chraňte před světlem.</w:t>
      </w:r>
    </w:p>
    <w:p w:rsidR="00EB1C0D" w:rsidRDefault="00EB1C0D" w:rsidP="00552349">
      <w:pPr>
        <w:jc w:val="both"/>
        <w:rPr>
          <w:color w:val="000000"/>
        </w:rPr>
      </w:pPr>
      <w:r>
        <w:rPr>
          <w:color w:val="000000"/>
        </w:rPr>
        <w:t xml:space="preserve">Nepoužívejte </w:t>
      </w:r>
      <w:r w:rsidR="00357AF5">
        <w:rPr>
          <w:color w:val="000000"/>
        </w:rPr>
        <w:t xml:space="preserve">tento veterinární léčivý přípravek </w:t>
      </w:r>
      <w:r>
        <w:rPr>
          <w:color w:val="000000"/>
        </w:rPr>
        <w:t>po uplynutí doby použitelnosti uvedené na obalu.</w:t>
      </w:r>
    </w:p>
    <w:p w:rsidR="00EB1C0D" w:rsidRDefault="00EB1C0D">
      <w:pPr>
        <w:rPr>
          <w:color w:val="000000"/>
        </w:rPr>
      </w:pPr>
    </w:p>
    <w:p w:rsidR="00EB1C0D" w:rsidRDefault="00EB1C0D">
      <w:pPr>
        <w:rPr>
          <w:b/>
          <w:caps/>
          <w:szCs w:val="24"/>
        </w:rPr>
      </w:pPr>
      <w:r>
        <w:rPr>
          <w:b/>
          <w:caps/>
          <w:szCs w:val="24"/>
        </w:rPr>
        <w:t>12. Zvláštní upozornění</w:t>
      </w:r>
    </w:p>
    <w:p w:rsidR="006B55AB" w:rsidRPr="006B55AB" w:rsidRDefault="006B55AB" w:rsidP="006B55AB">
      <w:pPr>
        <w:rPr>
          <w:bCs/>
          <w:u w:val="single"/>
        </w:rPr>
      </w:pPr>
      <w:r w:rsidRPr="006B55AB">
        <w:rPr>
          <w:bCs/>
          <w:u w:val="single"/>
        </w:rPr>
        <w:t>Zvláštní upozornění pro každý cílový druh:</w:t>
      </w:r>
    </w:p>
    <w:p w:rsidR="006B55AB" w:rsidRDefault="006B55AB" w:rsidP="006B55AB">
      <w:r w:rsidRPr="00064873">
        <w:t>Nejsou.</w:t>
      </w:r>
    </w:p>
    <w:p w:rsidR="006B55AB" w:rsidRDefault="006B55AB" w:rsidP="009C3334">
      <w:pPr>
        <w:rPr>
          <w:b/>
          <w:bCs/>
        </w:rPr>
      </w:pPr>
    </w:p>
    <w:p w:rsidR="009C3334" w:rsidRPr="006B55AB" w:rsidRDefault="009C3334" w:rsidP="009C3334">
      <w:pPr>
        <w:rPr>
          <w:bCs/>
          <w:u w:val="single"/>
        </w:rPr>
      </w:pPr>
      <w:r w:rsidRPr="006B55AB">
        <w:rPr>
          <w:bCs/>
          <w:u w:val="single"/>
        </w:rPr>
        <w:t>Zvláštní opatření pro použití u zvířat</w:t>
      </w:r>
      <w:r w:rsidR="006B55AB">
        <w:rPr>
          <w:bCs/>
          <w:u w:val="single"/>
        </w:rPr>
        <w:t>:</w:t>
      </w:r>
    </w:p>
    <w:p w:rsidR="00647C32" w:rsidRPr="00347D41" w:rsidRDefault="00647C32" w:rsidP="00512FFC">
      <w:pPr>
        <w:jc w:val="both"/>
        <w:rPr>
          <w:szCs w:val="24"/>
        </w:rPr>
      </w:pPr>
      <w:r w:rsidRPr="00347D41">
        <w:rPr>
          <w:szCs w:val="24"/>
        </w:rPr>
        <w:t xml:space="preserve">Během léčby </w:t>
      </w:r>
      <w:proofErr w:type="spellStart"/>
      <w:r w:rsidRPr="00347D41">
        <w:rPr>
          <w:szCs w:val="24"/>
        </w:rPr>
        <w:t>rifaximinem</w:t>
      </w:r>
      <w:proofErr w:type="spellEnd"/>
      <w:r w:rsidRPr="00347D41">
        <w:rPr>
          <w:szCs w:val="24"/>
        </w:rPr>
        <w:t xml:space="preserve"> může docházet k selekci rezistentních bakterií, které mohou představovat riziko i pro lidské zdraví (pokud dojde k přenosu takových kmenů na lidskou populaci). Rezistence vzniká jednostupňově.</w:t>
      </w:r>
    </w:p>
    <w:p w:rsidR="00647C32" w:rsidRPr="00347D41" w:rsidRDefault="00647C32" w:rsidP="00512FFC">
      <w:pPr>
        <w:jc w:val="both"/>
      </w:pPr>
      <w:r w:rsidRPr="00347D41">
        <w:lastRenderedPageBreak/>
        <w:t xml:space="preserve">Z tohoto důvodu </w:t>
      </w:r>
      <w:proofErr w:type="gramStart"/>
      <w:r w:rsidRPr="00347D41">
        <w:t>má</w:t>
      </w:r>
      <w:proofErr w:type="gramEnd"/>
      <w:r w:rsidRPr="00347D41">
        <w:t xml:space="preserve"> přípravek indikační omezení </w:t>
      </w:r>
      <w:proofErr w:type="gramStart"/>
      <w:r w:rsidRPr="00347D41">
        <w:t>tzn.</w:t>
      </w:r>
      <w:proofErr w:type="gramEnd"/>
      <w:r w:rsidRPr="00347D41">
        <w:t>, že by měl být použit pouze pro léčbu závažných infekcí na základě klinických zkušeností, podpořených diagnostikou původce onemocnění a zjištění jeho citlivosti k dané účinné látce a rezistence k běžným antibiotikům.</w:t>
      </w:r>
    </w:p>
    <w:p w:rsidR="00647C32" w:rsidRPr="00347D41" w:rsidRDefault="00647C32" w:rsidP="00512FFC">
      <w:pPr>
        <w:jc w:val="both"/>
        <w:rPr>
          <w:szCs w:val="24"/>
        </w:rPr>
      </w:pPr>
      <w:r w:rsidRPr="00347D41">
        <w:rPr>
          <w:szCs w:val="24"/>
        </w:rPr>
        <w:t>Při použití tohoto přípravku je nutno zohlednit oficiální, národní a místní pravidla antibiotické politiky.</w:t>
      </w:r>
    </w:p>
    <w:p w:rsidR="00647C32" w:rsidRPr="00347D41" w:rsidRDefault="00647C32" w:rsidP="00512FFC">
      <w:pPr>
        <w:jc w:val="both"/>
        <w:rPr>
          <w:szCs w:val="24"/>
        </w:rPr>
      </w:pPr>
      <w:r w:rsidRPr="00347D41">
        <w:rPr>
          <w:szCs w:val="24"/>
        </w:rPr>
        <w:t>Zvýšené používání přípravku, včetně použití přípravku, které neodpovídá pokynům uvedeným v souhrnu údajů o přípravku, může zvýšit prevalenci rezistence.</w:t>
      </w:r>
    </w:p>
    <w:p w:rsidR="006B55AB" w:rsidRDefault="006B55AB" w:rsidP="00512FFC">
      <w:pPr>
        <w:pStyle w:val="Zkladntext"/>
        <w:rPr>
          <w:b/>
          <w:lang w:val="cs-CZ"/>
        </w:rPr>
      </w:pPr>
    </w:p>
    <w:p w:rsidR="00A36EE0" w:rsidRPr="00A36EE0" w:rsidRDefault="00A36EE0" w:rsidP="00552349">
      <w:pPr>
        <w:keepNext/>
        <w:rPr>
          <w:bCs/>
          <w:u w:val="single"/>
        </w:rPr>
      </w:pPr>
      <w:r w:rsidRPr="00A36EE0">
        <w:rPr>
          <w:bCs/>
          <w:u w:val="single"/>
        </w:rPr>
        <w:t>Zvláštní opatření určené osobám, které podávají veterinární léčivý přípravek zvířatům:</w:t>
      </w:r>
    </w:p>
    <w:p w:rsidR="00E76EB2" w:rsidRPr="00552349" w:rsidRDefault="00E76EB2" w:rsidP="00E76EB2">
      <w:pPr>
        <w:pStyle w:val="Zkladntext"/>
        <w:rPr>
          <w:szCs w:val="24"/>
          <w:lang w:val="cs-CZ"/>
        </w:rPr>
      </w:pPr>
      <w:r w:rsidRPr="00552349">
        <w:rPr>
          <w:szCs w:val="24"/>
          <w:lang w:val="cs-CZ"/>
        </w:rPr>
        <w:t xml:space="preserve">Lidé se známou přecitlivělostí na </w:t>
      </w:r>
      <w:proofErr w:type="spellStart"/>
      <w:r w:rsidRPr="00552349">
        <w:rPr>
          <w:szCs w:val="24"/>
          <w:lang w:val="cs-CZ"/>
        </w:rPr>
        <w:t>rifaximin</w:t>
      </w:r>
      <w:proofErr w:type="spellEnd"/>
      <w:r w:rsidRPr="00552349">
        <w:rPr>
          <w:szCs w:val="24"/>
          <w:lang w:val="cs-CZ"/>
        </w:rPr>
        <w:t xml:space="preserve"> by se měli vyhnout kontaktu s veterinárním léčivým přípravkem.</w:t>
      </w:r>
    </w:p>
    <w:p w:rsidR="00E76EB2" w:rsidRPr="00552349" w:rsidRDefault="00E76EB2" w:rsidP="00E76EB2">
      <w:pPr>
        <w:pStyle w:val="Zkladntext"/>
        <w:rPr>
          <w:szCs w:val="24"/>
          <w:lang w:val="cs-CZ"/>
        </w:rPr>
      </w:pPr>
      <w:r w:rsidRPr="00552349">
        <w:rPr>
          <w:szCs w:val="24"/>
          <w:lang w:val="cs-CZ"/>
        </w:rPr>
        <w:t xml:space="preserve">Zabraňte kontaktu přípravku kůží, očima a sliznicemi. V případě náhodného potřísnění kůže nebo zasažení očí či sliznic postižené místo ihned důkladně omyjte proudem vody. V případě podráždění vyhledejte lékařskou pomoc a ukažte příbalovou informaci nebo etiketu praktickému lékaři. </w:t>
      </w:r>
    </w:p>
    <w:p w:rsidR="00E76EB2" w:rsidRPr="00E76EB2" w:rsidRDefault="00E76EB2" w:rsidP="00E76EB2">
      <w:pPr>
        <w:rPr>
          <w:szCs w:val="24"/>
        </w:rPr>
      </w:pPr>
      <w:r w:rsidRPr="00E76EB2">
        <w:rPr>
          <w:szCs w:val="24"/>
        </w:rPr>
        <w:t>Po použití si umyjte ruce.</w:t>
      </w:r>
    </w:p>
    <w:p w:rsidR="00EB1C0D" w:rsidRDefault="00EB1C0D">
      <w:pPr>
        <w:pStyle w:val="StylZarovnatdoblokuDolejednoduchAutomatick075b"/>
      </w:pPr>
    </w:p>
    <w:p w:rsidR="00A52AF1" w:rsidRPr="00A52AF1" w:rsidRDefault="00A52AF1" w:rsidP="00A52AF1">
      <w:pPr>
        <w:jc w:val="both"/>
        <w:rPr>
          <w:u w:val="single"/>
        </w:rPr>
      </w:pPr>
      <w:r w:rsidRPr="00A52AF1">
        <w:rPr>
          <w:u w:val="single"/>
        </w:rPr>
        <w:t>Březost, laktace:</w:t>
      </w:r>
    </w:p>
    <w:p w:rsidR="00A52AF1" w:rsidRDefault="00A52AF1" w:rsidP="00A52AF1">
      <w:pPr>
        <w:jc w:val="both"/>
      </w:pPr>
      <w:r>
        <w:t>Lze použít během březosti. Nepoužívat u krav v období laktace.</w:t>
      </w:r>
    </w:p>
    <w:p w:rsidR="00A52AF1" w:rsidRDefault="00A52AF1">
      <w:pPr>
        <w:pStyle w:val="StylZarovnatdoblokuDolejednoduchAutomatick075b"/>
      </w:pPr>
    </w:p>
    <w:p w:rsidR="00BD5BA5" w:rsidRDefault="00BD5BA5" w:rsidP="00BD5BA5">
      <w:pPr>
        <w:rPr>
          <w:bCs/>
          <w:u w:val="single"/>
        </w:rPr>
      </w:pPr>
      <w:r w:rsidRPr="00BD5BA5">
        <w:rPr>
          <w:bCs/>
          <w:u w:val="single"/>
        </w:rPr>
        <w:t>Interakce s dalšími léčivými přípravky a další formy interakce</w:t>
      </w:r>
      <w:r>
        <w:rPr>
          <w:bCs/>
          <w:u w:val="single"/>
        </w:rPr>
        <w:t>:</w:t>
      </w:r>
    </w:p>
    <w:p w:rsidR="00BD5BA5" w:rsidRPr="005175F2" w:rsidRDefault="00BD5BA5" w:rsidP="00BD5BA5">
      <w:pPr>
        <w:jc w:val="both"/>
      </w:pPr>
      <w:r w:rsidRPr="005175F2">
        <w:t xml:space="preserve">Skupina </w:t>
      </w:r>
      <w:proofErr w:type="spellStart"/>
      <w:r w:rsidRPr="005175F2">
        <w:t>ansamycinů</w:t>
      </w:r>
      <w:proofErr w:type="spellEnd"/>
      <w:r w:rsidRPr="005175F2">
        <w:t xml:space="preserve"> je známa svými rozsáhlými lékovými interakcemi. Obecně patří její zástupci mezi silné induktory cytochromu P-450.</w:t>
      </w:r>
      <w:r w:rsidRPr="005175F2">
        <w:rPr>
          <w:szCs w:val="24"/>
        </w:rPr>
        <w:t xml:space="preserve"> Současné užívání </w:t>
      </w:r>
      <w:proofErr w:type="spellStart"/>
      <w:r w:rsidRPr="005175F2">
        <w:rPr>
          <w:szCs w:val="24"/>
        </w:rPr>
        <w:t>ansamycinů</w:t>
      </w:r>
      <w:proofErr w:type="spellEnd"/>
      <w:r w:rsidRPr="005175F2">
        <w:rPr>
          <w:szCs w:val="24"/>
        </w:rPr>
        <w:t xml:space="preserve"> s dalšími léky, které jsou také metabolizovány tímto cytochromem, může jejich metabolizmus urychlit a snížit jejich účinnost. Proto musí být věnována pozornost předepisování </w:t>
      </w:r>
      <w:proofErr w:type="spellStart"/>
      <w:r>
        <w:t>ansamycinů</w:t>
      </w:r>
      <w:proofErr w:type="spellEnd"/>
      <w:r>
        <w:t xml:space="preserve"> </w:t>
      </w:r>
      <w:r w:rsidRPr="005175F2">
        <w:rPr>
          <w:szCs w:val="24"/>
        </w:rPr>
        <w:t>s dalšími léky metabolizovanými cytochromem P-450.</w:t>
      </w:r>
    </w:p>
    <w:p w:rsidR="00BD5BA5" w:rsidRDefault="00BD5BA5" w:rsidP="00BD5BA5">
      <w:pPr>
        <w:rPr>
          <w:bCs/>
          <w:u w:val="single"/>
        </w:rPr>
      </w:pPr>
    </w:p>
    <w:p w:rsidR="00FC7164" w:rsidRPr="00FC7164" w:rsidRDefault="00FC7164" w:rsidP="00FC7164">
      <w:pPr>
        <w:rPr>
          <w:bCs/>
          <w:u w:val="single"/>
        </w:rPr>
      </w:pPr>
      <w:r w:rsidRPr="00FC7164">
        <w:rPr>
          <w:bCs/>
          <w:u w:val="single"/>
        </w:rPr>
        <w:t>Předávkování (symptomy, první pomoc, antidota)</w:t>
      </w:r>
      <w:r>
        <w:rPr>
          <w:bCs/>
          <w:u w:val="single"/>
        </w:rPr>
        <w:t xml:space="preserve">: </w:t>
      </w:r>
    </w:p>
    <w:p w:rsidR="00FC7164" w:rsidRDefault="00FC7164" w:rsidP="00FC7164">
      <w:r>
        <w:t>Žádné známky intoxikace nebyly pozorovány ani po podání vysokých dávek.</w:t>
      </w:r>
    </w:p>
    <w:p w:rsidR="00EF4AF4" w:rsidRDefault="00EF4AF4" w:rsidP="00BD5BA5">
      <w:pPr>
        <w:rPr>
          <w:bCs/>
          <w:u w:val="single"/>
        </w:rPr>
      </w:pPr>
    </w:p>
    <w:p w:rsidR="00AE0A04" w:rsidRPr="00AE0A04" w:rsidRDefault="00AE0A04" w:rsidP="00AE0A04">
      <w:pPr>
        <w:rPr>
          <w:bCs/>
          <w:u w:val="single"/>
        </w:rPr>
      </w:pPr>
      <w:r>
        <w:rPr>
          <w:bCs/>
          <w:u w:val="single"/>
        </w:rPr>
        <w:t>I</w:t>
      </w:r>
      <w:r w:rsidRPr="00AE0A04">
        <w:rPr>
          <w:bCs/>
          <w:u w:val="single"/>
        </w:rPr>
        <w:t>nkompatibility</w:t>
      </w:r>
      <w:r>
        <w:rPr>
          <w:bCs/>
          <w:u w:val="single"/>
        </w:rPr>
        <w:t>:</w:t>
      </w:r>
    </w:p>
    <w:p w:rsidR="00BD5BA5" w:rsidRPr="00AE0A04" w:rsidRDefault="00AE0A04" w:rsidP="00AE0A04">
      <w:pPr>
        <w:rPr>
          <w:bCs/>
        </w:rPr>
      </w:pPr>
      <w:r w:rsidRPr="00AE0A04">
        <w:rPr>
          <w:bCs/>
        </w:rPr>
        <w:t>Nejsou známy.</w:t>
      </w:r>
    </w:p>
    <w:p w:rsidR="00A52AF1" w:rsidRDefault="00A52AF1">
      <w:pPr>
        <w:pStyle w:val="StylZarovnatdoblokuDolejednoduchAutomatick075b"/>
      </w:pPr>
    </w:p>
    <w:p w:rsidR="00EB1C0D" w:rsidRDefault="00EB1C0D" w:rsidP="00552349">
      <w:pPr>
        <w:keepNext/>
        <w:rPr>
          <w:b/>
          <w:caps/>
          <w:szCs w:val="24"/>
        </w:rPr>
      </w:pPr>
      <w:r>
        <w:rPr>
          <w:b/>
          <w:caps/>
          <w:szCs w:val="24"/>
        </w:rPr>
        <w:t>13. Zvláštní opatření pro zneškodňování nepoužitých přípravků nebo odpadu, pokud je jich třeba</w:t>
      </w:r>
    </w:p>
    <w:p w:rsidR="00E76EB2" w:rsidRDefault="00E76EB2">
      <w:r>
        <w:t>Všechen nepoužitý veterinární léčivý přípravek nebo odpad, který pochází z tohoto přípravku, musí být likvidován podle místních právních předpisů.</w:t>
      </w:r>
    </w:p>
    <w:p w:rsidR="00EB1C0D" w:rsidRDefault="00EB1C0D">
      <w:pPr>
        <w:rPr>
          <w:color w:val="000000"/>
        </w:rPr>
      </w:pPr>
    </w:p>
    <w:p w:rsidR="00EB1C0D" w:rsidRDefault="00EB1C0D">
      <w:pPr>
        <w:rPr>
          <w:b/>
          <w:caps/>
          <w:szCs w:val="24"/>
        </w:rPr>
      </w:pPr>
      <w:r>
        <w:rPr>
          <w:b/>
          <w:caps/>
          <w:szCs w:val="24"/>
        </w:rPr>
        <w:t>14. Datum poslední revize příbalové informace</w:t>
      </w:r>
    </w:p>
    <w:p w:rsidR="007636C7" w:rsidRPr="00552349" w:rsidRDefault="00C50A70">
      <w:pPr>
        <w:rPr>
          <w:caps/>
          <w:szCs w:val="24"/>
        </w:rPr>
      </w:pPr>
      <w:r>
        <w:rPr>
          <w:szCs w:val="24"/>
        </w:rPr>
        <w:t>Duben</w:t>
      </w:r>
      <w:r>
        <w:rPr>
          <w:caps/>
          <w:szCs w:val="24"/>
        </w:rPr>
        <w:t xml:space="preserve"> </w:t>
      </w:r>
      <w:r w:rsidR="007636C7" w:rsidRPr="00552349">
        <w:rPr>
          <w:caps/>
          <w:szCs w:val="24"/>
        </w:rPr>
        <w:t>2019</w:t>
      </w:r>
    </w:p>
    <w:p w:rsidR="00647C32" w:rsidRDefault="00647C32">
      <w:pPr>
        <w:rPr>
          <w:b/>
          <w:caps/>
          <w:szCs w:val="24"/>
        </w:rPr>
      </w:pPr>
    </w:p>
    <w:p w:rsidR="00EB1C0D" w:rsidRDefault="00EB1C0D">
      <w:pPr>
        <w:rPr>
          <w:b/>
          <w:caps/>
          <w:szCs w:val="24"/>
        </w:rPr>
      </w:pPr>
      <w:r>
        <w:rPr>
          <w:b/>
          <w:caps/>
          <w:szCs w:val="24"/>
        </w:rPr>
        <w:t>15. Další informace</w:t>
      </w:r>
    </w:p>
    <w:p w:rsidR="00647C32" w:rsidRDefault="00647C32">
      <w:pPr>
        <w:rPr>
          <w:color w:val="000000"/>
        </w:rPr>
      </w:pPr>
    </w:p>
    <w:p w:rsidR="004915E2" w:rsidRDefault="004915E2" w:rsidP="004915E2">
      <w:pPr>
        <w:rPr>
          <w:b/>
        </w:rPr>
      </w:pPr>
      <w:r>
        <w:rPr>
          <w:b/>
        </w:rPr>
        <w:t>Velikosti balení:</w:t>
      </w:r>
    </w:p>
    <w:p w:rsidR="004915E2" w:rsidRDefault="004915E2" w:rsidP="004915E2">
      <w:pPr>
        <w:pStyle w:val="StylZarovnatdoblokuDolejednoduchAutomatick075b"/>
      </w:pPr>
      <w:r>
        <w:t>1 × 4 aplikátory po 5 ml</w:t>
      </w:r>
    </w:p>
    <w:p w:rsidR="004915E2" w:rsidRDefault="004915E2" w:rsidP="004915E2">
      <w:r>
        <w:t>3 × 4 aplikátory po 5 ml</w:t>
      </w:r>
    </w:p>
    <w:p w:rsidR="004915E2" w:rsidRDefault="004915E2" w:rsidP="004915E2"/>
    <w:p w:rsidR="004915E2" w:rsidRDefault="004915E2" w:rsidP="004915E2">
      <w:r>
        <w:t>Na trhu nemusí být všechny velikosti balení.</w:t>
      </w:r>
    </w:p>
    <w:p w:rsidR="004915E2" w:rsidRDefault="004915E2">
      <w:pPr>
        <w:rPr>
          <w:color w:val="000000"/>
        </w:rPr>
      </w:pPr>
    </w:p>
    <w:p w:rsidR="00EB1C0D" w:rsidRDefault="00EB1C0D">
      <w:pPr>
        <w:rPr>
          <w:color w:val="000000"/>
        </w:rPr>
      </w:pPr>
      <w:r>
        <w:rPr>
          <w:color w:val="000000"/>
        </w:rPr>
        <w:t>Pouze pro zvířata.</w:t>
      </w:r>
    </w:p>
    <w:p w:rsidR="00EB1C0D" w:rsidRDefault="00EB1C0D">
      <w:pPr>
        <w:rPr>
          <w:color w:val="000000"/>
        </w:rPr>
      </w:pPr>
      <w:r>
        <w:rPr>
          <w:color w:val="000000"/>
        </w:rPr>
        <w:lastRenderedPageBreak/>
        <w:t>Veterinární léčivý přípravek je vydáván pouze na předpis.</w:t>
      </w:r>
    </w:p>
    <w:p w:rsidR="00EB1C0D" w:rsidRDefault="00EB1C0D"/>
    <w:p w:rsidR="00EB1C0D" w:rsidRDefault="00EB1C0D"/>
    <w:sectPr w:rsidR="00EB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C0" w:rsidRDefault="002C14C0" w:rsidP="00D54D2F">
      <w:r>
        <w:separator/>
      </w:r>
    </w:p>
  </w:endnote>
  <w:endnote w:type="continuationSeparator" w:id="0">
    <w:p w:rsidR="002C14C0" w:rsidRDefault="002C14C0" w:rsidP="00D5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C0" w:rsidRDefault="002C14C0" w:rsidP="00D54D2F">
      <w:r>
        <w:separator/>
      </w:r>
    </w:p>
  </w:footnote>
  <w:footnote w:type="continuationSeparator" w:id="0">
    <w:p w:rsidR="002C14C0" w:rsidRDefault="002C14C0" w:rsidP="00D5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0F2359"/>
    <w:multiLevelType w:val="hybridMultilevel"/>
    <w:tmpl w:val="7DD6E694"/>
    <w:lvl w:ilvl="0" w:tplc="F4BA3C6A">
      <w:start w:val="1"/>
      <w:numFmt w:val="decimal"/>
      <w:pStyle w:val="Styl1"/>
      <w:lvlText w:val="%1."/>
      <w:lvlJc w:val="left"/>
      <w:pPr>
        <w:tabs>
          <w:tab w:val="num" w:pos="57"/>
        </w:tabs>
        <w:ind w:left="0" w:firstLine="0"/>
      </w:pPr>
      <w:rPr>
        <w:rFonts w:ascii="Arial" w:hAnsi="Arial" w:hint="default"/>
        <w:color w:val="000000"/>
        <w:sz w:val="22"/>
        <w:szCs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26253"/>
    <w:multiLevelType w:val="singleLevel"/>
    <w:tmpl w:val="CB562AD4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A8F0E63"/>
    <w:multiLevelType w:val="multilevel"/>
    <w:tmpl w:val="5B30CD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3830703"/>
    <w:multiLevelType w:val="singleLevel"/>
    <w:tmpl w:val="39CA5F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2E27584F"/>
    <w:multiLevelType w:val="singleLevel"/>
    <w:tmpl w:val="1D56CA7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42E45555"/>
    <w:multiLevelType w:val="hybridMultilevel"/>
    <w:tmpl w:val="B4C80AE6"/>
    <w:lvl w:ilvl="0" w:tplc="65363B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F96285"/>
    <w:multiLevelType w:val="hybridMultilevel"/>
    <w:tmpl w:val="2D62815A"/>
    <w:lvl w:ilvl="0" w:tplc="C9A4192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C5260">
      <w:numFmt w:val="none"/>
      <w:lvlText w:val=""/>
      <w:lvlJc w:val="left"/>
      <w:pPr>
        <w:tabs>
          <w:tab w:val="num" w:pos="360"/>
        </w:tabs>
      </w:pPr>
    </w:lvl>
    <w:lvl w:ilvl="2" w:tplc="B8F41EF6">
      <w:numFmt w:val="none"/>
      <w:lvlText w:val=""/>
      <w:lvlJc w:val="left"/>
      <w:pPr>
        <w:tabs>
          <w:tab w:val="num" w:pos="360"/>
        </w:tabs>
      </w:pPr>
    </w:lvl>
    <w:lvl w:ilvl="3" w:tplc="3E84A2B2">
      <w:numFmt w:val="none"/>
      <w:lvlText w:val=""/>
      <w:lvlJc w:val="left"/>
      <w:pPr>
        <w:tabs>
          <w:tab w:val="num" w:pos="360"/>
        </w:tabs>
      </w:pPr>
    </w:lvl>
    <w:lvl w:ilvl="4" w:tplc="0F628108">
      <w:numFmt w:val="none"/>
      <w:lvlText w:val=""/>
      <w:lvlJc w:val="left"/>
      <w:pPr>
        <w:tabs>
          <w:tab w:val="num" w:pos="360"/>
        </w:tabs>
      </w:pPr>
    </w:lvl>
    <w:lvl w:ilvl="5" w:tplc="7098F594">
      <w:numFmt w:val="none"/>
      <w:lvlText w:val=""/>
      <w:lvlJc w:val="left"/>
      <w:pPr>
        <w:tabs>
          <w:tab w:val="num" w:pos="360"/>
        </w:tabs>
      </w:pPr>
    </w:lvl>
    <w:lvl w:ilvl="6" w:tplc="DE982B04">
      <w:numFmt w:val="none"/>
      <w:lvlText w:val=""/>
      <w:lvlJc w:val="left"/>
      <w:pPr>
        <w:tabs>
          <w:tab w:val="num" w:pos="360"/>
        </w:tabs>
      </w:pPr>
    </w:lvl>
    <w:lvl w:ilvl="7" w:tplc="9ADC70DC">
      <w:numFmt w:val="none"/>
      <w:lvlText w:val=""/>
      <w:lvlJc w:val="left"/>
      <w:pPr>
        <w:tabs>
          <w:tab w:val="num" w:pos="360"/>
        </w:tabs>
      </w:pPr>
    </w:lvl>
    <w:lvl w:ilvl="8" w:tplc="4B568A9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065D97"/>
    <w:multiLevelType w:val="hybridMultilevel"/>
    <w:tmpl w:val="4CFAAAD0"/>
    <w:lvl w:ilvl="0" w:tplc="65363B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607B2D"/>
    <w:multiLevelType w:val="hybridMultilevel"/>
    <w:tmpl w:val="19CAB23A"/>
    <w:lvl w:ilvl="0" w:tplc="A9EC7158">
      <w:start w:val="1"/>
      <w:numFmt w:val="decimal"/>
      <w:pStyle w:val="Nadpis2"/>
      <w:lvlText w:val="%1."/>
      <w:lvlJc w:val="left"/>
      <w:pPr>
        <w:tabs>
          <w:tab w:val="num" w:pos="0"/>
        </w:tabs>
        <w:ind w:left="0" w:firstLine="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121E73"/>
    <w:multiLevelType w:val="hybridMultilevel"/>
    <w:tmpl w:val="A2725FDC"/>
    <w:lvl w:ilvl="0" w:tplc="AF0A7E18">
      <w:start w:val="1"/>
      <w:numFmt w:val="decimal"/>
      <w:pStyle w:val="Nadpis"/>
      <w:lvlText w:val="%1."/>
      <w:lvlJc w:val="left"/>
      <w:pPr>
        <w:tabs>
          <w:tab w:val="num" w:pos="57"/>
        </w:tabs>
        <w:ind w:left="0" w:firstLine="0"/>
      </w:pPr>
      <w:rPr>
        <w:rFonts w:ascii="Arial" w:hAnsi="Arial" w:hint="default"/>
        <w:color w:val="000000"/>
        <w:sz w:val="22"/>
        <w:szCs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3"/>
    <w:rsid w:val="00021747"/>
    <w:rsid w:val="00087F2C"/>
    <w:rsid w:val="0009196D"/>
    <w:rsid w:val="000F3C32"/>
    <w:rsid w:val="001D1CCD"/>
    <w:rsid w:val="002A727A"/>
    <w:rsid w:val="002C14C0"/>
    <w:rsid w:val="002F0353"/>
    <w:rsid w:val="00350A56"/>
    <w:rsid w:val="00352787"/>
    <w:rsid w:val="00352F3F"/>
    <w:rsid w:val="003560C3"/>
    <w:rsid w:val="00357AF5"/>
    <w:rsid w:val="004662DA"/>
    <w:rsid w:val="004915E2"/>
    <w:rsid w:val="004D2A14"/>
    <w:rsid w:val="00512FFC"/>
    <w:rsid w:val="00552349"/>
    <w:rsid w:val="0058604B"/>
    <w:rsid w:val="005D6A56"/>
    <w:rsid w:val="005E52AA"/>
    <w:rsid w:val="00634FCB"/>
    <w:rsid w:val="00647C32"/>
    <w:rsid w:val="00651AC6"/>
    <w:rsid w:val="006B55AB"/>
    <w:rsid w:val="006D16F5"/>
    <w:rsid w:val="00727F1F"/>
    <w:rsid w:val="0073142A"/>
    <w:rsid w:val="007636C7"/>
    <w:rsid w:val="00826860"/>
    <w:rsid w:val="00922B6D"/>
    <w:rsid w:val="00945BD3"/>
    <w:rsid w:val="0096330F"/>
    <w:rsid w:val="00992F23"/>
    <w:rsid w:val="009C3334"/>
    <w:rsid w:val="00A36C7C"/>
    <w:rsid w:val="00A36EE0"/>
    <w:rsid w:val="00A52AF1"/>
    <w:rsid w:val="00AE0A04"/>
    <w:rsid w:val="00B3171D"/>
    <w:rsid w:val="00B5522B"/>
    <w:rsid w:val="00BD5BA5"/>
    <w:rsid w:val="00C50A70"/>
    <w:rsid w:val="00CB0A26"/>
    <w:rsid w:val="00CC0BF5"/>
    <w:rsid w:val="00D13E96"/>
    <w:rsid w:val="00D54D2F"/>
    <w:rsid w:val="00D57867"/>
    <w:rsid w:val="00DC1133"/>
    <w:rsid w:val="00DD35BC"/>
    <w:rsid w:val="00DE4236"/>
    <w:rsid w:val="00DE6A26"/>
    <w:rsid w:val="00E76EB2"/>
    <w:rsid w:val="00EB0675"/>
    <w:rsid w:val="00EB1C0D"/>
    <w:rsid w:val="00EF4AF4"/>
    <w:rsid w:val="00F760F9"/>
    <w:rsid w:val="00FC3A8E"/>
    <w:rsid w:val="00FC7164"/>
    <w:rsid w:val="00F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numId w:val="2"/>
      </w:numPr>
      <w:outlineLvl w:val="1"/>
    </w:pPr>
    <w:rPr>
      <w:u w:val="thick"/>
    </w:rPr>
  </w:style>
  <w:style w:type="paragraph" w:styleId="Nadpis3">
    <w:name w:val="heading 3"/>
    <w:basedOn w:val="Normln"/>
    <w:next w:val="Normln"/>
    <w:qFormat/>
    <w:pPr>
      <w:keepNext/>
      <w:spacing w:line="240" w:lineRule="atLeast"/>
      <w:jc w:val="both"/>
      <w:outlineLvl w:val="2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unernZarovnatdoblokuDolejednoduchAutomatic1">
    <w:name w:val="Styl Tučné Černá Zarovnat do bloku Dole: (jednoduché Automatic...1"/>
    <w:basedOn w:val="Normln"/>
    <w:next w:val="Normln"/>
    <w:rPr>
      <w:b/>
      <w:bCs/>
      <w:color w:val="000000"/>
    </w:rPr>
  </w:style>
  <w:style w:type="paragraph" w:customStyle="1" w:styleId="StylTunernZarovnatdoblokuDolejednoduchAutomatic">
    <w:name w:val="Styl Tučné Černá Zarovnat do bloku Dole: (jednoduché Automatic..."/>
    <w:basedOn w:val="Normln"/>
    <w:next w:val="Normln"/>
    <w:rPr>
      <w:b/>
      <w:bCs/>
      <w:color w:val="000000"/>
    </w:rPr>
  </w:style>
  <w:style w:type="paragraph" w:customStyle="1" w:styleId="Styl12bernZarovnatdoblokuDolejednoduchAutomatic">
    <w:name w:val="Styl 12 b. Černá Zarovnat do bloku Dole: (jednoduché Automatic..."/>
    <w:basedOn w:val="Normln"/>
    <w:rPr>
      <w:color w:val="000000"/>
    </w:rPr>
  </w:style>
  <w:style w:type="paragraph" w:customStyle="1" w:styleId="StylZarovnatdoblokuDolejednoduchAutomatick075b">
    <w:name w:val="Styl Zarovnat do bloku Dole: (jednoduché Automatická  075 b. š..."/>
    <w:basedOn w:val="Normln"/>
  </w:style>
  <w:style w:type="paragraph" w:customStyle="1" w:styleId="StylNadpis211bnenTun">
    <w:name w:val="Styl Nadpis 2 + 11 b. není Tučné"/>
    <w:basedOn w:val="Nadpis2"/>
    <w:next w:val="Normln"/>
    <w:pPr>
      <w:tabs>
        <w:tab w:val="left" w:pos="1348"/>
      </w:tabs>
    </w:pPr>
    <w:rPr>
      <w:bCs/>
      <w:i/>
      <w:iCs/>
      <w:sz w:val="22"/>
      <w:szCs w:val="22"/>
      <w:u w:val="single"/>
    </w:rPr>
  </w:style>
  <w:style w:type="character" w:customStyle="1" w:styleId="Stylern">
    <w:name w:val="Styl Černá"/>
    <w:rPr>
      <w:color w:val="000000"/>
      <w:bdr w:val="none" w:sz="0" w:space="0" w:color="auto"/>
    </w:rPr>
  </w:style>
  <w:style w:type="paragraph" w:customStyle="1" w:styleId="Styl1">
    <w:name w:val="Styl1"/>
    <w:basedOn w:val="Normln"/>
    <w:pPr>
      <w:numPr>
        <w:numId w:val="3"/>
      </w:numPr>
    </w:pPr>
    <w:rPr>
      <w:u w:val="thick"/>
    </w:rPr>
  </w:style>
  <w:style w:type="paragraph" w:customStyle="1" w:styleId="Nadpis">
    <w:name w:val="Nadpis"/>
    <w:basedOn w:val="Normln"/>
    <w:next w:val="Normln"/>
    <w:autoRedefine/>
    <w:pPr>
      <w:numPr>
        <w:numId w:val="4"/>
      </w:numPr>
    </w:pPr>
    <w:rPr>
      <w:u w:val="thick"/>
    </w:rPr>
  </w:style>
  <w:style w:type="paragraph" w:styleId="Zkladntext">
    <w:name w:val="Body Text"/>
    <w:basedOn w:val="Normln"/>
    <w:pPr>
      <w:jc w:val="both"/>
    </w:pPr>
    <w:rPr>
      <w:lang w:val="en-US"/>
    </w:rPr>
  </w:style>
  <w:style w:type="paragraph" w:styleId="Seznamsodrkami">
    <w:name w:val="List Bullet"/>
    <w:basedOn w:val="Normln"/>
    <w:autoRedefine/>
    <w:pPr>
      <w:ind w:left="283" w:hanging="283"/>
    </w:pPr>
    <w:rPr>
      <w:lang w:val="en-US"/>
    </w:rPr>
  </w:style>
  <w:style w:type="paragraph" w:styleId="Textbubliny">
    <w:name w:val="Balloon Text"/>
    <w:basedOn w:val="Normln"/>
    <w:semiHidden/>
    <w:rsid w:val="004D2A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D54D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54D2F"/>
    <w:rPr>
      <w:sz w:val="24"/>
    </w:rPr>
  </w:style>
  <w:style w:type="paragraph" w:styleId="Zpat">
    <w:name w:val="footer"/>
    <w:basedOn w:val="Normln"/>
    <w:link w:val="ZpatChar"/>
    <w:rsid w:val="00D54D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54D2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numId w:val="2"/>
      </w:numPr>
      <w:outlineLvl w:val="1"/>
    </w:pPr>
    <w:rPr>
      <w:u w:val="thick"/>
    </w:rPr>
  </w:style>
  <w:style w:type="paragraph" w:styleId="Nadpis3">
    <w:name w:val="heading 3"/>
    <w:basedOn w:val="Normln"/>
    <w:next w:val="Normln"/>
    <w:qFormat/>
    <w:pPr>
      <w:keepNext/>
      <w:spacing w:line="240" w:lineRule="atLeast"/>
      <w:jc w:val="both"/>
      <w:outlineLvl w:val="2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unernZarovnatdoblokuDolejednoduchAutomatic1">
    <w:name w:val="Styl Tučné Černá Zarovnat do bloku Dole: (jednoduché Automatic...1"/>
    <w:basedOn w:val="Normln"/>
    <w:next w:val="Normln"/>
    <w:rPr>
      <w:b/>
      <w:bCs/>
      <w:color w:val="000000"/>
    </w:rPr>
  </w:style>
  <w:style w:type="paragraph" w:customStyle="1" w:styleId="StylTunernZarovnatdoblokuDolejednoduchAutomatic">
    <w:name w:val="Styl Tučné Černá Zarovnat do bloku Dole: (jednoduché Automatic..."/>
    <w:basedOn w:val="Normln"/>
    <w:next w:val="Normln"/>
    <w:rPr>
      <w:b/>
      <w:bCs/>
      <w:color w:val="000000"/>
    </w:rPr>
  </w:style>
  <w:style w:type="paragraph" w:customStyle="1" w:styleId="Styl12bernZarovnatdoblokuDolejednoduchAutomatic">
    <w:name w:val="Styl 12 b. Černá Zarovnat do bloku Dole: (jednoduché Automatic..."/>
    <w:basedOn w:val="Normln"/>
    <w:rPr>
      <w:color w:val="000000"/>
    </w:rPr>
  </w:style>
  <w:style w:type="paragraph" w:customStyle="1" w:styleId="StylZarovnatdoblokuDolejednoduchAutomatick075b">
    <w:name w:val="Styl Zarovnat do bloku Dole: (jednoduché Automatická  075 b. š..."/>
    <w:basedOn w:val="Normln"/>
  </w:style>
  <w:style w:type="paragraph" w:customStyle="1" w:styleId="StylNadpis211bnenTun">
    <w:name w:val="Styl Nadpis 2 + 11 b. není Tučné"/>
    <w:basedOn w:val="Nadpis2"/>
    <w:next w:val="Normln"/>
    <w:pPr>
      <w:tabs>
        <w:tab w:val="left" w:pos="1348"/>
      </w:tabs>
    </w:pPr>
    <w:rPr>
      <w:bCs/>
      <w:i/>
      <w:iCs/>
      <w:sz w:val="22"/>
      <w:szCs w:val="22"/>
      <w:u w:val="single"/>
    </w:rPr>
  </w:style>
  <w:style w:type="character" w:customStyle="1" w:styleId="Stylern">
    <w:name w:val="Styl Černá"/>
    <w:rPr>
      <w:color w:val="000000"/>
      <w:bdr w:val="none" w:sz="0" w:space="0" w:color="auto"/>
    </w:rPr>
  </w:style>
  <w:style w:type="paragraph" w:customStyle="1" w:styleId="Styl1">
    <w:name w:val="Styl1"/>
    <w:basedOn w:val="Normln"/>
    <w:pPr>
      <w:numPr>
        <w:numId w:val="3"/>
      </w:numPr>
    </w:pPr>
    <w:rPr>
      <w:u w:val="thick"/>
    </w:rPr>
  </w:style>
  <w:style w:type="paragraph" w:customStyle="1" w:styleId="Nadpis">
    <w:name w:val="Nadpis"/>
    <w:basedOn w:val="Normln"/>
    <w:next w:val="Normln"/>
    <w:autoRedefine/>
    <w:pPr>
      <w:numPr>
        <w:numId w:val="4"/>
      </w:numPr>
    </w:pPr>
    <w:rPr>
      <w:u w:val="thick"/>
    </w:rPr>
  </w:style>
  <w:style w:type="paragraph" w:styleId="Zkladntext">
    <w:name w:val="Body Text"/>
    <w:basedOn w:val="Normln"/>
    <w:pPr>
      <w:jc w:val="both"/>
    </w:pPr>
    <w:rPr>
      <w:lang w:val="en-US"/>
    </w:rPr>
  </w:style>
  <w:style w:type="paragraph" w:styleId="Seznamsodrkami">
    <w:name w:val="List Bullet"/>
    <w:basedOn w:val="Normln"/>
    <w:autoRedefine/>
    <w:pPr>
      <w:ind w:left="283" w:hanging="283"/>
    </w:pPr>
    <w:rPr>
      <w:lang w:val="en-US"/>
    </w:rPr>
  </w:style>
  <w:style w:type="paragraph" w:styleId="Textbubliny">
    <w:name w:val="Balloon Text"/>
    <w:basedOn w:val="Normln"/>
    <w:semiHidden/>
    <w:rsid w:val="004D2A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D54D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54D2F"/>
    <w:rPr>
      <w:sz w:val="24"/>
    </w:rPr>
  </w:style>
  <w:style w:type="paragraph" w:styleId="Zpat">
    <w:name w:val="footer"/>
    <w:basedOn w:val="Normln"/>
    <w:link w:val="ZpatChar"/>
    <w:rsid w:val="00D54D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54D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886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FATROXIMIN  D</vt:lpstr>
    </vt:vector>
  </TitlesOfParts>
  <Company>BIOPHARM, a.s.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FATROXIMIN  D</dc:title>
  <dc:creator>Ivana Pištěková</dc:creator>
  <cp:lastModifiedBy>Stejkora Jakub</cp:lastModifiedBy>
  <cp:revision>19</cp:revision>
  <cp:lastPrinted>2013-03-27T13:16:00Z</cp:lastPrinted>
  <dcterms:created xsi:type="dcterms:W3CDTF">2019-03-12T07:18:00Z</dcterms:created>
  <dcterms:modified xsi:type="dcterms:W3CDTF">2019-04-08T12:30:00Z</dcterms:modified>
</cp:coreProperties>
</file>