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FC30A4" w:rsidRPr="006F4F69" w:rsidRDefault="00FC30A4" w:rsidP="004B57C0">
      <w:pPr>
        <w:rPr>
          <w:sz w:val="22"/>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jc w:val="center"/>
        <w:rPr>
          <w:szCs w:val="22"/>
          <w:lang w:val="cs-CZ"/>
        </w:rPr>
      </w:pPr>
      <w:r w:rsidRPr="0001418D">
        <w:rPr>
          <w:b/>
          <w:bCs/>
          <w:szCs w:val="22"/>
          <w:lang w:val="cs-CZ"/>
        </w:rPr>
        <w:t>B. PŘÍBALOVÁ INFORMACE</w:t>
      </w:r>
    </w:p>
    <w:p w:rsidR="00770839" w:rsidRPr="0001418D" w:rsidRDefault="00770839" w:rsidP="00770839">
      <w:pPr>
        <w:jc w:val="center"/>
        <w:rPr>
          <w:szCs w:val="22"/>
          <w:lang w:val="cs-CZ"/>
        </w:rPr>
      </w:pPr>
      <w:r w:rsidRPr="0001418D">
        <w:rPr>
          <w:szCs w:val="22"/>
          <w:lang w:val="cs-CZ"/>
        </w:rPr>
        <w:br w:type="page"/>
      </w:r>
      <w:r w:rsidRPr="0001418D">
        <w:rPr>
          <w:b/>
          <w:bCs/>
          <w:szCs w:val="22"/>
          <w:lang w:val="cs-CZ"/>
        </w:rPr>
        <w:lastRenderedPageBreak/>
        <w:t>PŘÍBALOVÁ INFORMACE:</w:t>
      </w:r>
    </w:p>
    <w:p w:rsidR="00770839" w:rsidRPr="0001418D" w:rsidRDefault="00770839" w:rsidP="00770839">
      <w:pPr>
        <w:jc w:val="center"/>
        <w:rPr>
          <w:b/>
          <w:bCs/>
          <w:szCs w:val="22"/>
          <w:lang w:val="cs-CZ"/>
        </w:rPr>
      </w:pPr>
      <w:r w:rsidRPr="0001418D">
        <w:rPr>
          <w:b/>
          <w:bCs/>
          <w:szCs w:val="22"/>
          <w:lang w:val="cs-CZ"/>
        </w:rPr>
        <w:t>Propodine 10 mg/ml injekční/infuzní emulze pro psy a kočky</w:t>
      </w:r>
    </w:p>
    <w:p w:rsidR="00770839" w:rsidRPr="0001418D" w:rsidRDefault="00770839" w:rsidP="00770839">
      <w:pPr>
        <w:rPr>
          <w:szCs w:val="22"/>
          <w:lang w:val="cs-CZ"/>
        </w:rPr>
      </w:pPr>
    </w:p>
    <w:p w:rsidR="00770839" w:rsidRPr="0001418D" w:rsidRDefault="00770839" w:rsidP="00770839">
      <w:pPr>
        <w:ind w:left="567" w:hanging="567"/>
        <w:rPr>
          <w:b/>
          <w:szCs w:val="22"/>
          <w:lang w:val="cs-CZ"/>
        </w:rPr>
      </w:pPr>
    </w:p>
    <w:p w:rsidR="00770839" w:rsidRPr="0001418D" w:rsidRDefault="00770839" w:rsidP="00770839">
      <w:pPr>
        <w:ind w:left="567" w:hanging="567"/>
        <w:rPr>
          <w:b/>
          <w:szCs w:val="22"/>
          <w:lang w:val="cs-CZ"/>
        </w:rPr>
      </w:pPr>
      <w:r w:rsidRPr="00027658">
        <w:rPr>
          <w:b/>
          <w:bCs/>
          <w:szCs w:val="22"/>
          <w:highlight w:val="lightGray"/>
          <w:lang w:val="cs-CZ"/>
        </w:rPr>
        <w:t>1.</w:t>
      </w:r>
      <w:r w:rsidRPr="002B6CC7">
        <w:rPr>
          <w:b/>
          <w:bCs/>
          <w:szCs w:val="22"/>
          <w:lang w:val="cs-CZ"/>
        </w:rPr>
        <w:tab/>
        <w:t>JMÉNO A ADRESA DRŽITELE ROZHODNUTÍ O REGISTRACI A DRŽITELE POVOLENÍ K VÝROBĚ ODPOVĚDNÉHO ZA UVOLNĚNÍ ŠARŽE, POKUD SE NESHODUJE</w:t>
      </w:r>
    </w:p>
    <w:p w:rsidR="00770839" w:rsidRPr="0001418D" w:rsidRDefault="00770839" w:rsidP="00770839">
      <w:pPr>
        <w:rPr>
          <w:szCs w:val="22"/>
          <w:lang w:val="cs-CZ"/>
        </w:rPr>
      </w:pPr>
    </w:p>
    <w:p w:rsidR="00770839" w:rsidRPr="002B6CC7" w:rsidRDefault="00770839" w:rsidP="00770839">
      <w:pPr>
        <w:keepNext/>
        <w:rPr>
          <w:iCs/>
          <w:szCs w:val="22"/>
          <w:u w:val="single"/>
          <w:lang w:val="cs-CZ"/>
        </w:rPr>
      </w:pPr>
      <w:r w:rsidRPr="002B6CC7">
        <w:rPr>
          <w:bCs/>
          <w:caps/>
          <w:szCs w:val="22"/>
          <w:u w:val="single"/>
          <w:lang w:val="cs-CZ"/>
        </w:rPr>
        <w:t>D</w:t>
      </w:r>
      <w:r w:rsidR="00300A05" w:rsidRPr="002B6CC7">
        <w:rPr>
          <w:bCs/>
          <w:szCs w:val="22"/>
          <w:u w:val="single"/>
          <w:lang w:val="cs-CZ"/>
        </w:rPr>
        <w:t>ržitel rozhodnutí o registraci</w:t>
      </w:r>
    </w:p>
    <w:p w:rsidR="00770839" w:rsidRPr="0001418D" w:rsidRDefault="00770839" w:rsidP="00770839">
      <w:pPr>
        <w:tabs>
          <w:tab w:val="left" w:pos="708"/>
        </w:tabs>
        <w:rPr>
          <w:iCs/>
          <w:lang w:val="cs-CZ"/>
        </w:rPr>
      </w:pPr>
      <w:r w:rsidRPr="0001418D">
        <w:rPr>
          <w:lang w:val="cs-CZ"/>
        </w:rPr>
        <w:t>Dechra Regulatory B.V.</w:t>
      </w:r>
    </w:p>
    <w:p w:rsidR="00770839" w:rsidRPr="0001418D" w:rsidRDefault="00770839" w:rsidP="00770839">
      <w:pPr>
        <w:tabs>
          <w:tab w:val="left" w:pos="708"/>
        </w:tabs>
        <w:rPr>
          <w:iCs/>
          <w:lang w:val="cs-CZ"/>
        </w:rPr>
      </w:pPr>
      <w:r w:rsidRPr="0001418D">
        <w:rPr>
          <w:lang w:val="cs-CZ"/>
        </w:rPr>
        <w:t>Handelsweg 25</w:t>
      </w:r>
    </w:p>
    <w:p w:rsidR="00770839" w:rsidRPr="0001418D" w:rsidRDefault="00770839" w:rsidP="00770839">
      <w:pPr>
        <w:tabs>
          <w:tab w:val="left" w:pos="708"/>
        </w:tabs>
        <w:rPr>
          <w:iCs/>
          <w:lang w:val="cs-CZ"/>
        </w:rPr>
      </w:pPr>
      <w:r w:rsidRPr="0001418D">
        <w:rPr>
          <w:lang w:val="cs-CZ"/>
        </w:rPr>
        <w:t>553</w:t>
      </w:r>
      <w:r w:rsidR="006F4F69" w:rsidRPr="0001418D">
        <w:rPr>
          <w:lang w:val="cs-CZ"/>
        </w:rPr>
        <w:t>1 </w:t>
      </w:r>
      <w:r w:rsidRPr="0001418D">
        <w:rPr>
          <w:lang w:val="cs-CZ"/>
        </w:rPr>
        <w:t>AE Bladel</w:t>
      </w:r>
    </w:p>
    <w:p w:rsidR="00770839" w:rsidRPr="0001418D" w:rsidRDefault="00770839" w:rsidP="00770839">
      <w:pPr>
        <w:tabs>
          <w:tab w:val="left" w:pos="708"/>
        </w:tabs>
        <w:rPr>
          <w:iCs/>
          <w:lang w:val="cs-CZ"/>
        </w:rPr>
      </w:pPr>
      <w:r w:rsidRPr="0001418D">
        <w:rPr>
          <w:lang w:val="cs-CZ"/>
        </w:rPr>
        <w:t>Nizozemsko</w:t>
      </w:r>
    </w:p>
    <w:p w:rsidR="00770839" w:rsidRPr="0001418D" w:rsidRDefault="00770839" w:rsidP="00770839">
      <w:pPr>
        <w:rPr>
          <w:szCs w:val="22"/>
          <w:lang w:val="cs-CZ"/>
        </w:rPr>
      </w:pPr>
    </w:p>
    <w:p w:rsidR="00770839" w:rsidRPr="00300A05" w:rsidRDefault="00770839" w:rsidP="00770839">
      <w:pPr>
        <w:keepNext/>
        <w:rPr>
          <w:bCs/>
          <w:szCs w:val="22"/>
          <w:u w:val="single"/>
          <w:lang w:val="cs-CZ"/>
        </w:rPr>
      </w:pPr>
      <w:r w:rsidRPr="002B6CC7">
        <w:rPr>
          <w:bCs/>
          <w:caps/>
          <w:szCs w:val="22"/>
          <w:u w:val="single"/>
          <w:lang w:val="cs-CZ"/>
        </w:rPr>
        <w:t>V</w:t>
      </w:r>
      <w:r w:rsidR="00300A05" w:rsidRPr="002B6CC7">
        <w:rPr>
          <w:bCs/>
          <w:szCs w:val="22"/>
          <w:u w:val="single"/>
          <w:lang w:val="cs-CZ"/>
        </w:rPr>
        <w:t>ýrobce odpovědný za uvolnění šarže</w:t>
      </w:r>
    </w:p>
    <w:p w:rsidR="00770839" w:rsidRPr="0001418D" w:rsidRDefault="00770839" w:rsidP="00770839">
      <w:pPr>
        <w:rPr>
          <w:szCs w:val="22"/>
          <w:lang w:val="cs-CZ"/>
        </w:rPr>
      </w:pPr>
      <w:r w:rsidRPr="0001418D">
        <w:rPr>
          <w:szCs w:val="22"/>
          <w:lang w:val="cs-CZ"/>
        </w:rPr>
        <w:t>Corden Pharma S.p.A</w:t>
      </w:r>
    </w:p>
    <w:p w:rsidR="00770839" w:rsidRPr="0001418D" w:rsidRDefault="00770839" w:rsidP="00770839">
      <w:pPr>
        <w:rPr>
          <w:szCs w:val="22"/>
          <w:lang w:val="cs-CZ"/>
        </w:rPr>
      </w:pPr>
      <w:r w:rsidRPr="0001418D">
        <w:rPr>
          <w:szCs w:val="22"/>
          <w:lang w:val="cs-CZ"/>
        </w:rPr>
        <w:t>Viale dell’Industria 3</w:t>
      </w:r>
    </w:p>
    <w:p w:rsidR="00770839" w:rsidRPr="0001418D" w:rsidRDefault="00770839" w:rsidP="00770839">
      <w:pPr>
        <w:rPr>
          <w:szCs w:val="22"/>
          <w:lang w:val="cs-CZ"/>
        </w:rPr>
      </w:pPr>
      <w:r w:rsidRPr="0001418D">
        <w:rPr>
          <w:szCs w:val="22"/>
          <w:lang w:val="cs-CZ"/>
        </w:rPr>
        <w:t>2086</w:t>
      </w:r>
      <w:r w:rsidR="006F4F69" w:rsidRPr="0001418D">
        <w:rPr>
          <w:szCs w:val="22"/>
          <w:lang w:val="cs-CZ"/>
        </w:rPr>
        <w:t>7 </w:t>
      </w:r>
      <w:r w:rsidRPr="0001418D">
        <w:rPr>
          <w:szCs w:val="22"/>
          <w:lang w:val="cs-CZ"/>
        </w:rPr>
        <w:t>Caponago</w:t>
      </w:r>
    </w:p>
    <w:p w:rsidR="00770839" w:rsidRPr="0001418D" w:rsidRDefault="00770839" w:rsidP="00770839">
      <w:pPr>
        <w:rPr>
          <w:szCs w:val="22"/>
          <w:lang w:val="cs-CZ"/>
        </w:rPr>
      </w:pPr>
      <w:r w:rsidRPr="0001418D">
        <w:rPr>
          <w:szCs w:val="22"/>
          <w:lang w:val="cs-CZ"/>
        </w:rPr>
        <w:t>Itálie</w:t>
      </w: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r w:rsidRPr="00027658">
        <w:rPr>
          <w:b/>
          <w:bCs/>
          <w:szCs w:val="22"/>
          <w:highlight w:val="lightGray"/>
          <w:lang w:val="cs-CZ"/>
        </w:rPr>
        <w:t>2.</w:t>
      </w:r>
      <w:r w:rsidRPr="0001418D">
        <w:rPr>
          <w:b/>
          <w:bCs/>
          <w:szCs w:val="22"/>
          <w:lang w:val="cs-CZ"/>
        </w:rPr>
        <w:tab/>
        <w:t>NÁZEV VETERINÁRNÍHO LÉČIVÉHO PŘÍPRAVKU</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lang w:val="cs-CZ"/>
        </w:rPr>
        <w:t xml:space="preserve">Propodine 10 mg/ml injekční/infuzní emulze pro psy a kočky </w:t>
      </w:r>
    </w:p>
    <w:p w:rsidR="00770839" w:rsidRPr="0001418D" w:rsidRDefault="00770839" w:rsidP="00770839">
      <w:pPr>
        <w:rPr>
          <w:szCs w:val="22"/>
          <w:lang w:val="cs-CZ"/>
        </w:rPr>
      </w:pPr>
      <w:r w:rsidRPr="0001418D">
        <w:rPr>
          <w:szCs w:val="22"/>
          <w:lang w:val="cs-CZ"/>
        </w:rPr>
        <w:t>Propofolum</w:t>
      </w: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0B1883">
      <w:pPr>
        <w:ind w:left="720" w:hanging="720"/>
        <w:rPr>
          <w:b/>
          <w:szCs w:val="22"/>
          <w:lang w:val="cs-CZ"/>
        </w:rPr>
      </w:pPr>
      <w:r w:rsidRPr="00027658">
        <w:rPr>
          <w:b/>
          <w:bCs/>
          <w:szCs w:val="22"/>
          <w:highlight w:val="lightGray"/>
          <w:lang w:val="cs-CZ"/>
        </w:rPr>
        <w:t>3.</w:t>
      </w:r>
      <w:r w:rsidRPr="0001418D">
        <w:rPr>
          <w:b/>
          <w:bCs/>
          <w:szCs w:val="22"/>
          <w:lang w:val="cs-CZ"/>
        </w:rPr>
        <w:tab/>
        <w:t>OBSAH LÉČIVÝCH A OSTATNÍCH LÁTEK</w:t>
      </w:r>
    </w:p>
    <w:p w:rsidR="00770839" w:rsidRPr="0001418D" w:rsidRDefault="00770839" w:rsidP="00770839">
      <w:pPr>
        <w:rPr>
          <w:iCs/>
          <w:szCs w:val="22"/>
          <w:lang w:val="cs-CZ"/>
        </w:rPr>
      </w:pPr>
    </w:p>
    <w:p w:rsidR="00770839" w:rsidRPr="0001418D" w:rsidRDefault="006F4F69" w:rsidP="00770839">
      <w:pPr>
        <w:rPr>
          <w:iCs/>
          <w:szCs w:val="22"/>
          <w:lang w:val="cs-CZ"/>
        </w:rPr>
      </w:pPr>
      <w:r w:rsidRPr="0001418D">
        <w:rPr>
          <w:szCs w:val="22"/>
          <w:lang w:val="cs-CZ"/>
        </w:rPr>
        <w:t>1 </w:t>
      </w:r>
      <w:r w:rsidR="00770839" w:rsidRPr="0001418D">
        <w:rPr>
          <w:szCs w:val="22"/>
          <w:lang w:val="cs-CZ"/>
        </w:rPr>
        <w:t>ml obsahuje</w:t>
      </w:r>
    </w:p>
    <w:p w:rsidR="00770839" w:rsidRPr="0001418D" w:rsidRDefault="00770839" w:rsidP="00770839">
      <w:pPr>
        <w:rPr>
          <w:b/>
          <w:iCs/>
          <w:szCs w:val="22"/>
          <w:lang w:val="cs-CZ"/>
        </w:rPr>
      </w:pPr>
      <w:r w:rsidRPr="0001418D">
        <w:rPr>
          <w:b/>
          <w:bCs/>
          <w:szCs w:val="22"/>
          <w:lang w:val="cs-CZ"/>
        </w:rPr>
        <w:t>Léčivá látka:</w:t>
      </w:r>
    </w:p>
    <w:p w:rsidR="00770839" w:rsidRPr="0001418D" w:rsidRDefault="00770839" w:rsidP="00770839">
      <w:pPr>
        <w:rPr>
          <w:iCs/>
          <w:szCs w:val="22"/>
          <w:lang w:val="cs-CZ"/>
        </w:rPr>
      </w:pPr>
      <w:r w:rsidRPr="0001418D">
        <w:rPr>
          <w:szCs w:val="22"/>
          <w:lang w:val="cs-CZ"/>
        </w:rPr>
        <w:t>Propofolum</w:t>
      </w:r>
      <w:r w:rsidRPr="0001418D">
        <w:rPr>
          <w:szCs w:val="22"/>
          <w:lang w:val="cs-CZ"/>
        </w:rPr>
        <w:tab/>
      </w:r>
      <w:r w:rsidRPr="0001418D">
        <w:rPr>
          <w:szCs w:val="22"/>
          <w:lang w:val="cs-CZ"/>
        </w:rPr>
        <w:tab/>
        <w:t>10,0 mg</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lang w:val="cs-CZ"/>
        </w:rPr>
        <w:t>Bílá nebo téměř bílá homogenní emulze.</w:t>
      </w:r>
    </w:p>
    <w:p w:rsidR="00770839" w:rsidRPr="0001418D" w:rsidRDefault="00770839" w:rsidP="00770839">
      <w:pPr>
        <w:rPr>
          <w:szCs w:val="22"/>
          <w:lang w:val="cs-CZ"/>
        </w:rPr>
      </w:pPr>
    </w:p>
    <w:p w:rsidR="00770839" w:rsidRPr="0001418D" w:rsidRDefault="00770839" w:rsidP="00770839">
      <w:pPr>
        <w:rPr>
          <w:szCs w:val="22"/>
          <w:lang w:val="cs-CZ"/>
        </w:rPr>
      </w:pPr>
    </w:p>
    <w:p w:rsidR="00770839" w:rsidRDefault="00770839" w:rsidP="00770839">
      <w:pPr>
        <w:rPr>
          <w:b/>
          <w:bCs/>
          <w:szCs w:val="22"/>
          <w:lang w:val="cs-CZ"/>
        </w:rPr>
      </w:pPr>
      <w:r w:rsidRPr="00027658">
        <w:rPr>
          <w:b/>
          <w:bCs/>
          <w:szCs w:val="22"/>
          <w:highlight w:val="lightGray"/>
          <w:lang w:val="cs-CZ"/>
        </w:rPr>
        <w:t>4.</w:t>
      </w:r>
      <w:r w:rsidRPr="0001418D">
        <w:rPr>
          <w:b/>
          <w:bCs/>
          <w:szCs w:val="22"/>
          <w:lang w:val="cs-CZ"/>
        </w:rPr>
        <w:tab/>
        <w:t>INDIKACE</w:t>
      </w:r>
    </w:p>
    <w:p w:rsidR="006D6573" w:rsidRPr="0001418D" w:rsidRDefault="006D6573" w:rsidP="00770839">
      <w:pPr>
        <w:rPr>
          <w:b/>
          <w:szCs w:val="22"/>
          <w:lang w:val="cs-CZ"/>
        </w:rPr>
      </w:pPr>
    </w:p>
    <w:p w:rsidR="00770839" w:rsidRPr="0001418D" w:rsidRDefault="00770839" w:rsidP="00770839">
      <w:pPr>
        <w:pStyle w:val="Odstavecseseznamem"/>
        <w:numPr>
          <w:ilvl w:val="0"/>
          <w:numId w:val="9"/>
        </w:numPr>
        <w:ind w:left="426" w:hanging="426"/>
        <w:rPr>
          <w:szCs w:val="22"/>
          <w:lang w:val="cs-CZ"/>
        </w:rPr>
      </w:pPr>
      <w:r w:rsidRPr="0001418D">
        <w:rPr>
          <w:szCs w:val="22"/>
          <w:lang w:val="cs-CZ"/>
        </w:rPr>
        <w:t>Krátkodobě působící celkové anestetikum pro diagnostické nebo chirurgické zákroky, pro zákroky nepřesahující pět minut.</w:t>
      </w:r>
    </w:p>
    <w:p w:rsidR="006D6573" w:rsidRPr="0001418D" w:rsidRDefault="00C41E85" w:rsidP="006D6573">
      <w:pPr>
        <w:numPr>
          <w:ilvl w:val="0"/>
          <w:numId w:val="8"/>
        </w:numPr>
        <w:ind w:left="426" w:hanging="426"/>
        <w:rPr>
          <w:sz w:val="22"/>
          <w:szCs w:val="22"/>
          <w:lang w:val="cs-CZ"/>
        </w:rPr>
      </w:pPr>
      <w:r>
        <w:rPr>
          <w:sz w:val="22"/>
          <w:szCs w:val="22"/>
          <w:lang w:val="cs-CZ"/>
        </w:rPr>
        <w:t>Ú</w:t>
      </w:r>
      <w:r w:rsidR="006D6573">
        <w:rPr>
          <w:sz w:val="22"/>
          <w:szCs w:val="22"/>
          <w:lang w:val="cs-CZ"/>
        </w:rPr>
        <w:t>vod do anestézie</w:t>
      </w:r>
      <w:r w:rsidR="006D6573" w:rsidRPr="0001418D">
        <w:rPr>
          <w:sz w:val="22"/>
          <w:szCs w:val="22"/>
          <w:lang w:val="cs-CZ"/>
        </w:rPr>
        <w:t xml:space="preserve"> a udržování celkové anestezie.</w:t>
      </w:r>
    </w:p>
    <w:p w:rsidR="006D6573" w:rsidRPr="0001418D" w:rsidRDefault="00C41E85" w:rsidP="006D6573">
      <w:pPr>
        <w:numPr>
          <w:ilvl w:val="0"/>
          <w:numId w:val="8"/>
        </w:numPr>
        <w:ind w:left="426" w:hanging="426"/>
        <w:rPr>
          <w:sz w:val="22"/>
          <w:szCs w:val="22"/>
          <w:lang w:val="cs-CZ"/>
        </w:rPr>
      </w:pPr>
      <w:r>
        <w:rPr>
          <w:sz w:val="22"/>
          <w:szCs w:val="22"/>
          <w:lang w:val="cs-CZ"/>
        </w:rPr>
        <w:t>Ú</w:t>
      </w:r>
      <w:r w:rsidR="006D6573">
        <w:rPr>
          <w:sz w:val="22"/>
          <w:szCs w:val="22"/>
          <w:lang w:val="cs-CZ"/>
        </w:rPr>
        <w:t>vod</w:t>
      </w:r>
      <w:r w:rsidR="006D6573" w:rsidRPr="0001418D">
        <w:rPr>
          <w:sz w:val="22"/>
          <w:szCs w:val="22"/>
          <w:lang w:val="cs-CZ"/>
        </w:rPr>
        <w:t xml:space="preserve"> celkové anestezie, která je udržována použitím inhalačních anestetik.</w:t>
      </w: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b/>
          <w:szCs w:val="22"/>
          <w:lang w:val="cs-CZ"/>
        </w:rPr>
      </w:pPr>
      <w:r w:rsidRPr="00027658">
        <w:rPr>
          <w:b/>
          <w:bCs/>
          <w:szCs w:val="22"/>
          <w:highlight w:val="lightGray"/>
          <w:lang w:val="cs-CZ"/>
        </w:rPr>
        <w:t>5.</w:t>
      </w:r>
      <w:r w:rsidRPr="0001418D">
        <w:rPr>
          <w:b/>
          <w:bCs/>
          <w:szCs w:val="22"/>
          <w:lang w:val="cs-CZ"/>
        </w:rPr>
        <w:tab/>
        <w:t>KONTRAINDIKACE</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lang w:val="cs-CZ"/>
        </w:rPr>
        <w:t>Nepoužívat v případech přecitlivělosti na léčivou látku, nebo na některou z pomocných látek.</w:t>
      </w:r>
    </w:p>
    <w:p w:rsidR="00770839" w:rsidRPr="0001418D" w:rsidRDefault="00770839" w:rsidP="00770839">
      <w:pPr>
        <w:rPr>
          <w:szCs w:val="22"/>
          <w:lang w:val="cs-CZ"/>
        </w:rPr>
      </w:pPr>
    </w:p>
    <w:p w:rsidR="00770839" w:rsidRPr="0001418D" w:rsidRDefault="00770839" w:rsidP="00770839">
      <w:pPr>
        <w:rPr>
          <w:b/>
          <w:szCs w:val="22"/>
          <w:lang w:val="cs-CZ"/>
        </w:rPr>
      </w:pPr>
    </w:p>
    <w:p w:rsidR="00770839" w:rsidRPr="0001418D" w:rsidRDefault="00770839" w:rsidP="00770839">
      <w:pPr>
        <w:rPr>
          <w:szCs w:val="22"/>
          <w:lang w:val="cs-CZ"/>
        </w:rPr>
      </w:pPr>
      <w:r w:rsidRPr="00027658">
        <w:rPr>
          <w:b/>
          <w:bCs/>
          <w:szCs w:val="22"/>
          <w:highlight w:val="lightGray"/>
          <w:lang w:val="cs-CZ"/>
        </w:rPr>
        <w:t>6.</w:t>
      </w:r>
      <w:r w:rsidRPr="0001418D">
        <w:rPr>
          <w:b/>
          <w:bCs/>
          <w:szCs w:val="22"/>
          <w:lang w:val="cs-CZ"/>
        </w:rPr>
        <w:tab/>
        <w:t>NEŽÁDOUCÍ ÚČINKY</w:t>
      </w:r>
    </w:p>
    <w:p w:rsidR="00770839" w:rsidRPr="0001418D" w:rsidRDefault="00770839" w:rsidP="00770839">
      <w:pPr>
        <w:rPr>
          <w:szCs w:val="22"/>
          <w:lang w:val="cs-CZ"/>
        </w:rPr>
      </w:pPr>
    </w:p>
    <w:p w:rsidR="006D6573" w:rsidRPr="006D6573" w:rsidRDefault="006D6573" w:rsidP="006D6573">
      <w:pPr>
        <w:rPr>
          <w:rFonts w:eastAsia="Calibri"/>
          <w:szCs w:val="22"/>
          <w:lang w:val="cs-CZ"/>
        </w:rPr>
      </w:pPr>
      <w:bookmarkStart w:id="0" w:name="_Hlk524959166"/>
      <w:r w:rsidRPr="006D6573">
        <w:rPr>
          <w:rFonts w:eastAsia="Calibri"/>
          <w:szCs w:val="22"/>
          <w:lang w:val="cs-CZ"/>
        </w:rPr>
        <w:t>Úvod do anestezie je zpravidla bezproblémový, obvykle se však u psů a koček objevují příznaky excitace (pohyby končetin, nystagmus, fokální svalové záškuby/myoklonus, opistotonus).</w:t>
      </w:r>
      <w:bookmarkEnd w:id="0"/>
      <w:r w:rsidRPr="006D6573">
        <w:rPr>
          <w:rFonts w:eastAsia="Calibri"/>
          <w:szCs w:val="22"/>
          <w:lang w:val="cs-CZ"/>
        </w:rPr>
        <w:t xml:space="preserve"> Během úvodu do anestezie se velmi často může objevit mírná hypotenze a přechodná apnoe. Může být pozorován nárůst arteriálního krevního tlaku následovaný </w:t>
      </w:r>
      <w:r w:rsidRPr="00F97C6C">
        <w:rPr>
          <w:rFonts w:eastAsia="Calibri"/>
          <w:szCs w:val="22"/>
          <w:lang w:val="cs-CZ"/>
        </w:rPr>
        <w:t>poklesem. Viz bod </w:t>
      </w:r>
      <w:r w:rsidR="00AA451F">
        <w:rPr>
          <w:rFonts w:eastAsia="Calibri"/>
          <w:szCs w:val="22"/>
          <w:lang w:val="cs-CZ"/>
        </w:rPr>
        <w:t>12 (Zvláštní opatření pro použití u zvířat)</w:t>
      </w:r>
      <w:r w:rsidRPr="00F97C6C">
        <w:rPr>
          <w:rFonts w:eastAsia="Calibri"/>
          <w:szCs w:val="22"/>
          <w:lang w:val="cs-CZ"/>
        </w:rPr>
        <w:t xml:space="preserve">. </w:t>
      </w:r>
      <w:r w:rsidR="00C41E85" w:rsidRPr="00AA451F">
        <w:rPr>
          <w:rFonts w:eastAsia="Calibri"/>
          <w:szCs w:val="22"/>
          <w:lang w:val="cs-CZ"/>
        </w:rPr>
        <w:t>I když se n</w:t>
      </w:r>
      <w:r w:rsidRPr="00AA451F">
        <w:rPr>
          <w:rFonts w:eastAsia="Calibri"/>
          <w:szCs w:val="22"/>
          <w:lang w:val="cs-CZ"/>
        </w:rPr>
        <w:t>eobjeví apnoe, může být pozorováno snížení procenta hemoglobinu nasyceného kyslíkem (SpO</w:t>
      </w:r>
      <w:r w:rsidRPr="00AA451F">
        <w:rPr>
          <w:rFonts w:eastAsia="Calibri"/>
          <w:szCs w:val="22"/>
          <w:vertAlign w:val="subscript"/>
          <w:lang w:val="cs-CZ"/>
        </w:rPr>
        <w:t>2</w:t>
      </w:r>
      <w:r w:rsidRPr="00AA451F">
        <w:rPr>
          <w:rFonts w:eastAsia="Calibri"/>
          <w:szCs w:val="22"/>
          <w:lang w:val="cs-CZ"/>
        </w:rPr>
        <w:t>).</w:t>
      </w:r>
    </w:p>
    <w:p w:rsidR="006D6573" w:rsidRPr="006D6573" w:rsidRDefault="006D6573" w:rsidP="006D6573">
      <w:pPr>
        <w:rPr>
          <w:rFonts w:eastAsia="Calibri"/>
          <w:szCs w:val="22"/>
          <w:lang w:val="cs-CZ"/>
        </w:rPr>
      </w:pPr>
    </w:p>
    <w:p w:rsidR="006D6573" w:rsidRPr="006D6573" w:rsidRDefault="006D6573" w:rsidP="006D6573">
      <w:pPr>
        <w:rPr>
          <w:rFonts w:eastAsia="Calibri"/>
          <w:szCs w:val="22"/>
          <w:lang w:val="cs-CZ"/>
        </w:rPr>
      </w:pPr>
      <w:r w:rsidRPr="006D6573">
        <w:rPr>
          <w:rFonts w:eastAsia="Calibri"/>
          <w:szCs w:val="22"/>
          <w:lang w:val="cs-CZ"/>
        </w:rPr>
        <w:t>Méně často bylo hlášeno během fáze zotavení u psů nadměrné slinění a zvracení. Během fáze zotavení byly hlášeny u psů vzácné případy excitace.</w:t>
      </w:r>
    </w:p>
    <w:p w:rsidR="006D6573" w:rsidRPr="006D6573" w:rsidRDefault="006D6573" w:rsidP="006D6573">
      <w:pPr>
        <w:rPr>
          <w:rFonts w:eastAsia="Calibri"/>
          <w:szCs w:val="22"/>
          <w:lang w:val="cs-CZ"/>
        </w:rPr>
      </w:pPr>
      <w:r w:rsidRPr="006D6573">
        <w:rPr>
          <w:rFonts w:eastAsia="Calibri"/>
          <w:szCs w:val="22"/>
          <w:lang w:val="cs-CZ"/>
        </w:rPr>
        <w:t>U psů byla velmi vzácně pozorována rigidita končetin a přetrvávající škytavka.</w:t>
      </w:r>
    </w:p>
    <w:p w:rsidR="006D6573" w:rsidRPr="006D6573" w:rsidRDefault="006D6573" w:rsidP="006D6573">
      <w:pPr>
        <w:rPr>
          <w:rFonts w:eastAsia="Calibri"/>
          <w:szCs w:val="22"/>
          <w:lang w:val="cs-CZ"/>
        </w:rPr>
      </w:pPr>
      <w:r w:rsidRPr="006D6573">
        <w:rPr>
          <w:rFonts w:eastAsia="Calibri"/>
          <w:szCs w:val="22"/>
          <w:lang w:val="cs-CZ"/>
        </w:rPr>
        <w:t>Po prodloužené infuzi propofolu se objevilo jedno hlášení o výskytu zeleného zabarvení moči u jednoho psa.</w:t>
      </w:r>
    </w:p>
    <w:p w:rsidR="006D6573" w:rsidRPr="006D6573" w:rsidRDefault="006D6573" w:rsidP="006D6573">
      <w:pPr>
        <w:rPr>
          <w:rFonts w:eastAsia="Calibri"/>
          <w:szCs w:val="22"/>
          <w:lang w:val="cs-CZ"/>
        </w:rPr>
      </w:pPr>
    </w:p>
    <w:p w:rsidR="006D6573" w:rsidRPr="006D6573" w:rsidRDefault="006D6573" w:rsidP="006D6573">
      <w:pPr>
        <w:rPr>
          <w:rFonts w:eastAsia="Calibri"/>
          <w:szCs w:val="22"/>
          <w:lang w:val="cs-CZ"/>
        </w:rPr>
      </w:pPr>
      <w:r w:rsidRPr="006D6573">
        <w:rPr>
          <w:rFonts w:eastAsia="Calibri"/>
          <w:szCs w:val="22"/>
          <w:lang w:val="cs-CZ"/>
        </w:rPr>
        <w:t>U koček bylo během fáze zotavení pozorováno kýchání, příležitostně dávení a charakteristické olizování tlapek/obličeje, u malého počtu případů (neobvyklé).</w:t>
      </w:r>
    </w:p>
    <w:p w:rsidR="006D6573" w:rsidRPr="006D6573" w:rsidRDefault="006D6573" w:rsidP="006D6573">
      <w:pPr>
        <w:rPr>
          <w:rFonts w:eastAsia="Calibri"/>
          <w:szCs w:val="22"/>
          <w:lang w:val="cs-CZ"/>
        </w:rPr>
      </w:pPr>
      <w:r w:rsidRPr="006D6573">
        <w:rPr>
          <w:rFonts w:eastAsia="Calibri"/>
          <w:szCs w:val="22"/>
          <w:lang w:val="cs-CZ"/>
        </w:rPr>
        <w:t>Opakovaná dlouhá (&gt;20 minut) anestezie za použití propofolu u koček může způsobit oxidační poškození a tvorbu Heinzových tělísek a nespecifické příznaky jako jsou anorexie, průjem a mírný faciální otok. Může také dojít k prodloužení doby zotavení. Prodloužení intervalů na více než 48 hodin při opakované anestezii sníží pravděpodobnost výskytu nežádoucích účinků.</w:t>
      </w:r>
    </w:p>
    <w:p w:rsidR="00770839" w:rsidRPr="0001418D" w:rsidRDefault="00770839" w:rsidP="00770839">
      <w:pPr>
        <w:rPr>
          <w:rFonts w:eastAsia="Calibri"/>
          <w:szCs w:val="22"/>
          <w:lang w:val="cs-CZ"/>
        </w:rPr>
      </w:pPr>
    </w:p>
    <w:p w:rsidR="00770839" w:rsidRPr="0001418D" w:rsidRDefault="00770839" w:rsidP="00770839">
      <w:pPr>
        <w:ind w:left="720" w:hanging="720"/>
        <w:rPr>
          <w:spacing w:val="-3"/>
          <w:szCs w:val="22"/>
          <w:lang w:val="cs-CZ"/>
        </w:rPr>
      </w:pPr>
      <w:r w:rsidRPr="0001418D">
        <w:rPr>
          <w:szCs w:val="22"/>
          <w:lang w:val="cs-CZ"/>
        </w:rPr>
        <w:t>Četnost nežádoucích účinků je charakterizována podle následujících pravidel:</w:t>
      </w:r>
    </w:p>
    <w:p w:rsidR="00770839" w:rsidRPr="0001418D" w:rsidRDefault="00770839" w:rsidP="00770839">
      <w:pPr>
        <w:ind w:left="720" w:hanging="720"/>
        <w:rPr>
          <w:spacing w:val="-3"/>
          <w:szCs w:val="22"/>
          <w:lang w:val="cs-CZ"/>
        </w:rPr>
      </w:pPr>
      <w:r w:rsidRPr="0001418D">
        <w:rPr>
          <w:szCs w:val="22"/>
          <w:lang w:val="cs-CZ"/>
        </w:rPr>
        <w:t xml:space="preserve">- velmi časté (nežádoucí účinek(nky) se projevil(y) u více než </w:t>
      </w:r>
      <w:r w:rsidR="006F4F69" w:rsidRPr="0001418D">
        <w:rPr>
          <w:szCs w:val="22"/>
          <w:lang w:val="cs-CZ"/>
        </w:rPr>
        <w:t>1 </w:t>
      </w:r>
      <w:r w:rsidRPr="0001418D">
        <w:rPr>
          <w:szCs w:val="22"/>
          <w:lang w:val="cs-CZ"/>
        </w:rPr>
        <w:t>z 1</w:t>
      </w:r>
      <w:r w:rsidR="006F4F69" w:rsidRPr="0001418D">
        <w:rPr>
          <w:szCs w:val="22"/>
          <w:lang w:val="cs-CZ"/>
        </w:rPr>
        <w:t>0 </w:t>
      </w:r>
      <w:r w:rsidRPr="0001418D">
        <w:rPr>
          <w:szCs w:val="22"/>
          <w:lang w:val="cs-CZ"/>
        </w:rPr>
        <w:t>ošetřených zvířat)</w:t>
      </w:r>
    </w:p>
    <w:p w:rsidR="00770839" w:rsidRPr="0001418D" w:rsidRDefault="00770839" w:rsidP="00770839">
      <w:pPr>
        <w:ind w:left="720" w:hanging="720"/>
        <w:rPr>
          <w:spacing w:val="-3"/>
          <w:szCs w:val="22"/>
          <w:lang w:val="cs-CZ"/>
        </w:rPr>
      </w:pPr>
      <w:r w:rsidRPr="0001418D">
        <w:rPr>
          <w:szCs w:val="22"/>
          <w:lang w:val="cs-CZ"/>
        </w:rPr>
        <w:t>- časté (u více než 1, ale méně než 1</w:t>
      </w:r>
      <w:r w:rsidR="006F4F69" w:rsidRPr="0001418D">
        <w:rPr>
          <w:szCs w:val="22"/>
          <w:lang w:val="cs-CZ"/>
        </w:rPr>
        <w:t>0 </w:t>
      </w:r>
      <w:r w:rsidRPr="0001418D">
        <w:rPr>
          <w:szCs w:val="22"/>
          <w:lang w:val="cs-CZ"/>
        </w:rPr>
        <w:t>ze 100 ošetřených zvířat)</w:t>
      </w:r>
    </w:p>
    <w:p w:rsidR="00770839" w:rsidRPr="0001418D" w:rsidRDefault="00770839" w:rsidP="00770839">
      <w:pPr>
        <w:ind w:left="720" w:hanging="720"/>
        <w:rPr>
          <w:spacing w:val="-3"/>
          <w:szCs w:val="22"/>
          <w:lang w:val="cs-CZ"/>
        </w:rPr>
      </w:pPr>
      <w:r w:rsidRPr="0001418D">
        <w:rPr>
          <w:szCs w:val="22"/>
          <w:lang w:val="cs-CZ"/>
        </w:rPr>
        <w:t>- neobvyklé (u více než 1, ale méně než 1</w:t>
      </w:r>
      <w:r w:rsidR="006F4F69" w:rsidRPr="0001418D">
        <w:rPr>
          <w:szCs w:val="22"/>
          <w:lang w:val="cs-CZ"/>
        </w:rPr>
        <w:t>0 </w:t>
      </w:r>
      <w:r w:rsidRPr="0001418D">
        <w:rPr>
          <w:szCs w:val="22"/>
          <w:lang w:val="cs-CZ"/>
        </w:rPr>
        <w:t>z 1 00</w:t>
      </w:r>
      <w:r w:rsidR="006F4F69" w:rsidRPr="0001418D">
        <w:rPr>
          <w:szCs w:val="22"/>
          <w:lang w:val="cs-CZ"/>
        </w:rPr>
        <w:t>0 </w:t>
      </w:r>
      <w:r w:rsidRPr="0001418D">
        <w:rPr>
          <w:szCs w:val="22"/>
          <w:lang w:val="cs-CZ"/>
        </w:rPr>
        <w:t>ošetřených zvířat)</w:t>
      </w:r>
    </w:p>
    <w:p w:rsidR="00770839" w:rsidRPr="0001418D" w:rsidRDefault="00770839" w:rsidP="00770839">
      <w:pPr>
        <w:ind w:left="720" w:hanging="720"/>
        <w:rPr>
          <w:spacing w:val="-3"/>
          <w:szCs w:val="22"/>
          <w:lang w:val="cs-CZ"/>
        </w:rPr>
      </w:pPr>
      <w:r w:rsidRPr="0001418D">
        <w:rPr>
          <w:szCs w:val="22"/>
          <w:lang w:val="cs-CZ"/>
        </w:rPr>
        <w:t>- vzácné (u více než 1, ale méně než 1</w:t>
      </w:r>
      <w:r w:rsidR="006F4F69" w:rsidRPr="0001418D">
        <w:rPr>
          <w:szCs w:val="22"/>
          <w:lang w:val="cs-CZ"/>
        </w:rPr>
        <w:t>0 </w:t>
      </w:r>
      <w:r w:rsidRPr="0001418D">
        <w:rPr>
          <w:szCs w:val="22"/>
          <w:lang w:val="cs-CZ"/>
        </w:rPr>
        <w:t>z 10 00</w:t>
      </w:r>
      <w:r w:rsidR="006F4F69" w:rsidRPr="0001418D">
        <w:rPr>
          <w:szCs w:val="22"/>
          <w:lang w:val="cs-CZ"/>
        </w:rPr>
        <w:t>0 </w:t>
      </w:r>
      <w:r w:rsidRPr="0001418D">
        <w:rPr>
          <w:szCs w:val="22"/>
          <w:lang w:val="cs-CZ"/>
        </w:rPr>
        <w:t>ošetřených zvířat)</w:t>
      </w:r>
    </w:p>
    <w:p w:rsidR="00770839" w:rsidRPr="0001418D" w:rsidRDefault="00770839" w:rsidP="00770839">
      <w:pPr>
        <w:ind w:left="720" w:hanging="720"/>
        <w:rPr>
          <w:spacing w:val="-3"/>
          <w:szCs w:val="22"/>
          <w:lang w:val="cs-CZ"/>
        </w:rPr>
      </w:pPr>
      <w:r w:rsidRPr="0001418D">
        <w:rPr>
          <w:szCs w:val="22"/>
          <w:lang w:val="cs-CZ"/>
        </w:rPr>
        <w:t xml:space="preserve">- velmi vzácné (u méně než </w:t>
      </w:r>
      <w:r w:rsidR="006F4F69" w:rsidRPr="0001418D">
        <w:rPr>
          <w:szCs w:val="22"/>
          <w:lang w:val="cs-CZ"/>
        </w:rPr>
        <w:t>1 </w:t>
      </w:r>
      <w:r w:rsidRPr="0001418D">
        <w:rPr>
          <w:szCs w:val="22"/>
          <w:lang w:val="cs-CZ"/>
        </w:rPr>
        <w:t>z 10 00</w:t>
      </w:r>
      <w:r w:rsidR="006F4F69" w:rsidRPr="0001418D">
        <w:rPr>
          <w:szCs w:val="22"/>
          <w:lang w:val="cs-CZ"/>
        </w:rPr>
        <w:t>0 </w:t>
      </w:r>
      <w:r w:rsidRPr="0001418D">
        <w:rPr>
          <w:szCs w:val="22"/>
          <w:lang w:val="cs-CZ"/>
        </w:rPr>
        <w:t>ošetřených zvířat, včetně ojedinělých hlášení).</w:t>
      </w:r>
    </w:p>
    <w:p w:rsidR="00770839" w:rsidRPr="0001418D" w:rsidRDefault="00770839" w:rsidP="00770839">
      <w:pPr>
        <w:rPr>
          <w:szCs w:val="22"/>
          <w:lang w:val="cs-CZ"/>
        </w:rPr>
      </w:pPr>
    </w:p>
    <w:p w:rsidR="00770839" w:rsidRPr="0001418D" w:rsidRDefault="00770839" w:rsidP="00770839">
      <w:pPr>
        <w:rPr>
          <w:lang w:val="cs-CZ"/>
        </w:rPr>
      </w:pPr>
      <w:r w:rsidRPr="0001418D">
        <w:rPr>
          <w:lang w:val="cs-CZ"/>
        </w:rPr>
        <w:t>Jestliže zaznamenáte kterýkoliv z nežádoucích účinků a to i takové, které nejsou uvedeny v této příbalové informaci, nebo si myslíte, že léčivo nefunguje, oznamte to, prosím, vašemu veterinárnímu lékaři.</w:t>
      </w:r>
    </w:p>
    <w:p w:rsidR="006D6573" w:rsidRDefault="00770839" w:rsidP="00770839">
      <w:pPr>
        <w:rPr>
          <w:lang w:val="cs-CZ"/>
        </w:rPr>
      </w:pPr>
      <w:r w:rsidRPr="0001418D">
        <w:rPr>
          <w:lang w:val="cs-CZ"/>
        </w:rPr>
        <w:t>Můžete také hlásit prostřednictvím národního systému hlášení nežádoucích účinků</w:t>
      </w:r>
      <w:r w:rsidR="006D6573">
        <w:rPr>
          <w:lang w:val="cs-CZ"/>
        </w:rPr>
        <w:t xml:space="preserve">: </w:t>
      </w:r>
    </w:p>
    <w:p w:rsidR="006D6573" w:rsidRPr="002B6CC7" w:rsidRDefault="006D6573" w:rsidP="006D6573">
      <w:pPr>
        <w:rPr>
          <w:bCs/>
          <w:iCs/>
          <w:lang w:val="cs-CZ"/>
        </w:rPr>
      </w:pPr>
      <w:r w:rsidRPr="002B6CC7">
        <w:rPr>
          <w:bCs/>
          <w:iCs/>
          <w:lang w:val="cs-CZ"/>
        </w:rPr>
        <w:t xml:space="preserve">Nežádoucí účinky můžete hlásit prostřednictvím formuláře na webových stránkách ÚSKVBL elektronicky, nebo také přímo na adresu: </w:t>
      </w:r>
    </w:p>
    <w:p w:rsidR="006D6573" w:rsidRPr="002B6CC7" w:rsidRDefault="006D6573" w:rsidP="006D6573">
      <w:pPr>
        <w:rPr>
          <w:bCs/>
          <w:iCs/>
          <w:lang w:val="cs-CZ"/>
        </w:rPr>
      </w:pPr>
      <w:r w:rsidRPr="002B6CC7">
        <w:rPr>
          <w:bCs/>
          <w:iCs/>
          <w:lang w:val="cs-CZ"/>
        </w:rPr>
        <w:t xml:space="preserve">Ústav pro státní kontrolu veterinárních biopreparátů a léčiv </w:t>
      </w:r>
    </w:p>
    <w:p w:rsidR="006D6573" w:rsidRPr="002B6CC7" w:rsidRDefault="006D6573" w:rsidP="006D6573">
      <w:pPr>
        <w:rPr>
          <w:bCs/>
          <w:iCs/>
          <w:lang w:val="cs-CZ"/>
        </w:rPr>
      </w:pPr>
      <w:r w:rsidRPr="002B6CC7">
        <w:rPr>
          <w:bCs/>
          <w:iCs/>
          <w:lang w:val="cs-CZ"/>
        </w:rPr>
        <w:t>Hudcova 56a</w:t>
      </w:r>
    </w:p>
    <w:p w:rsidR="006D6573" w:rsidRPr="002B6CC7" w:rsidRDefault="006D6573" w:rsidP="006D6573">
      <w:pPr>
        <w:rPr>
          <w:bCs/>
          <w:iCs/>
          <w:lang w:val="cs-CZ"/>
        </w:rPr>
      </w:pPr>
      <w:r w:rsidRPr="002B6CC7">
        <w:rPr>
          <w:bCs/>
          <w:iCs/>
          <w:lang w:val="cs-CZ"/>
        </w:rPr>
        <w:t>621 00 Brno</w:t>
      </w:r>
    </w:p>
    <w:p w:rsidR="006D6573" w:rsidRPr="002B6CC7" w:rsidRDefault="006D6573" w:rsidP="006D6573">
      <w:pPr>
        <w:rPr>
          <w:bCs/>
          <w:iCs/>
          <w:lang w:val="cs-CZ"/>
        </w:rPr>
      </w:pPr>
      <w:r w:rsidRPr="002B6CC7">
        <w:rPr>
          <w:bCs/>
          <w:iCs/>
          <w:lang w:val="cs-CZ"/>
        </w:rPr>
        <w:t xml:space="preserve">Mail: </w:t>
      </w:r>
      <w:hyperlink r:id="rId8" w:history="1">
        <w:r w:rsidRPr="002B6CC7">
          <w:rPr>
            <w:rStyle w:val="Hypertextovodkaz"/>
            <w:bCs/>
            <w:iCs/>
            <w:lang w:val="cs-CZ"/>
          </w:rPr>
          <w:t>adr@uskvbl.cz</w:t>
        </w:r>
      </w:hyperlink>
    </w:p>
    <w:p w:rsidR="006D6573" w:rsidRPr="002B6CC7" w:rsidRDefault="006D6573" w:rsidP="006D6573">
      <w:pPr>
        <w:rPr>
          <w:bCs/>
          <w:iCs/>
          <w:lang w:val="cs-CZ"/>
        </w:rPr>
      </w:pPr>
      <w:r w:rsidRPr="002B6CC7">
        <w:rPr>
          <w:bCs/>
          <w:iCs/>
          <w:lang w:val="cs-CZ"/>
        </w:rPr>
        <w:t xml:space="preserve">Webové stránky: </w:t>
      </w:r>
      <w:hyperlink r:id="rId9" w:history="1">
        <w:r w:rsidRPr="002B6CC7">
          <w:rPr>
            <w:rStyle w:val="Hypertextovodkaz"/>
            <w:bCs/>
            <w:iCs/>
            <w:lang w:val="cs-CZ"/>
          </w:rPr>
          <w:t>http://www.uskvbl.cz/cs/farmakovigilance</w:t>
        </w:r>
      </w:hyperlink>
      <w:r w:rsidRPr="002B6CC7">
        <w:rPr>
          <w:bCs/>
          <w:iCs/>
          <w:lang w:val="cs-CZ"/>
        </w:rPr>
        <w:t>&gt;</w:t>
      </w:r>
    </w:p>
    <w:p w:rsidR="006D6573" w:rsidRPr="006D6573" w:rsidRDefault="006D6573" w:rsidP="006D6573">
      <w:pPr>
        <w:rPr>
          <w:lang w:val="cs-CZ"/>
        </w:rPr>
      </w:pPr>
    </w:p>
    <w:p w:rsidR="00770839" w:rsidRPr="0001418D" w:rsidRDefault="00770839" w:rsidP="00770839">
      <w:pPr>
        <w:rPr>
          <w:lang w:val="cs-CZ"/>
        </w:rPr>
      </w:pPr>
      <w:r w:rsidRPr="0001418D">
        <w:rPr>
          <w:lang w:val="cs-CZ"/>
        </w:rPr>
        <w:t xml:space="preserve"> </w:t>
      </w:r>
    </w:p>
    <w:p w:rsidR="00770839" w:rsidRPr="0001418D" w:rsidRDefault="00770839" w:rsidP="00770839">
      <w:pPr>
        <w:rPr>
          <w:szCs w:val="22"/>
          <w:lang w:val="cs-CZ"/>
        </w:rPr>
      </w:pPr>
    </w:p>
    <w:p w:rsidR="00770839" w:rsidRPr="0001418D" w:rsidRDefault="00770839" w:rsidP="00770839">
      <w:pPr>
        <w:rPr>
          <w:b/>
          <w:szCs w:val="22"/>
          <w:lang w:val="cs-CZ"/>
        </w:rPr>
      </w:pPr>
    </w:p>
    <w:p w:rsidR="00770839" w:rsidRPr="0001418D" w:rsidRDefault="00770839" w:rsidP="00770839">
      <w:pPr>
        <w:rPr>
          <w:szCs w:val="22"/>
          <w:lang w:val="cs-CZ"/>
        </w:rPr>
      </w:pPr>
      <w:r w:rsidRPr="00027658">
        <w:rPr>
          <w:b/>
          <w:bCs/>
          <w:szCs w:val="22"/>
          <w:highlight w:val="lightGray"/>
          <w:lang w:val="cs-CZ"/>
        </w:rPr>
        <w:t>7.</w:t>
      </w:r>
      <w:r w:rsidRPr="0001418D">
        <w:rPr>
          <w:b/>
          <w:bCs/>
          <w:szCs w:val="22"/>
          <w:lang w:val="cs-CZ"/>
        </w:rPr>
        <w:tab/>
        <w:t>CÍLOVÝ DRUH ZVÍŘAT</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lang w:val="cs-CZ"/>
        </w:rPr>
        <w:t>Psi a kočky</w:t>
      </w:r>
    </w:p>
    <w:p w:rsidR="00770839" w:rsidRPr="0001418D" w:rsidRDefault="00770839" w:rsidP="00770839">
      <w:pPr>
        <w:rPr>
          <w:szCs w:val="22"/>
          <w:lang w:val="cs-CZ"/>
        </w:rPr>
      </w:pPr>
      <w:r w:rsidRPr="0001418D">
        <w:rPr>
          <w:noProof/>
          <w:snapToGrid w:val="0"/>
          <w:lang w:val="cs-CZ" w:eastAsia="cs-CZ"/>
        </w:rPr>
        <w:drawing>
          <wp:inline distT="0" distB="0" distL="0" distR="0" wp14:anchorId="472DECC0" wp14:editId="47E05FC9">
            <wp:extent cx="942975" cy="685800"/>
            <wp:effectExtent l="0" t="0" r="9525" b="0"/>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pic:spPr>
                </pic:pic>
              </a:graphicData>
            </a:graphic>
          </wp:inline>
        </w:drawing>
      </w:r>
      <w:r w:rsidRPr="0001418D">
        <w:rPr>
          <w:noProof/>
          <w:snapToGrid w:val="0"/>
          <w:lang w:val="cs-CZ" w:eastAsia="cs-CZ"/>
        </w:rPr>
        <w:drawing>
          <wp:inline distT="0" distB="0" distL="0" distR="0" wp14:anchorId="05C77A4A" wp14:editId="50AB1B4F">
            <wp:extent cx="419100" cy="495300"/>
            <wp:effectExtent l="0" t="0" r="0" b="0"/>
            <wp:docPr id="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pic:spPr>
                </pic:pic>
              </a:graphicData>
            </a:graphic>
          </wp:inline>
        </w:drawing>
      </w:r>
    </w:p>
    <w:p w:rsidR="00770839" w:rsidRPr="0001418D" w:rsidRDefault="00770839" w:rsidP="00770839">
      <w:pPr>
        <w:rPr>
          <w:szCs w:val="22"/>
          <w:lang w:val="cs-CZ"/>
        </w:rPr>
      </w:pPr>
    </w:p>
    <w:p w:rsidR="007223E9" w:rsidRPr="0001418D" w:rsidRDefault="007223E9" w:rsidP="00770839">
      <w:pPr>
        <w:rPr>
          <w:szCs w:val="22"/>
          <w:lang w:val="cs-CZ"/>
        </w:rPr>
      </w:pPr>
    </w:p>
    <w:p w:rsidR="00770839" w:rsidRPr="0001418D" w:rsidRDefault="00770839" w:rsidP="000B1883">
      <w:pPr>
        <w:ind w:left="720" w:hanging="720"/>
        <w:rPr>
          <w:szCs w:val="22"/>
          <w:lang w:val="cs-CZ"/>
        </w:rPr>
      </w:pPr>
      <w:r w:rsidRPr="00027658">
        <w:rPr>
          <w:b/>
          <w:bCs/>
          <w:szCs w:val="22"/>
          <w:highlight w:val="lightGray"/>
          <w:lang w:val="cs-CZ"/>
        </w:rPr>
        <w:t>8.</w:t>
      </w:r>
      <w:r w:rsidRPr="0001418D">
        <w:rPr>
          <w:b/>
          <w:bCs/>
          <w:szCs w:val="22"/>
          <w:lang w:val="cs-CZ"/>
        </w:rPr>
        <w:tab/>
        <w:t>DÁVKOVÁNÍ PRO KAŽDÝ DRUH, CESTY A ZPŮSOB PODÁNÍ</w:t>
      </w:r>
    </w:p>
    <w:p w:rsidR="00770839" w:rsidRPr="0001418D" w:rsidRDefault="00770839" w:rsidP="00770839">
      <w:pPr>
        <w:rPr>
          <w:iCs/>
          <w:szCs w:val="22"/>
          <w:lang w:val="cs-CZ"/>
        </w:rPr>
      </w:pPr>
    </w:p>
    <w:p w:rsidR="00770839" w:rsidRPr="0001418D" w:rsidRDefault="006D6573" w:rsidP="00770839">
      <w:pPr>
        <w:rPr>
          <w:szCs w:val="22"/>
          <w:lang w:val="cs-CZ"/>
        </w:rPr>
      </w:pPr>
      <w:r>
        <w:rPr>
          <w:szCs w:val="22"/>
          <w:lang w:val="cs-CZ"/>
        </w:rPr>
        <w:t>I</w:t>
      </w:r>
      <w:r w:rsidR="00770839" w:rsidRPr="0001418D">
        <w:rPr>
          <w:szCs w:val="22"/>
          <w:lang w:val="cs-CZ"/>
        </w:rPr>
        <w:t>ntravenózní podání.</w:t>
      </w:r>
    </w:p>
    <w:p w:rsidR="00770839" w:rsidRPr="0001418D" w:rsidRDefault="00770839" w:rsidP="00770839">
      <w:pPr>
        <w:rPr>
          <w:szCs w:val="22"/>
          <w:lang w:val="cs-CZ"/>
        </w:rPr>
      </w:pPr>
    </w:p>
    <w:p w:rsidR="00770839" w:rsidRPr="0001418D" w:rsidRDefault="00770839" w:rsidP="00770839">
      <w:pPr>
        <w:keepNext/>
        <w:rPr>
          <w:szCs w:val="22"/>
          <w:u w:val="single"/>
          <w:lang w:val="cs-CZ"/>
        </w:rPr>
      </w:pPr>
      <w:r w:rsidRPr="0001418D">
        <w:rPr>
          <w:szCs w:val="22"/>
          <w:u w:val="single"/>
          <w:lang w:val="cs-CZ"/>
        </w:rPr>
        <w:t>Úvod do anestezie:</w:t>
      </w:r>
    </w:p>
    <w:p w:rsidR="006D6573" w:rsidRPr="006D6573" w:rsidRDefault="00FF6B4D" w:rsidP="006D6573">
      <w:pPr>
        <w:rPr>
          <w:szCs w:val="22"/>
          <w:lang w:val="cs-CZ"/>
        </w:rPr>
      </w:pPr>
      <w:r w:rsidRPr="0001418D">
        <w:rPr>
          <w:sz w:val="22"/>
          <w:szCs w:val="22"/>
          <w:lang w:val="cs-CZ"/>
        </w:rPr>
        <w:t>Úvodní dávka veterinárního léčivého přípravku uvedená v tabulce níže je stanovena na základě údajů převzatých z kontrol</w:t>
      </w:r>
      <w:r>
        <w:rPr>
          <w:sz w:val="22"/>
          <w:szCs w:val="22"/>
          <w:lang w:val="cs-CZ"/>
        </w:rPr>
        <w:t>ovaných</w:t>
      </w:r>
      <w:r w:rsidRPr="0001418D">
        <w:rPr>
          <w:sz w:val="22"/>
          <w:szCs w:val="22"/>
          <w:lang w:val="cs-CZ"/>
        </w:rPr>
        <w:t xml:space="preserve"> laborato</w:t>
      </w:r>
      <w:r>
        <w:rPr>
          <w:sz w:val="22"/>
          <w:szCs w:val="22"/>
          <w:lang w:val="cs-CZ"/>
        </w:rPr>
        <w:t>rních</w:t>
      </w:r>
      <w:r w:rsidRPr="0001418D">
        <w:rPr>
          <w:sz w:val="22"/>
          <w:szCs w:val="22"/>
          <w:lang w:val="cs-CZ"/>
        </w:rPr>
        <w:t xml:space="preserve"> a terénních studií </w:t>
      </w:r>
      <w:r>
        <w:rPr>
          <w:sz w:val="22"/>
          <w:szCs w:val="22"/>
          <w:lang w:val="cs-CZ"/>
        </w:rPr>
        <w:t xml:space="preserve">stejně jako klinických zkušeností. Představuje </w:t>
      </w:r>
      <w:r w:rsidRPr="0001418D">
        <w:rPr>
          <w:sz w:val="22"/>
          <w:szCs w:val="22"/>
          <w:lang w:val="cs-CZ"/>
        </w:rPr>
        <w:t>průměrné množství léku potřebné k úspěšnému zahájení anestezie</w:t>
      </w:r>
      <w:r w:rsidRPr="00204F31">
        <w:rPr>
          <w:sz w:val="22"/>
          <w:szCs w:val="22"/>
          <w:lang w:val="cs-CZ"/>
        </w:rPr>
        <w:t xml:space="preserve"> </w:t>
      </w:r>
      <w:r>
        <w:rPr>
          <w:sz w:val="22"/>
          <w:szCs w:val="22"/>
          <w:lang w:val="cs-CZ"/>
        </w:rPr>
        <w:t>u psů</w:t>
      </w:r>
      <w:r w:rsidRPr="0001418D">
        <w:rPr>
          <w:sz w:val="22"/>
          <w:szCs w:val="22"/>
          <w:lang w:val="cs-CZ"/>
        </w:rPr>
        <w:t xml:space="preserve"> nebo koč</w:t>
      </w:r>
      <w:r>
        <w:rPr>
          <w:sz w:val="22"/>
          <w:szCs w:val="22"/>
          <w:lang w:val="cs-CZ"/>
        </w:rPr>
        <w:t>e</w:t>
      </w:r>
      <w:r w:rsidRPr="0001418D">
        <w:rPr>
          <w:sz w:val="22"/>
          <w:szCs w:val="22"/>
          <w:lang w:val="cs-CZ"/>
        </w:rPr>
        <w:t xml:space="preserve">k. </w:t>
      </w:r>
      <w:r w:rsidR="006D6573" w:rsidRPr="006D6573">
        <w:rPr>
          <w:szCs w:val="22"/>
          <w:lang w:val="cs-CZ"/>
        </w:rPr>
        <w:t xml:space="preserve">Uvedené dávkování je pouze orientační. </w:t>
      </w:r>
    </w:p>
    <w:p w:rsidR="00C41E85" w:rsidRPr="0001418D" w:rsidRDefault="00770839" w:rsidP="00C41E85">
      <w:pPr>
        <w:ind w:firstLine="720"/>
        <w:rPr>
          <w:b/>
          <w:bCs/>
          <w:sz w:val="22"/>
          <w:szCs w:val="22"/>
          <w:lang w:val="cs-CZ"/>
        </w:rPr>
      </w:pPr>
      <w:r w:rsidRPr="0001418D">
        <w:rPr>
          <w:szCs w:val="22"/>
          <w:lang w:val="cs-CZ"/>
        </w:rPr>
        <w:t xml:space="preserve"> </w:t>
      </w:r>
    </w:p>
    <w:p w:rsidR="00FF6B4D" w:rsidRPr="0001418D" w:rsidRDefault="00FF6B4D" w:rsidP="00FF6B4D">
      <w:pPr>
        <w:ind w:firstLine="720"/>
        <w:rPr>
          <w:sz w:val="22"/>
          <w:szCs w:val="22"/>
          <w:lang w:val="cs-CZ"/>
        </w:rPr>
      </w:pPr>
      <w:r w:rsidRPr="0001418D">
        <w:rPr>
          <w:b/>
          <w:bCs/>
          <w:sz w:val="22"/>
          <w:szCs w:val="22"/>
          <w:lang w:val="cs-CZ"/>
        </w:rPr>
        <w:t xml:space="preserve">Skutečnou dávku je třeba </w:t>
      </w:r>
      <w:r>
        <w:rPr>
          <w:b/>
          <w:bCs/>
          <w:sz w:val="22"/>
          <w:szCs w:val="22"/>
          <w:lang w:val="cs-CZ"/>
        </w:rPr>
        <w:t xml:space="preserve">titrovat </w:t>
      </w:r>
      <w:r w:rsidRPr="0001418D">
        <w:rPr>
          <w:b/>
          <w:bCs/>
          <w:sz w:val="22"/>
          <w:szCs w:val="22"/>
          <w:lang w:val="cs-CZ"/>
        </w:rPr>
        <w:t xml:space="preserve">podle </w:t>
      </w:r>
      <w:r>
        <w:rPr>
          <w:b/>
          <w:bCs/>
          <w:sz w:val="22"/>
          <w:szCs w:val="22"/>
          <w:lang w:val="cs-CZ"/>
        </w:rPr>
        <w:t xml:space="preserve">individuální </w:t>
      </w:r>
      <w:r w:rsidRPr="0001418D">
        <w:rPr>
          <w:b/>
          <w:bCs/>
          <w:sz w:val="22"/>
          <w:szCs w:val="22"/>
          <w:lang w:val="cs-CZ"/>
        </w:rPr>
        <w:t xml:space="preserve">odpovědi organizmu </w:t>
      </w:r>
      <w:r>
        <w:rPr>
          <w:b/>
          <w:bCs/>
          <w:sz w:val="22"/>
          <w:szCs w:val="22"/>
          <w:lang w:val="cs-CZ"/>
        </w:rPr>
        <w:t>ošetřovaného</w:t>
      </w:r>
      <w:r w:rsidRPr="0001418D">
        <w:rPr>
          <w:b/>
          <w:bCs/>
          <w:sz w:val="22"/>
          <w:szCs w:val="22"/>
          <w:lang w:val="cs-CZ"/>
        </w:rPr>
        <w:t xml:space="preserve"> zvíře</w:t>
      </w:r>
      <w:r>
        <w:rPr>
          <w:b/>
          <w:bCs/>
          <w:sz w:val="22"/>
          <w:szCs w:val="22"/>
          <w:lang w:val="cs-CZ"/>
        </w:rPr>
        <w:t>te</w:t>
      </w:r>
      <w:r w:rsidRPr="0001418D">
        <w:rPr>
          <w:b/>
          <w:bCs/>
          <w:sz w:val="22"/>
          <w:szCs w:val="22"/>
          <w:lang w:val="cs-CZ"/>
        </w:rPr>
        <w:t xml:space="preserve"> na podaný přípravek</w:t>
      </w:r>
      <w:r>
        <w:rPr>
          <w:b/>
          <w:bCs/>
          <w:sz w:val="22"/>
          <w:szCs w:val="22"/>
          <w:lang w:val="cs-CZ"/>
        </w:rPr>
        <w:t>.</w:t>
      </w:r>
      <w:r w:rsidRPr="0001418D">
        <w:rPr>
          <w:b/>
          <w:bCs/>
          <w:sz w:val="22"/>
          <w:szCs w:val="22"/>
          <w:lang w:val="cs-CZ"/>
        </w:rPr>
        <w:t xml:space="preserve"> </w:t>
      </w:r>
      <w:r>
        <w:rPr>
          <w:b/>
          <w:bCs/>
          <w:sz w:val="22"/>
          <w:szCs w:val="22"/>
          <w:lang w:val="cs-CZ"/>
        </w:rPr>
        <w:t>Tato d</w:t>
      </w:r>
      <w:r w:rsidRPr="0001418D">
        <w:rPr>
          <w:b/>
          <w:bCs/>
          <w:sz w:val="22"/>
          <w:szCs w:val="22"/>
          <w:lang w:val="cs-CZ"/>
        </w:rPr>
        <w:t>ávka může být významně nižší nebo vyšší než dávka</w:t>
      </w:r>
      <w:r>
        <w:rPr>
          <w:b/>
          <w:bCs/>
          <w:sz w:val="22"/>
          <w:szCs w:val="22"/>
          <w:lang w:val="cs-CZ"/>
        </w:rPr>
        <w:t xml:space="preserve"> průměrná</w:t>
      </w:r>
      <w:r w:rsidRPr="0001418D">
        <w:rPr>
          <w:b/>
          <w:bCs/>
          <w:sz w:val="22"/>
          <w:szCs w:val="22"/>
          <w:lang w:val="cs-CZ"/>
        </w:rPr>
        <w:t>.</w:t>
      </w:r>
    </w:p>
    <w:p w:rsidR="006D6573" w:rsidRPr="006D6573" w:rsidRDefault="00C41E85" w:rsidP="006D6573">
      <w:pPr>
        <w:rPr>
          <w:szCs w:val="22"/>
          <w:lang w:val="cs-CZ"/>
        </w:rPr>
      </w:pPr>
      <w:r w:rsidRPr="009C749F">
        <w:rPr>
          <w:sz w:val="22"/>
          <w:szCs w:val="22"/>
          <w:lang w:val="cs-CZ"/>
        </w:rPr>
        <w:t xml:space="preserve">Injekční stříkačka by měla být naplněna dávkou o objemu přípravku </w:t>
      </w:r>
      <w:r>
        <w:rPr>
          <w:sz w:val="22"/>
          <w:szCs w:val="22"/>
          <w:lang w:val="cs-CZ"/>
        </w:rPr>
        <w:t xml:space="preserve">uvedenou níže </w:t>
      </w:r>
      <w:r w:rsidRPr="009C749F">
        <w:rPr>
          <w:sz w:val="22"/>
          <w:szCs w:val="22"/>
          <w:lang w:val="cs-CZ"/>
        </w:rPr>
        <w:t xml:space="preserve">vypočítanou dle živé hmotnosti. </w:t>
      </w:r>
      <w:r w:rsidR="006D6573" w:rsidRPr="006D6573">
        <w:rPr>
          <w:szCs w:val="22"/>
          <w:lang w:val="cs-CZ"/>
        </w:rPr>
        <w:t>Přípravek je třeba podávat do nástupu účinku tak dlouho, dokud není</w:t>
      </w:r>
      <w:r w:rsidR="00590BB1">
        <w:rPr>
          <w:szCs w:val="22"/>
          <w:lang w:val="cs-CZ"/>
        </w:rPr>
        <w:t xml:space="preserve"> </w:t>
      </w:r>
      <w:r w:rsidR="006D6573" w:rsidRPr="006D6573">
        <w:rPr>
          <w:szCs w:val="22"/>
          <w:lang w:val="cs-CZ"/>
        </w:rPr>
        <w:t xml:space="preserve">hloubka anestezie dostatečná pro endotrachealní intubaci. </w:t>
      </w:r>
      <w:bookmarkStart w:id="1" w:name="_Hlk527981460"/>
      <w:r w:rsidR="006D6573" w:rsidRPr="006D6573">
        <w:rPr>
          <w:szCs w:val="22"/>
          <w:lang w:val="cs-CZ"/>
        </w:rPr>
        <w:t>Při úvodu do anestezie propofolem je nutné jej podávat dostatečně pomalu, aby došlo k vyrovnání mezi plazmou a místem účinku, a dostatečně rychle, aby se zabránilo redistribuci z mozku, což má za následek nedostatečnou úroveň anestezie (tj. podávání po dobu přibližně 10–40 sekund).</w:t>
      </w:r>
      <w:bookmarkEnd w:id="1"/>
      <w:r w:rsidR="006D6573" w:rsidRPr="006D6573">
        <w:rPr>
          <w:szCs w:val="22"/>
          <w:lang w:val="cs-CZ"/>
        </w:rPr>
        <w:t xml:space="preserve"> Pokud se propofol podává současně s opioidem, měl by být podáván pomaleji, např. během 40–60 sekund. Viz bod </w:t>
      </w:r>
      <w:r w:rsidR="006D6573">
        <w:rPr>
          <w:szCs w:val="22"/>
          <w:lang w:val="cs-CZ"/>
        </w:rPr>
        <w:t>12 (Interakce).</w:t>
      </w:r>
    </w:p>
    <w:p w:rsidR="006D6573" w:rsidRPr="006D6573" w:rsidRDefault="006D6573" w:rsidP="006D6573">
      <w:pPr>
        <w:rPr>
          <w:szCs w:val="22"/>
          <w:lang w:val="cs-CZ"/>
        </w:rPr>
      </w:pPr>
      <w:r w:rsidRPr="006D6573">
        <w:rPr>
          <w:szCs w:val="22"/>
          <w:lang w:val="cs-CZ"/>
        </w:rPr>
        <w:t>Použití preanestetik (pre-medikace) může významně snížit požadavky na propofol v závislosti na typu a dávce použitých preanestetik. Pokud se propofol používá v kombinaci například s ketaminem, fentanylem nebo benzodiazepiny k úvodu do anestézie (tzv. ko-indukce), může se celková dávka propofolu dále snížit.</w:t>
      </w:r>
    </w:p>
    <w:p w:rsidR="00770839" w:rsidRPr="0001418D" w:rsidRDefault="00770839" w:rsidP="00770839">
      <w:pPr>
        <w:rPr>
          <w:szCs w:val="22"/>
          <w:lang w:val="cs-CZ"/>
        </w:rPr>
      </w:pPr>
    </w:p>
    <w:p w:rsidR="00770839" w:rsidRPr="0001418D" w:rsidRDefault="00770839" w:rsidP="00770839">
      <w:pPr>
        <w:pStyle w:val="Titulek"/>
        <w:keepNext/>
        <w:rPr>
          <w:sz w:val="22"/>
          <w:szCs w:val="22"/>
          <w:lang w:val="cs-CZ"/>
        </w:rPr>
      </w:pPr>
      <w:r w:rsidRPr="0001418D">
        <w:rPr>
          <w:sz w:val="22"/>
          <w:szCs w:val="22"/>
          <w:lang w:val="cs-CZ"/>
        </w:rPr>
        <w:t xml:space="preserve">Doporučené dávkování pro </w:t>
      </w:r>
      <w:r w:rsidR="00590BB1" w:rsidRPr="00590BB1">
        <w:rPr>
          <w:sz w:val="22"/>
          <w:szCs w:val="22"/>
          <w:lang w:val="cs-CZ"/>
        </w:rPr>
        <w:t xml:space="preserve">úvod do </w:t>
      </w:r>
      <w:r w:rsidRPr="0001418D">
        <w:rPr>
          <w:sz w:val="22"/>
          <w:szCs w:val="22"/>
          <w:lang w:val="cs-CZ"/>
        </w:rPr>
        <w:t>anestezie:</w:t>
      </w:r>
    </w:p>
    <w:tbl>
      <w:tblPr>
        <w:tblW w:w="41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524"/>
        <w:gridCol w:w="1524"/>
      </w:tblGrid>
      <w:tr w:rsidR="00770839" w:rsidRPr="009803F0" w:rsidTr="00CF590F">
        <w:trPr>
          <w:trHeight w:val="174"/>
        </w:trPr>
        <w:tc>
          <w:tcPr>
            <w:tcW w:w="3028" w:type="pct"/>
            <w:tcBorders>
              <w:top w:val="single" w:sz="4" w:space="0" w:color="auto"/>
              <w:left w:val="nil"/>
              <w:bottom w:val="single" w:sz="4" w:space="0" w:color="auto"/>
              <w:right w:val="nil"/>
            </w:tcBorders>
          </w:tcPr>
          <w:p w:rsidR="00770839" w:rsidRPr="0001418D" w:rsidRDefault="00770839" w:rsidP="00CF590F">
            <w:pPr>
              <w:keepNext/>
              <w:rPr>
                <w:b/>
                <w:szCs w:val="22"/>
                <w:lang w:val="cs-CZ"/>
              </w:rPr>
            </w:pPr>
          </w:p>
        </w:tc>
        <w:tc>
          <w:tcPr>
            <w:tcW w:w="986" w:type="pct"/>
            <w:tcBorders>
              <w:top w:val="single" w:sz="4" w:space="0" w:color="auto"/>
              <w:left w:val="nil"/>
              <w:bottom w:val="single" w:sz="4" w:space="0" w:color="auto"/>
              <w:right w:val="nil"/>
            </w:tcBorders>
          </w:tcPr>
          <w:p w:rsidR="00770839" w:rsidRPr="0001418D" w:rsidRDefault="00770839" w:rsidP="00CF590F">
            <w:pPr>
              <w:keepNext/>
              <w:rPr>
                <w:b/>
                <w:iCs/>
                <w:szCs w:val="22"/>
                <w:lang w:val="cs-CZ"/>
              </w:rPr>
            </w:pPr>
            <w:r w:rsidRPr="0001418D">
              <w:rPr>
                <w:b/>
                <w:bCs/>
                <w:szCs w:val="22"/>
                <w:lang w:val="cs-CZ"/>
              </w:rPr>
              <w:t>Dávka</w:t>
            </w:r>
          </w:p>
          <w:p w:rsidR="00770839" w:rsidRPr="0001418D" w:rsidRDefault="00770839" w:rsidP="00CF590F">
            <w:pPr>
              <w:keepNext/>
              <w:rPr>
                <w:b/>
                <w:iCs/>
                <w:szCs w:val="22"/>
                <w:lang w:val="cs-CZ"/>
              </w:rPr>
            </w:pPr>
            <w:r w:rsidRPr="0001418D">
              <w:rPr>
                <w:b/>
                <w:bCs/>
                <w:szCs w:val="22"/>
                <w:lang w:val="cs-CZ"/>
              </w:rPr>
              <w:t>mg/kg</w:t>
            </w:r>
          </w:p>
          <w:p w:rsidR="00770839" w:rsidRPr="0001418D" w:rsidRDefault="00590BB1" w:rsidP="00CF590F">
            <w:pPr>
              <w:keepNext/>
              <w:rPr>
                <w:b/>
                <w:iCs/>
                <w:szCs w:val="22"/>
                <w:lang w:val="cs-CZ"/>
              </w:rPr>
            </w:pPr>
            <w:r>
              <w:rPr>
                <w:b/>
                <w:bCs/>
                <w:sz w:val="22"/>
                <w:szCs w:val="22"/>
                <w:lang w:val="cs-CZ"/>
              </w:rPr>
              <w:t>živá</w:t>
            </w:r>
            <w:r w:rsidRPr="0001418D">
              <w:rPr>
                <w:b/>
                <w:bCs/>
                <w:sz w:val="22"/>
                <w:szCs w:val="22"/>
                <w:lang w:val="cs-CZ"/>
              </w:rPr>
              <w:t xml:space="preserve"> </w:t>
            </w:r>
            <w:r w:rsidR="00770839" w:rsidRPr="0001418D">
              <w:rPr>
                <w:b/>
                <w:bCs/>
                <w:szCs w:val="22"/>
                <w:lang w:val="cs-CZ"/>
              </w:rPr>
              <w:t>hmotnost</w:t>
            </w:r>
          </w:p>
        </w:tc>
        <w:tc>
          <w:tcPr>
            <w:tcW w:w="986" w:type="pct"/>
            <w:tcBorders>
              <w:top w:val="single" w:sz="4" w:space="0" w:color="auto"/>
              <w:left w:val="nil"/>
              <w:bottom w:val="single" w:sz="4" w:space="0" w:color="auto"/>
              <w:right w:val="nil"/>
            </w:tcBorders>
          </w:tcPr>
          <w:p w:rsidR="00770839" w:rsidRPr="0001418D" w:rsidRDefault="00770839" w:rsidP="00CF590F">
            <w:pPr>
              <w:keepNext/>
              <w:rPr>
                <w:b/>
                <w:iCs/>
                <w:szCs w:val="22"/>
                <w:lang w:val="cs-CZ"/>
              </w:rPr>
            </w:pPr>
            <w:r w:rsidRPr="0001418D">
              <w:rPr>
                <w:b/>
                <w:bCs/>
                <w:szCs w:val="22"/>
                <w:lang w:val="cs-CZ"/>
              </w:rPr>
              <w:t>Objem dávky</w:t>
            </w:r>
          </w:p>
          <w:p w:rsidR="00770839" w:rsidRPr="0001418D" w:rsidRDefault="00770839" w:rsidP="00CF590F">
            <w:pPr>
              <w:keepNext/>
              <w:rPr>
                <w:b/>
                <w:iCs/>
                <w:szCs w:val="22"/>
                <w:lang w:val="cs-CZ"/>
              </w:rPr>
            </w:pPr>
            <w:r w:rsidRPr="0001418D">
              <w:rPr>
                <w:b/>
                <w:bCs/>
                <w:szCs w:val="22"/>
                <w:lang w:val="cs-CZ"/>
              </w:rPr>
              <w:t>ml/kg</w:t>
            </w:r>
          </w:p>
          <w:p w:rsidR="00770839" w:rsidRPr="0001418D" w:rsidRDefault="00590BB1" w:rsidP="00CF590F">
            <w:pPr>
              <w:keepNext/>
              <w:rPr>
                <w:b/>
                <w:iCs/>
                <w:szCs w:val="22"/>
                <w:lang w:val="cs-CZ"/>
              </w:rPr>
            </w:pPr>
            <w:r>
              <w:rPr>
                <w:b/>
                <w:bCs/>
                <w:sz w:val="22"/>
                <w:szCs w:val="22"/>
                <w:lang w:val="cs-CZ"/>
              </w:rPr>
              <w:t>živá</w:t>
            </w:r>
            <w:r w:rsidRPr="0001418D">
              <w:rPr>
                <w:b/>
                <w:bCs/>
                <w:sz w:val="22"/>
                <w:szCs w:val="22"/>
                <w:lang w:val="cs-CZ"/>
              </w:rPr>
              <w:t xml:space="preserve"> </w:t>
            </w:r>
            <w:r w:rsidR="00770839" w:rsidRPr="0001418D">
              <w:rPr>
                <w:b/>
                <w:bCs/>
                <w:szCs w:val="22"/>
                <w:lang w:val="cs-CZ"/>
              </w:rPr>
              <w:t>hmotnost</w:t>
            </w:r>
          </w:p>
        </w:tc>
      </w:tr>
      <w:tr w:rsidR="00770839" w:rsidRPr="0001418D" w:rsidTr="00CF590F">
        <w:trPr>
          <w:trHeight w:val="264"/>
        </w:trPr>
        <w:tc>
          <w:tcPr>
            <w:tcW w:w="3028" w:type="pct"/>
            <w:tcBorders>
              <w:top w:val="single" w:sz="4" w:space="0" w:color="auto"/>
              <w:left w:val="nil"/>
              <w:bottom w:val="nil"/>
              <w:right w:val="nil"/>
            </w:tcBorders>
            <w:vAlign w:val="center"/>
          </w:tcPr>
          <w:p w:rsidR="00770839" w:rsidRPr="0001418D" w:rsidRDefault="00770839" w:rsidP="007223E9">
            <w:pPr>
              <w:pStyle w:val="Nadpis3"/>
              <w:spacing w:line="240" w:lineRule="auto"/>
              <w:jc w:val="left"/>
              <w:rPr>
                <w:sz w:val="22"/>
                <w:szCs w:val="22"/>
                <w:lang w:val="cs-CZ"/>
              </w:rPr>
            </w:pPr>
            <w:r w:rsidRPr="0001418D">
              <w:rPr>
                <w:sz w:val="22"/>
                <w:szCs w:val="22"/>
                <w:lang w:val="cs-CZ"/>
              </w:rPr>
              <w:t>PSI</w:t>
            </w:r>
          </w:p>
        </w:tc>
        <w:tc>
          <w:tcPr>
            <w:tcW w:w="986" w:type="pct"/>
            <w:tcBorders>
              <w:top w:val="single" w:sz="4" w:space="0" w:color="auto"/>
              <w:left w:val="nil"/>
              <w:bottom w:val="nil"/>
              <w:right w:val="nil"/>
            </w:tcBorders>
            <w:vAlign w:val="center"/>
          </w:tcPr>
          <w:p w:rsidR="00770839" w:rsidRPr="0001418D" w:rsidRDefault="00770839" w:rsidP="00CF590F">
            <w:pPr>
              <w:keepNext/>
              <w:rPr>
                <w:szCs w:val="22"/>
                <w:lang w:val="cs-CZ"/>
              </w:rPr>
            </w:pPr>
          </w:p>
        </w:tc>
        <w:tc>
          <w:tcPr>
            <w:tcW w:w="986" w:type="pct"/>
            <w:tcBorders>
              <w:top w:val="single" w:sz="4" w:space="0" w:color="auto"/>
              <w:left w:val="nil"/>
              <w:bottom w:val="nil"/>
              <w:right w:val="nil"/>
            </w:tcBorders>
            <w:vAlign w:val="center"/>
          </w:tcPr>
          <w:p w:rsidR="00770839" w:rsidRPr="0001418D" w:rsidRDefault="00770839" w:rsidP="00CF590F">
            <w:pPr>
              <w:keepNext/>
              <w:rPr>
                <w:szCs w:val="22"/>
                <w:lang w:val="cs-CZ"/>
              </w:rPr>
            </w:pPr>
          </w:p>
        </w:tc>
      </w:tr>
      <w:tr w:rsidR="00770839" w:rsidRPr="0001418D" w:rsidTr="00CF590F">
        <w:trPr>
          <w:trHeight w:val="122"/>
        </w:trPr>
        <w:tc>
          <w:tcPr>
            <w:tcW w:w="3028" w:type="pct"/>
            <w:tcBorders>
              <w:top w:val="nil"/>
              <w:left w:val="nil"/>
              <w:bottom w:val="nil"/>
              <w:right w:val="nil"/>
            </w:tcBorders>
            <w:vAlign w:val="center"/>
          </w:tcPr>
          <w:p w:rsidR="00770839" w:rsidRPr="0001418D" w:rsidRDefault="00AA451F" w:rsidP="00590BB1">
            <w:pPr>
              <w:keepNext/>
              <w:rPr>
                <w:szCs w:val="22"/>
                <w:lang w:val="cs-CZ"/>
              </w:rPr>
            </w:pPr>
            <w:r>
              <w:rPr>
                <w:sz w:val="22"/>
                <w:szCs w:val="22"/>
                <w:lang w:val="cs-CZ"/>
              </w:rPr>
              <w:t xml:space="preserve">Bez </w:t>
            </w:r>
            <w:r w:rsidRPr="0001418D">
              <w:rPr>
                <w:sz w:val="22"/>
                <w:szCs w:val="22"/>
                <w:lang w:val="cs-CZ"/>
              </w:rPr>
              <w:t>premedik</w:t>
            </w:r>
            <w:r>
              <w:rPr>
                <w:sz w:val="22"/>
                <w:szCs w:val="22"/>
                <w:lang w:val="cs-CZ"/>
              </w:rPr>
              <w:t>ace</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6,</w:t>
            </w:r>
            <w:r w:rsidR="006F4F69" w:rsidRPr="0001418D">
              <w:rPr>
                <w:szCs w:val="22"/>
                <w:lang w:val="cs-CZ"/>
              </w:rPr>
              <w:t>5 </w:t>
            </w:r>
            <w:r w:rsidRPr="0001418D">
              <w:rPr>
                <w:szCs w:val="22"/>
                <w:lang w:val="cs-CZ"/>
              </w:rPr>
              <w:t>mg/kg</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0,65 ml/kg</w:t>
            </w:r>
          </w:p>
        </w:tc>
      </w:tr>
      <w:tr w:rsidR="00770839" w:rsidRPr="0001418D" w:rsidTr="00CF590F">
        <w:trPr>
          <w:trHeight w:val="80"/>
        </w:trPr>
        <w:tc>
          <w:tcPr>
            <w:tcW w:w="3028" w:type="pct"/>
            <w:tcBorders>
              <w:top w:val="nil"/>
              <w:left w:val="nil"/>
              <w:bottom w:val="nil"/>
              <w:right w:val="nil"/>
            </w:tcBorders>
            <w:vAlign w:val="center"/>
          </w:tcPr>
          <w:p w:rsidR="00770839" w:rsidRPr="0001418D" w:rsidRDefault="00770839" w:rsidP="00590BB1">
            <w:pPr>
              <w:keepNext/>
              <w:rPr>
                <w:szCs w:val="22"/>
                <w:lang w:val="cs-CZ"/>
              </w:rPr>
            </w:pPr>
            <w:r w:rsidRPr="0001418D">
              <w:rPr>
                <w:szCs w:val="22"/>
                <w:lang w:val="cs-CZ"/>
              </w:rPr>
              <w:t>Premedikovan</w:t>
            </w:r>
            <w:r w:rsidR="00590BB1">
              <w:rPr>
                <w:szCs w:val="22"/>
                <w:lang w:val="cs-CZ"/>
              </w:rPr>
              <w:t>í</w:t>
            </w:r>
          </w:p>
        </w:tc>
        <w:tc>
          <w:tcPr>
            <w:tcW w:w="986" w:type="pct"/>
            <w:tcBorders>
              <w:top w:val="nil"/>
              <w:left w:val="nil"/>
              <w:bottom w:val="nil"/>
              <w:right w:val="nil"/>
            </w:tcBorders>
            <w:vAlign w:val="center"/>
          </w:tcPr>
          <w:p w:rsidR="00770839" w:rsidRPr="0001418D" w:rsidRDefault="00770839" w:rsidP="00CF590F">
            <w:pPr>
              <w:keepNext/>
              <w:rPr>
                <w:szCs w:val="22"/>
                <w:lang w:val="cs-CZ"/>
              </w:rPr>
            </w:pPr>
          </w:p>
        </w:tc>
        <w:tc>
          <w:tcPr>
            <w:tcW w:w="986" w:type="pct"/>
            <w:tcBorders>
              <w:top w:val="nil"/>
              <w:left w:val="nil"/>
              <w:bottom w:val="nil"/>
              <w:right w:val="nil"/>
            </w:tcBorders>
            <w:vAlign w:val="center"/>
          </w:tcPr>
          <w:p w:rsidR="00770839" w:rsidRPr="0001418D" w:rsidRDefault="00770839" w:rsidP="00CF590F">
            <w:pPr>
              <w:keepNext/>
              <w:rPr>
                <w:szCs w:val="22"/>
                <w:lang w:val="cs-CZ"/>
              </w:rPr>
            </w:pPr>
          </w:p>
        </w:tc>
      </w:tr>
      <w:tr w:rsidR="00770839" w:rsidRPr="0001418D" w:rsidTr="00CF590F">
        <w:trPr>
          <w:trHeight w:val="80"/>
        </w:trPr>
        <w:tc>
          <w:tcPr>
            <w:tcW w:w="3028"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 xml:space="preserve">      S non-α-</w:t>
            </w:r>
            <w:r w:rsidR="006F4F69" w:rsidRPr="0001418D">
              <w:rPr>
                <w:szCs w:val="22"/>
                <w:lang w:val="cs-CZ"/>
              </w:rPr>
              <w:t>2 </w:t>
            </w:r>
            <w:r w:rsidRPr="0001418D">
              <w:rPr>
                <w:szCs w:val="22"/>
                <w:lang w:val="cs-CZ"/>
              </w:rPr>
              <w:t>agonisty (na bázi acepromazinu)</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4,</w:t>
            </w:r>
            <w:r w:rsidR="006F4F69" w:rsidRPr="0001418D">
              <w:rPr>
                <w:szCs w:val="22"/>
                <w:lang w:val="cs-CZ"/>
              </w:rPr>
              <w:t>0 </w:t>
            </w:r>
            <w:r w:rsidRPr="0001418D">
              <w:rPr>
                <w:szCs w:val="22"/>
                <w:lang w:val="cs-CZ"/>
              </w:rPr>
              <w:t>mg/kg</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0,40 ml/kg</w:t>
            </w:r>
          </w:p>
        </w:tc>
      </w:tr>
      <w:tr w:rsidR="00770839" w:rsidRPr="0001418D" w:rsidTr="00CF590F">
        <w:trPr>
          <w:trHeight w:val="148"/>
        </w:trPr>
        <w:tc>
          <w:tcPr>
            <w:tcW w:w="3028" w:type="pct"/>
            <w:tcBorders>
              <w:top w:val="nil"/>
              <w:left w:val="nil"/>
              <w:bottom w:val="single" w:sz="4" w:space="0" w:color="auto"/>
              <w:right w:val="nil"/>
            </w:tcBorders>
            <w:vAlign w:val="center"/>
          </w:tcPr>
          <w:p w:rsidR="00770839" w:rsidRPr="0001418D" w:rsidRDefault="00770839" w:rsidP="00CF590F">
            <w:pPr>
              <w:keepNext/>
              <w:rPr>
                <w:szCs w:val="22"/>
                <w:lang w:val="cs-CZ"/>
              </w:rPr>
            </w:pPr>
            <w:r w:rsidRPr="0001418D">
              <w:rPr>
                <w:szCs w:val="22"/>
                <w:lang w:val="cs-CZ"/>
              </w:rPr>
              <w:t xml:space="preserve">      S α-</w:t>
            </w:r>
            <w:r w:rsidR="006F4F69" w:rsidRPr="0001418D">
              <w:rPr>
                <w:szCs w:val="22"/>
                <w:lang w:val="cs-CZ"/>
              </w:rPr>
              <w:t>2 </w:t>
            </w:r>
            <w:r w:rsidRPr="0001418D">
              <w:rPr>
                <w:szCs w:val="22"/>
                <w:lang w:val="cs-CZ"/>
              </w:rPr>
              <w:t>agonisty</w:t>
            </w:r>
          </w:p>
        </w:tc>
        <w:tc>
          <w:tcPr>
            <w:tcW w:w="986" w:type="pct"/>
            <w:tcBorders>
              <w:top w:val="nil"/>
              <w:left w:val="nil"/>
              <w:bottom w:val="single" w:sz="4" w:space="0" w:color="auto"/>
              <w:right w:val="nil"/>
            </w:tcBorders>
            <w:vAlign w:val="center"/>
          </w:tcPr>
          <w:p w:rsidR="00770839" w:rsidRPr="0001418D" w:rsidRDefault="00770839" w:rsidP="00CF590F">
            <w:pPr>
              <w:keepNext/>
              <w:rPr>
                <w:szCs w:val="22"/>
                <w:lang w:val="cs-CZ"/>
              </w:rPr>
            </w:pPr>
            <w:r w:rsidRPr="0001418D">
              <w:rPr>
                <w:szCs w:val="22"/>
                <w:lang w:val="cs-CZ"/>
              </w:rPr>
              <w:t>2,</w:t>
            </w:r>
            <w:r w:rsidR="006F4F69" w:rsidRPr="0001418D">
              <w:rPr>
                <w:szCs w:val="22"/>
                <w:lang w:val="cs-CZ"/>
              </w:rPr>
              <w:t>0 </w:t>
            </w:r>
            <w:r w:rsidRPr="0001418D">
              <w:rPr>
                <w:szCs w:val="22"/>
                <w:lang w:val="cs-CZ"/>
              </w:rPr>
              <w:t>mg/kg</w:t>
            </w:r>
          </w:p>
        </w:tc>
        <w:tc>
          <w:tcPr>
            <w:tcW w:w="986" w:type="pct"/>
            <w:tcBorders>
              <w:top w:val="nil"/>
              <w:left w:val="nil"/>
              <w:bottom w:val="single" w:sz="4" w:space="0" w:color="auto"/>
              <w:right w:val="nil"/>
            </w:tcBorders>
            <w:vAlign w:val="center"/>
          </w:tcPr>
          <w:p w:rsidR="00770839" w:rsidRPr="0001418D" w:rsidRDefault="00770839" w:rsidP="00CF590F">
            <w:pPr>
              <w:keepNext/>
              <w:rPr>
                <w:szCs w:val="22"/>
                <w:lang w:val="cs-CZ"/>
              </w:rPr>
            </w:pPr>
            <w:r w:rsidRPr="0001418D">
              <w:rPr>
                <w:szCs w:val="22"/>
                <w:lang w:val="cs-CZ"/>
              </w:rPr>
              <w:t>0,20 ml/kg</w:t>
            </w:r>
          </w:p>
        </w:tc>
      </w:tr>
      <w:tr w:rsidR="00770839" w:rsidRPr="0001418D" w:rsidTr="00CF590F">
        <w:trPr>
          <w:trHeight w:val="172"/>
        </w:trPr>
        <w:tc>
          <w:tcPr>
            <w:tcW w:w="3028" w:type="pct"/>
            <w:tcBorders>
              <w:top w:val="single" w:sz="4" w:space="0" w:color="auto"/>
              <w:left w:val="nil"/>
              <w:bottom w:val="nil"/>
              <w:right w:val="nil"/>
            </w:tcBorders>
            <w:vAlign w:val="center"/>
          </w:tcPr>
          <w:p w:rsidR="00770839" w:rsidRPr="0001418D" w:rsidRDefault="00770839" w:rsidP="00CF590F">
            <w:pPr>
              <w:keepNext/>
              <w:rPr>
                <w:b/>
                <w:bCs/>
                <w:szCs w:val="22"/>
                <w:lang w:val="cs-CZ"/>
              </w:rPr>
            </w:pPr>
            <w:r w:rsidRPr="0001418D">
              <w:rPr>
                <w:b/>
                <w:bCs/>
                <w:szCs w:val="22"/>
                <w:lang w:val="cs-CZ"/>
              </w:rPr>
              <w:t>KOČKY</w:t>
            </w:r>
          </w:p>
        </w:tc>
        <w:tc>
          <w:tcPr>
            <w:tcW w:w="986" w:type="pct"/>
            <w:tcBorders>
              <w:top w:val="single" w:sz="4" w:space="0" w:color="auto"/>
              <w:left w:val="nil"/>
              <w:bottom w:val="nil"/>
              <w:right w:val="nil"/>
            </w:tcBorders>
            <w:vAlign w:val="center"/>
          </w:tcPr>
          <w:p w:rsidR="00770839" w:rsidRPr="0001418D" w:rsidRDefault="00770839" w:rsidP="00CF590F">
            <w:pPr>
              <w:keepNext/>
              <w:rPr>
                <w:szCs w:val="22"/>
                <w:lang w:val="cs-CZ"/>
              </w:rPr>
            </w:pPr>
          </w:p>
        </w:tc>
        <w:tc>
          <w:tcPr>
            <w:tcW w:w="986" w:type="pct"/>
            <w:tcBorders>
              <w:top w:val="single" w:sz="4" w:space="0" w:color="auto"/>
              <w:left w:val="nil"/>
              <w:bottom w:val="nil"/>
              <w:right w:val="nil"/>
            </w:tcBorders>
            <w:vAlign w:val="center"/>
          </w:tcPr>
          <w:p w:rsidR="00770839" w:rsidRPr="0001418D" w:rsidRDefault="00770839" w:rsidP="00CF590F">
            <w:pPr>
              <w:keepNext/>
              <w:rPr>
                <w:szCs w:val="22"/>
                <w:lang w:val="cs-CZ"/>
              </w:rPr>
            </w:pPr>
          </w:p>
        </w:tc>
      </w:tr>
      <w:tr w:rsidR="00770839" w:rsidRPr="0001418D" w:rsidTr="00CF590F">
        <w:trPr>
          <w:trHeight w:val="80"/>
        </w:trPr>
        <w:tc>
          <w:tcPr>
            <w:tcW w:w="3028" w:type="pct"/>
            <w:tcBorders>
              <w:top w:val="nil"/>
              <w:left w:val="nil"/>
              <w:bottom w:val="nil"/>
              <w:right w:val="nil"/>
            </w:tcBorders>
            <w:vAlign w:val="center"/>
          </w:tcPr>
          <w:p w:rsidR="00770839" w:rsidRPr="0001418D" w:rsidRDefault="00AA451F" w:rsidP="00CF590F">
            <w:pPr>
              <w:keepNext/>
              <w:rPr>
                <w:szCs w:val="22"/>
                <w:lang w:val="cs-CZ"/>
              </w:rPr>
            </w:pPr>
            <w:r>
              <w:rPr>
                <w:sz w:val="22"/>
                <w:szCs w:val="22"/>
                <w:lang w:val="cs-CZ"/>
              </w:rPr>
              <w:t xml:space="preserve">Bez </w:t>
            </w:r>
            <w:r w:rsidRPr="0001418D">
              <w:rPr>
                <w:sz w:val="22"/>
                <w:szCs w:val="22"/>
                <w:lang w:val="cs-CZ"/>
              </w:rPr>
              <w:t>premedik</w:t>
            </w:r>
            <w:r>
              <w:rPr>
                <w:sz w:val="22"/>
                <w:szCs w:val="22"/>
                <w:lang w:val="cs-CZ"/>
              </w:rPr>
              <w:t>ace</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8,</w:t>
            </w:r>
            <w:r w:rsidR="006F4F69" w:rsidRPr="0001418D">
              <w:rPr>
                <w:szCs w:val="22"/>
                <w:lang w:val="cs-CZ"/>
              </w:rPr>
              <w:t>0 </w:t>
            </w:r>
            <w:r w:rsidRPr="0001418D">
              <w:rPr>
                <w:szCs w:val="22"/>
                <w:lang w:val="cs-CZ"/>
              </w:rPr>
              <w:t>mg/kg</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0,80 ml/kg</w:t>
            </w:r>
          </w:p>
        </w:tc>
      </w:tr>
      <w:tr w:rsidR="00770839" w:rsidRPr="0001418D" w:rsidTr="00CF590F">
        <w:trPr>
          <w:trHeight w:val="80"/>
        </w:trPr>
        <w:tc>
          <w:tcPr>
            <w:tcW w:w="3028"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Premedikované</w:t>
            </w:r>
          </w:p>
        </w:tc>
        <w:tc>
          <w:tcPr>
            <w:tcW w:w="986" w:type="pct"/>
            <w:tcBorders>
              <w:top w:val="nil"/>
              <w:left w:val="nil"/>
              <w:bottom w:val="nil"/>
              <w:right w:val="nil"/>
            </w:tcBorders>
            <w:vAlign w:val="center"/>
          </w:tcPr>
          <w:p w:rsidR="00770839" w:rsidRPr="0001418D" w:rsidRDefault="00770839" w:rsidP="00CF590F">
            <w:pPr>
              <w:keepNext/>
              <w:rPr>
                <w:szCs w:val="22"/>
                <w:lang w:val="cs-CZ"/>
              </w:rPr>
            </w:pPr>
          </w:p>
        </w:tc>
        <w:tc>
          <w:tcPr>
            <w:tcW w:w="986" w:type="pct"/>
            <w:tcBorders>
              <w:top w:val="nil"/>
              <w:left w:val="nil"/>
              <w:bottom w:val="nil"/>
              <w:right w:val="nil"/>
            </w:tcBorders>
            <w:vAlign w:val="center"/>
          </w:tcPr>
          <w:p w:rsidR="00770839" w:rsidRPr="0001418D" w:rsidRDefault="00770839" w:rsidP="00CF590F">
            <w:pPr>
              <w:keepNext/>
              <w:rPr>
                <w:szCs w:val="22"/>
                <w:lang w:val="cs-CZ"/>
              </w:rPr>
            </w:pPr>
          </w:p>
        </w:tc>
      </w:tr>
      <w:tr w:rsidR="00770839" w:rsidRPr="0001418D" w:rsidTr="00CF590F">
        <w:trPr>
          <w:trHeight w:val="80"/>
        </w:trPr>
        <w:tc>
          <w:tcPr>
            <w:tcW w:w="3028"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 xml:space="preserve">      S non-α-</w:t>
            </w:r>
            <w:r w:rsidR="006F4F69" w:rsidRPr="0001418D">
              <w:rPr>
                <w:szCs w:val="22"/>
                <w:lang w:val="cs-CZ"/>
              </w:rPr>
              <w:t>2 </w:t>
            </w:r>
            <w:r w:rsidRPr="0001418D">
              <w:rPr>
                <w:szCs w:val="22"/>
                <w:lang w:val="cs-CZ"/>
              </w:rPr>
              <w:t>agonisty (na bázi acepromazinu)</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6,</w:t>
            </w:r>
            <w:r w:rsidR="006F4F69" w:rsidRPr="0001418D">
              <w:rPr>
                <w:szCs w:val="22"/>
                <w:lang w:val="cs-CZ"/>
              </w:rPr>
              <w:t>0 </w:t>
            </w:r>
            <w:r w:rsidRPr="0001418D">
              <w:rPr>
                <w:szCs w:val="22"/>
                <w:lang w:val="cs-CZ"/>
              </w:rPr>
              <w:t>mg/kg</w:t>
            </w:r>
          </w:p>
        </w:tc>
        <w:tc>
          <w:tcPr>
            <w:tcW w:w="986" w:type="pct"/>
            <w:tcBorders>
              <w:top w:val="nil"/>
              <w:left w:val="nil"/>
              <w:bottom w:val="nil"/>
              <w:right w:val="nil"/>
            </w:tcBorders>
            <w:vAlign w:val="center"/>
          </w:tcPr>
          <w:p w:rsidR="00770839" w:rsidRPr="0001418D" w:rsidRDefault="00770839" w:rsidP="00CF590F">
            <w:pPr>
              <w:keepNext/>
              <w:rPr>
                <w:szCs w:val="22"/>
                <w:lang w:val="cs-CZ"/>
              </w:rPr>
            </w:pPr>
            <w:r w:rsidRPr="0001418D">
              <w:rPr>
                <w:szCs w:val="22"/>
                <w:lang w:val="cs-CZ"/>
              </w:rPr>
              <w:t>0,60 ml/kg</w:t>
            </w:r>
          </w:p>
        </w:tc>
      </w:tr>
      <w:tr w:rsidR="00770839" w:rsidRPr="0001418D" w:rsidTr="00CF590F">
        <w:trPr>
          <w:trHeight w:val="80"/>
        </w:trPr>
        <w:tc>
          <w:tcPr>
            <w:tcW w:w="3028" w:type="pct"/>
            <w:tcBorders>
              <w:top w:val="nil"/>
              <w:left w:val="nil"/>
              <w:bottom w:val="single" w:sz="4" w:space="0" w:color="auto"/>
              <w:right w:val="nil"/>
            </w:tcBorders>
            <w:vAlign w:val="center"/>
          </w:tcPr>
          <w:p w:rsidR="00770839" w:rsidRPr="0001418D" w:rsidRDefault="00770839" w:rsidP="00CF590F">
            <w:pPr>
              <w:keepNext/>
              <w:rPr>
                <w:szCs w:val="22"/>
                <w:lang w:val="cs-CZ"/>
              </w:rPr>
            </w:pPr>
            <w:r w:rsidRPr="0001418D">
              <w:rPr>
                <w:szCs w:val="22"/>
                <w:lang w:val="cs-CZ"/>
              </w:rPr>
              <w:t xml:space="preserve">      S α-</w:t>
            </w:r>
            <w:r w:rsidR="006F4F69" w:rsidRPr="0001418D">
              <w:rPr>
                <w:szCs w:val="22"/>
                <w:lang w:val="cs-CZ"/>
              </w:rPr>
              <w:t>2 </w:t>
            </w:r>
            <w:r w:rsidRPr="0001418D">
              <w:rPr>
                <w:szCs w:val="22"/>
                <w:lang w:val="cs-CZ"/>
              </w:rPr>
              <w:t>agonisty</w:t>
            </w:r>
          </w:p>
        </w:tc>
        <w:tc>
          <w:tcPr>
            <w:tcW w:w="986" w:type="pct"/>
            <w:tcBorders>
              <w:top w:val="nil"/>
              <w:left w:val="nil"/>
              <w:bottom w:val="single" w:sz="4" w:space="0" w:color="auto"/>
              <w:right w:val="nil"/>
            </w:tcBorders>
            <w:vAlign w:val="center"/>
          </w:tcPr>
          <w:p w:rsidR="00770839" w:rsidRPr="0001418D" w:rsidRDefault="00770839" w:rsidP="00CF590F">
            <w:pPr>
              <w:rPr>
                <w:szCs w:val="22"/>
                <w:lang w:val="cs-CZ"/>
              </w:rPr>
            </w:pPr>
            <w:r w:rsidRPr="0001418D">
              <w:rPr>
                <w:szCs w:val="22"/>
                <w:lang w:val="cs-CZ"/>
              </w:rPr>
              <w:t>4,</w:t>
            </w:r>
            <w:r w:rsidR="006F4F69" w:rsidRPr="0001418D">
              <w:rPr>
                <w:szCs w:val="22"/>
                <w:lang w:val="cs-CZ"/>
              </w:rPr>
              <w:t>5 </w:t>
            </w:r>
            <w:r w:rsidRPr="0001418D">
              <w:rPr>
                <w:szCs w:val="22"/>
                <w:lang w:val="cs-CZ"/>
              </w:rPr>
              <w:t>mg/kg</w:t>
            </w:r>
          </w:p>
        </w:tc>
        <w:tc>
          <w:tcPr>
            <w:tcW w:w="986" w:type="pct"/>
            <w:tcBorders>
              <w:top w:val="nil"/>
              <w:left w:val="nil"/>
              <w:bottom w:val="single" w:sz="4" w:space="0" w:color="auto"/>
              <w:right w:val="nil"/>
            </w:tcBorders>
            <w:vAlign w:val="center"/>
          </w:tcPr>
          <w:p w:rsidR="00770839" w:rsidRPr="0001418D" w:rsidRDefault="00770839" w:rsidP="00CF590F">
            <w:pPr>
              <w:rPr>
                <w:szCs w:val="22"/>
                <w:lang w:val="cs-CZ"/>
              </w:rPr>
            </w:pPr>
            <w:r w:rsidRPr="0001418D">
              <w:rPr>
                <w:szCs w:val="22"/>
                <w:lang w:val="cs-CZ"/>
              </w:rPr>
              <w:t>0,45 ml/kg</w:t>
            </w:r>
          </w:p>
        </w:tc>
      </w:tr>
    </w:tbl>
    <w:p w:rsidR="00770839" w:rsidRPr="0001418D" w:rsidRDefault="00770839" w:rsidP="00770839">
      <w:pPr>
        <w:rPr>
          <w:szCs w:val="22"/>
          <w:lang w:val="cs-CZ"/>
        </w:rPr>
      </w:pPr>
    </w:p>
    <w:p w:rsidR="00770839" w:rsidRPr="0001418D" w:rsidRDefault="00770839" w:rsidP="00770839">
      <w:pPr>
        <w:rPr>
          <w:szCs w:val="22"/>
          <w:u w:val="single"/>
          <w:lang w:val="cs-CZ"/>
        </w:rPr>
      </w:pPr>
    </w:p>
    <w:p w:rsidR="00770839" w:rsidRPr="0001418D" w:rsidRDefault="00770839" w:rsidP="00770839">
      <w:pPr>
        <w:rPr>
          <w:szCs w:val="22"/>
          <w:u w:val="single"/>
          <w:lang w:val="cs-CZ"/>
        </w:rPr>
      </w:pPr>
      <w:r w:rsidRPr="0001418D">
        <w:rPr>
          <w:szCs w:val="22"/>
          <w:u w:val="single"/>
          <w:lang w:val="cs-CZ"/>
        </w:rPr>
        <w:t>Propofol byl použit jako indukční činidlo v kombinaci s dalšími premedikačními režimy, další podrobnosti viz bod 1</w:t>
      </w:r>
      <w:r w:rsidR="006F4F69" w:rsidRPr="0001418D">
        <w:rPr>
          <w:szCs w:val="22"/>
          <w:u w:val="single"/>
          <w:lang w:val="cs-CZ"/>
        </w:rPr>
        <w:t>2 </w:t>
      </w:r>
      <w:r w:rsidRPr="0001418D">
        <w:rPr>
          <w:szCs w:val="22"/>
          <w:u w:val="single"/>
          <w:lang w:val="cs-CZ"/>
        </w:rPr>
        <w:t>(Interakce).</w:t>
      </w:r>
    </w:p>
    <w:p w:rsidR="00770839" w:rsidRPr="0001418D" w:rsidRDefault="00770839" w:rsidP="00770839">
      <w:pPr>
        <w:rPr>
          <w:szCs w:val="22"/>
          <w:u w:val="single"/>
          <w:lang w:val="cs-CZ"/>
        </w:rPr>
      </w:pPr>
    </w:p>
    <w:p w:rsidR="00770839" w:rsidRPr="0001418D" w:rsidRDefault="00770839" w:rsidP="00770839">
      <w:pPr>
        <w:keepNext/>
        <w:rPr>
          <w:szCs w:val="22"/>
          <w:lang w:val="cs-CZ"/>
        </w:rPr>
      </w:pPr>
      <w:r w:rsidRPr="0001418D">
        <w:rPr>
          <w:szCs w:val="22"/>
          <w:u w:val="single"/>
          <w:lang w:val="cs-CZ"/>
        </w:rPr>
        <w:t>Udržování anestezie:</w:t>
      </w:r>
    </w:p>
    <w:p w:rsidR="00590BB1" w:rsidRPr="00590BB1" w:rsidRDefault="00590BB1" w:rsidP="00590BB1">
      <w:pPr>
        <w:rPr>
          <w:szCs w:val="22"/>
          <w:lang w:val="cs-CZ"/>
        </w:rPr>
      </w:pPr>
      <w:r w:rsidRPr="00590BB1">
        <w:rPr>
          <w:szCs w:val="22"/>
          <w:lang w:val="cs-CZ"/>
        </w:rPr>
        <w:t>Po úvodu do anestezie veterinárním léčivým přípravkem může být zvíře intubováno a anestézie udržována veterinárním léčivým přípravkem nebo inhalačním anestetikem. Udržovací dávky veterinárního léčivého přípravku mohou být podávány jako opakované bolusové injekce nebo jako kontinuální infuze. Kontinuální a dlouho trvající anestezie může vést k pomalejšímu zotavení, zvláště u koček.</w:t>
      </w:r>
    </w:p>
    <w:p w:rsidR="00770839" w:rsidRPr="0001418D" w:rsidRDefault="00770839" w:rsidP="00770839">
      <w:pPr>
        <w:keepNext/>
        <w:rPr>
          <w:i/>
          <w:szCs w:val="22"/>
          <w:lang w:val="cs-CZ"/>
        </w:rPr>
      </w:pPr>
      <w:r w:rsidRPr="0001418D">
        <w:rPr>
          <w:i/>
          <w:iCs/>
          <w:szCs w:val="22"/>
          <w:lang w:val="cs-CZ"/>
        </w:rPr>
        <w:t>Opakovaná bolusová injekce:</w:t>
      </w:r>
    </w:p>
    <w:p w:rsidR="00770839" w:rsidRPr="0001418D" w:rsidRDefault="00770839" w:rsidP="00770839">
      <w:pPr>
        <w:rPr>
          <w:szCs w:val="22"/>
          <w:lang w:val="cs-CZ"/>
        </w:rPr>
      </w:pPr>
      <w:r w:rsidRPr="0001418D">
        <w:rPr>
          <w:szCs w:val="22"/>
          <w:lang w:val="cs-CZ"/>
        </w:rPr>
        <w:t>Pokud je anestezie udržována opakovanými bolusovými injekcemi, rychlost dávkování a doba trvání účinku se u jednotlivých zvířat liší. Zvyšující se dávka, přibližně 1–</w:t>
      </w:r>
      <w:r w:rsidR="006F4F69" w:rsidRPr="0001418D">
        <w:rPr>
          <w:szCs w:val="22"/>
          <w:lang w:val="cs-CZ"/>
        </w:rPr>
        <w:t>2 </w:t>
      </w:r>
      <w:r w:rsidRPr="0001418D">
        <w:rPr>
          <w:szCs w:val="22"/>
          <w:lang w:val="cs-CZ"/>
        </w:rPr>
        <w:t xml:space="preserve">mg/kg (0,1–0,2 ml/kg ž. hm.) u psů a 0,5–2 mg/kg (0,05–0,2 ml/kg ž. hm.) u koček, může být podána, pokud se anestezie stává příliš </w:t>
      </w:r>
      <w:r w:rsidR="00C41E85">
        <w:rPr>
          <w:szCs w:val="22"/>
          <w:lang w:val="cs-CZ"/>
        </w:rPr>
        <w:t>mělkou</w:t>
      </w:r>
      <w:r w:rsidRPr="0001418D">
        <w:rPr>
          <w:szCs w:val="22"/>
          <w:lang w:val="cs-CZ"/>
        </w:rPr>
        <w:t xml:space="preserve">. Tuto dávku lze </w:t>
      </w:r>
      <w:r w:rsidR="007223E9" w:rsidRPr="0001418D">
        <w:rPr>
          <w:szCs w:val="22"/>
          <w:lang w:val="cs-CZ"/>
        </w:rPr>
        <w:t>opakovaně podat podle potřeby k </w:t>
      </w:r>
      <w:r w:rsidRPr="0001418D">
        <w:rPr>
          <w:szCs w:val="22"/>
          <w:lang w:val="cs-CZ"/>
        </w:rPr>
        <w:t>udržení požadované hloubky anestezie.</w:t>
      </w:r>
    </w:p>
    <w:p w:rsidR="00590BB1" w:rsidRPr="0001418D" w:rsidRDefault="00590BB1" w:rsidP="00590BB1">
      <w:pPr>
        <w:keepNext/>
        <w:rPr>
          <w:i/>
          <w:sz w:val="22"/>
          <w:szCs w:val="22"/>
          <w:lang w:val="cs-CZ"/>
        </w:rPr>
      </w:pPr>
      <w:r>
        <w:rPr>
          <w:i/>
          <w:iCs/>
          <w:sz w:val="22"/>
          <w:szCs w:val="22"/>
          <w:lang w:val="cs-CZ"/>
        </w:rPr>
        <w:t>Kontinuální</w:t>
      </w:r>
      <w:r w:rsidRPr="0001418D">
        <w:rPr>
          <w:i/>
          <w:iCs/>
          <w:sz w:val="22"/>
          <w:szCs w:val="22"/>
          <w:lang w:val="cs-CZ"/>
        </w:rPr>
        <w:t xml:space="preserve"> infuze:</w:t>
      </w:r>
    </w:p>
    <w:p w:rsidR="00590BB1" w:rsidRPr="0001418D" w:rsidRDefault="00590BB1" w:rsidP="00590BB1">
      <w:pPr>
        <w:rPr>
          <w:sz w:val="22"/>
          <w:szCs w:val="22"/>
          <w:lang w:val="cs-CZ"/>
        </w:rPr>
      </w:pPr>
      <w:r w:rsidRPr="0001418D">
        <w:rPr>
          <w:sz w:val="22"/>
          <w:szCs w:val="22"/>
          <w:lang w:val="cs-CZ"/>
        </w:rPr>
        <w:t xml:space="preserve">Pro </w:t>
      </w:r>
      <w:r>
        <w:rPr>
          <w:sz w:val="22"/>
          <w:szCs w:val="22"/>
          <w:lang w:val="cs-CZ"/>
        </w:rPr>
        <w:t>kontinuální</w:t>
      </w:r>
      <w:r w:rsidRPr="0001418D">
        <w:rPr>
          <w:sz w:val="22"/>
          <w:szCs w:val="22"/>
          <w:lang w:val="cs-CZ"/>
        </w:rPr>
        <w:t xml:space="preserve"> infuzní anestezii je doporučená počáteční dávka 0,3</w:t>
      </w:r>
      <w:bookmarkStart w:id="2" w:name="_Hlk500150214"/>
      <w:r w:rsidRPr="0001418D">
        <w:rPr>
          <w:sz w:val="22"/>
          <w:szCs w:val="22"/>
          <w:lang w:val="cs-CZ"/>
        </w:rPr>
        <w:t>–</w:t>
      </w:r>
      <w:bookmarkEnd w:id="2"/>
      <w:r w:rsidRPr="0001418D">
        <w:rPr>
          <w:sz w:val="22"/>
          <w:szCs w:val="22"/>
          <w:lang w:val="cs-CZ"/>
        </w:rPr>
        <w:t xml:space="preserve">0,4 mg/kg/min (1,8–2,4 ml/kg/hod) u psů a 0,2–0,3 mg/kg/min (1,2–1,8 ml/kg/hod) u koček. Podání </w:t>
      </w:r>
      <w:r>
        <w:rPr>
          <w:sz w:val="22"/>
          <w:szCs w:val="22"/>
          <w:lang w:val="cs-CZ"/>
        </w:rPr>
        <w:t>preanestetik</w:t>
      </w:r>
      <w:r w:rsidRPr="0001418D">
        <w:rPr>
          <w:sz w:val="22"/>
          <w:szCs w:val="22"/>
          <w:lang w:val="cs-CZ"/>
        </w:rPr>
        <w:t xml:space="preserve"> (pre-medikace) nebo souběžná infuze např. ketamin</w:t>
      </w:r>
      <w:r>
        <w:rPr>
          <w:sz w:val="22"/>
          <w:szCs w:val="22"/>
          <w:lang w:val="cs-CZ"/>
        </w:rPr>
        <w:t>u</w:t>
      </w:r>
      <w:r w:rsidRPr="0001418D">
        <w:rPr>
          <w:sz w:val="22"/>
          <w:szCs w:val="22"/>
          <w:lang w:val="cs-CZ"/>
        </w:rPr>
        <w:t xml:space="preserve"> nebo opioid</w:t>
      </w:r>
      <w:r>
        <w:rPr>
          <w:sz w:val="22"/>
          <w:szCs w:val="22"/>
          <w:lang w:val="cs-CZ"/>
        </w:rPr>
        <w:t>ů</w:t>
      </w:r>
      <w:r w:rsidRPr="0001418D">
        <w:rPr>
          <w:sz w:val="22"/>
          <w:szCs w:val="22"/>
          <w:lang w:val="cs-CZ"/>
        </w:rPr>
        <w:t xml:space="preserve"> může významně snížit požadavky na propofol v závislosti na typu a dávce používaných léků. Skutečná rychlost infuze by měla být založena </w:t>
      </w:r>
      <w:r w:rsidRPr="006A0DF5">
        <w:rPr>
          <w:sz w:val="22"/>
          <w:szCs w:val="22"/>
          <w:lang w:val="cs-CZ"/>
        </w:rPr>
        <w:t xml:space="preserve">na odpovědi jednotlivého pacienta a </w:t>
      </w:r>
      <w:r w:rsidRPr="00FF6B4D">
        <w:rPr>
          <w:sz w:val="22"/>
          <w:szCs w:val="22"/>
          <w:lang w:val="cs-CZ"/>
        </w:rPr>
        <w:t>na požadované hloubce anestezie a může být upravena zvýšením o</w:t>
      </w:r>
      <w:r w:rsidRPr="006A0DF5">
        <w:rPr>
          <w:sz w:val="22"/>
          <w:szCs w:val="22"/>
          <w:lang w:val="cs-CZ"/>
        </w:rPr>
        <w:t xml:space="preserve"> </w:t>
      </w:r>
      <w:r w:rsidRPr="00FF6B4D">
        <w:rPr>
          <w:sz w:val="22"/>
          <w:szCs w:val="22"/>
          <w:lang w:val="cs-CZ"/>
        </w:rPr>
        <w:t>0,01–0,05 mg/kg/minutu (0,06–0,3 ml/kg/hod) na základě posouzení hloubky anestezie</w:t>
      </w:r>
      <w:r>
        <w:rPr>
          <w:sz w:val="22"/>
          <w:szCs w:val="22"/>
          <w:lang w:val="cs-CZ"/>
        </w:rPr>
        <w:t xml:space="preserve"> </w:t>
      </w:r>
      <w:r w:rsidRPr="0001418D">
        <w:rPr>
          <w:sz w:val="22"/>
          <w:szCs w:val="22"/>
          <w:lang w:val="cs-CZ"/>
        </w:rPr>
        <w:t xml:space="preserve">a kardiovaskulární odpovědi. Je-li </w:t>
      </w:r>
      <w:r>
        <w:rPr>
          <w:sz w:val="22"/>
          <w:szCs w:val="22"/>
          <w:lang w:val="cs-CZ"/>
        </w:rPr>
        <w:t>požadováno</w:t>
      </w:r>
      <w:r w:rsidRPr="0001418D">
        <w:rPr>
          <w:sz w:val="22"/>
          <w:szCs w:val="22"/>
          <w:lang w:val="cs-CZ"/>
        </w:rPr>
        <w:t xml:space="preserve"> rychlé zvýšení hloubky anestezie, je možné přidat další bolus propofolu (0,5–1 mg/kg [0,05–0,1 ml/kg] u psů a 0,2–0,5 mg/kg [0,02–0,05 ml/kg] u koček).</w:t>
      </w:r>
    </w:p>
    <w:p w:rsidR="00770839" w:rsidRPr="0001418D" w:rsidRDefault="00770839" w:rsidP="00770839">
      <w:pPr>
        <w:rPr>
          <w:iCs/>
          <w:szCs w:val="22"/>
          <w:lang w:val="cs-CZ"/>
        </w:rPr>
      </w:pPr>
    </w:p>
    <w:p w:rsidR="00770839" w:rsidRPr="0001418D" w:rsidRDefault="00770839" w:rsidP="00770839">
      <w:pPr>
        <w:rPr>
          <w:iCs/>
          <w:szCs w:val="22"/>
          <w:lang w:val="cs-CZ"/>
        </w:rPr>
      </w:pPr>
    </w:p>
    <w:p w:rsidR="00770839" w:rsidRPr="0001418D" w:rsidRDefault="00770839" w:rsidP="00770839">
      <w:pPr>
        <w:rPr>
          <w:szCs w:val="22"/>
          <w:lang w:val="cs-CZ"/>
        </w:rPr>
      </w:pPr>
      <w:r w:rsidRPr="00027658">
        <w:rPr>
          <w:b/>
          <w:bCs/>
          <w:szCs w:val="22"/>
          <w:highlight w:val="lightGray"/>
          <w:lang w:val="cs-CZ"/>
        </w:rPr>
        <w:t>9.</w:t>
      </w:r>
      <w:r w:rsidRPr="0001418D">
        <w:rPr>
          <w:b/>
          <w:bCs/>
          <w:szCs w:val="22"/>
          <w:lang w:val="cs-CZ"/>
        </w:rPr>
        <w:tab/>
        <w:t>POKYNY PRO SPRÁVNÉ PODÁNÍ</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lang w:val="cs-CZ"/>
        </w:rPr>
        <w:t>Injekční lahvičku je třeba před použitím pečlivě protřepat. Viz bod 1</w:t>
      </w:r>
      <w:r w:rsidR="006F4F69" w:rsidRPr="0001418D">
        <w:rPr>
          <w:szCs w:val="22"/>
          <w:lang w:val="cs-CZ"/>
        </w:rPr>
        <w:t>2 </w:t>
      </w:r>
      <w:r w:rsidRPr="0001418D">
        <w:rPr>
          <w:szCs w:val="22"/>
          <w:lang w:val="cs-CZ"/>
        </w:rPr>
        <w:t>(Zvláštní upozornění pro každý cílový druh).</w:t>
      </w: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r w:rsidRPr="00027658">
        <w:rPr>
          <w:b/>
          <w:bCs/>
          <w:szCs w:val="22"/>
          <w:highlight w:val="lightGray"/>
          <w:lang w:val="cs-CZ"/>
        </w:rPr>
        <w:t>10.</w:t>
      </w:r>
      <w:r w:rsidRPr="0001418D">
        <w:rPr>
          <w:b/>
          <w:bCs/>
          <w:szCs w:val="22"/>
          <w:lang w:val="cs-CZ"/>
        </w:rPr>
        <w:tab/>
        <w:t>OCHRANNÁ</w:t>
      </w:r>
      <w:r w:rsidR="00402888">
        <w:rPr>
          <w:b/>
          <w:bCs/>
          <w:szCs w:val="22"/>
          <w:lang w:val="cs-CZ"/>
        </w:rPr>
        <w:t>(É)</w:t>
      </w:r>
      <w:r w:rsidRPr="0001418D">
        <w:rPr>
          <w:b/>
          <w:bCs/>
          <w:szCs w:val="22"/>
          <w:lang w:val="cs-CZ"/>
        </w:rPr>
        <w:t xml:space="preserve"> LHŮTA</w:t>
      </w:r>
      <w:r w:rsidR="00402888">
        <w:rPr>
          <w:b/>
          <w:bCs/>
          <w:szCs w:val="22"/>
          <w:lang w:val="cs-CZ"/>
        </w:rPr>
        <w:t>(Y)</w:t>
      </w:r>
    </w:p>
    <w:p w:rsidR="00770839" w:rsidRPr="0001418D" w:rsidRDefault="00770839" w:rsidP="00770839">
      <w:pPr>
        <w:rPr>
          <w:iCs/>
          <w:szCs w:val="22"/>
          <w:lang w:val="cs-CZ"/>
        </w:rPr>
      </w:pPr>
    </w:p>
    <w:p w:rsidR="00402888" w:rsidRPr="0001418D" w:rsidRDefault="00402888" w:rsidP="00402888">
      <w:pPr>
        <w:rPr>
          <w:sz w:val="22"/>
          <w:szCs w:val="22"/>
          <w:lang w:val="cs-CZ"/>
        </w:rPr>
      </w:pPr>
      <w:r w:rsidRPr="0001418D">
        <w:rPr>
          <w:lang w:val="it-IT"/>
        </w:rPr>
        <w:t>Není určeno pro potravinová zvířata</w:t>
      </w:r>
      <w:r w:rsidRPr="0001418D">
        <w:rPr>
          <w:sz w:val="22"/>
          <w:szCs w:val="22"/>
          <w:lang w:val="cs-CZ"/>
        </w:rPr>
        <w:t>.</w:t>
      </w:r>
    </w:p>
    <w:p w:rsidR="00770839" w:rsidRDefault="00770839" w:rsidP="00770839">
      <w:pPr>
        <w:rPr>
          <w:iCs/>
          <w:szCs w:val="22"/>
          <w:lang w:val="cs-CZ"/>
        </w:rPr>
      </w:pPr>
    </w:p>
    <w:p w:rsidR="00AC7865" w:rsidRPr="0001418D" w:rsidRDefault="00AC7865" w:rsidP="00770839">
      <w:pPr>
        <w:rPr>
          <w:iCs/>
          <w:szCs w:val="22"/>
          <w:lang w:val="cs-CZ"/>
        </w:rPr>
      </w:pPr>
    </w:p>
    <w:p w:rsidR="00770839" w:rsidRPr="0001418D" w:rsidRDefault="00770839" w:rsidP="00770839">
      <w:pPr>
        <w:rPr>
          <w:szCs w:val="22"/>
          <w:lang w:val="cs-CZ"/>
        </w:rPr>
      </w:pPr>
      <w:r w:rsidRPr="00027658">
        <w:rPr>
          <w:b/>
          <w:bCs/>
          <w:szCs w:val="22"/>
          <w:highlight w:val="lightGray"/>
          <w:lang w:val="cs-CZ"/>
        </w:rPr>
        <w:t>11.</w:t>
      </w:r>
      <w:r w:rsidRPr="0001418D">
        <w:rPr>
          <w:b/>
          <w:bCs/>
          <w:szCs w:val="22"/>
          <w:lang w:val="cs-CZ"/>
        </w:rPr>
        <w:tab/>
        <w:t>ZVLÁŠTNÍ OPATŘENÍ PRO UCHOVÁVÁNÍ</w:t>
      </w:r>
    </w:p>
    <w:p w:rsidR="00770839" w:rsidRPr="0001418D" w:rsidRDefault="00770839" w:rsidP="00770839">
      <w:pPr>
        <w:numPr>
          <w:ilvl w:val="12"/>
          <w:numId w:val="0"/>
        </w:numPr>
        <w:rPr>
          <w:szCs w:val="22"/>
          <w:lang w:val="cs-CZ"/>
        </w:rPr>
      </w:pPr>
    </w:p>
    <w:p w:rsidR="00770839" w:rsidRPr="0001418D" w:rsidRDefault="00770839" w:rsidP="00770839">
      <w:pPr>
        <w:rPr>
          <w:szCs w:val="22"/>
          <w:lang w:val="cs-CZ"/>
        </w:rPr>
      </w:pPr>
      <w:r w:rsidRPr="0001418D">
        <w:rPr>
          <w:szCs w:val="22"/>
          <w:lang w:val="cs-CZ"/>
        </w:rPr>
        <w:t>Chraňte před mrazem.</w:t>
      </w:r>
    </w:p>
    <w:p w:rsidR="00770839" w:rsidRPr="0001418D" w:rsidRDefault="00770839" w:rsidP="00770839">
      <w:pPr>
        <w:rPr>
          <w:szCs w:val="22"/>
          <w:lang w:val="cs-CZ"/>
        </w:rPr>
      </w:pPr>
      <w:r w:rsidRPr="0001418D">
        <w:rPr>
          <w:szCs w:val="22"/>
          <w:lang w:val="cs-CZ"/>
        </w:rPr>
        <w:t>Uchovávejte v krabičce, aby byl přípravek chráněn před světlem.</w:t>
      </w:r>
    </w:p>
    <w:p w:rsidR="00770839" w:rsidRPr="0001418D" w:rsidRDefault="00DF58AC" w:rsidP="00770839">
      <w:pPr>
        <w:rPr>
          <w:szCs w:val="22"/>
          <w:lang w:val="cs-CZ"/>
        </w:rPr>
      </w:pPr>
      <w:r w:rsidRPr="00DF58AC">
        <w:rPr>
          <w:szCs w:val="22"/>
          <w:lang w:val="cs-CZ"/>
        </w:rPr>
        <w:t>Přípravek odebraný z lahvičky ihned spotřebujte</w:t>
      </w:r>
      <w:r w:rsidR="007223E9" w:rsidRPr="0001418D">
        <w:rPr>
          <w:szCs w:val="22"/>
          <w:lang w:val="cs-CZ"/>
        </w:rPr>
        <w:t xml:space="preserve">. </w:t>
      </w:r>
      <w:r>
        <w:rPr>
          <w:szCs w:val="22"/>
          <w:lang w:val="cs-CZ"/>
        </w:rPr>
        <w:t>Zbylý</w:t>
      </w:r>
      <w:r w:rsidRPr="0001418D">
        <w:rPr>
          <w:szCs w:val="22"/>
          <w:lang w:val="cs-CZ"/>
        </w:rPr>
        <w:t xml:space="preserve"> </w:t>
      </w:r>
      <w:r w:rsidR="007223E9" w:rsidRPr="0001418D">
        <w:rPr>
          <w:szCs w:val="22"/>
          <w:lang w:val="cs-CZ"/>
        </w:rPr>
        <w:t>přípravek v</w:t>
      </w:r>
      <w:r w:rsidR="00770839" w:rsidRPr="0001418D">
        <w:rPr>
          <w:szCs w:val="22"/>
          <w:lang w:val="cs-CZ"/>
        </w:rPr>
        <w:t xml:space="preserve"> injekční lahvičce </w:t>
      </w:r>
      <w:r>
        <w:rPr>
          <w:szCs w:val="22"/>
          <w:lang w:val="cs-CZ"/>
        </w:rPr>
        <w:t>zlikvidujte</w:t>
      </w:r>
      <w:r w:rsidR="00770839" w:rsidRPr="0001418D">
        <w:rPr>
          <w:szCs w:val="22"/>
          <w:lang w:val="cs-CZ"/>
        </w:rPr>
        <w:t>.</w:t>
      </w:r>
    </w:p>
    <w:p w:rsidR="00770839" w:rsidRPr="0001418D" w:rsidRDefault="00770839" w:rsidP="00770839">
      <w:pPr>
        <w:numPr>
          <w:ilvl w:val="12"/>
          <w:numId w:val="0"/>
        </w:numPr>
        <w:rPr>
          <w:szCs w:val="22"/>
          <w:lang w:val="cs-CZ"/>
        </w:rPr>
      </w:pPr>
      <w:r w:rsidRPr="0001418D">
        <w:rPr>
          <w:szCs w:val="22"/>
          <w:lang w:val="cs-CZ"/>
        </w:rPr>
        <w:t>Uchovávat mimo dohled a dosah dětí.</w:t>
      </w:r>
    </w:p>
    <w:p w:rsidR="00770839" w:rsidRPr="0001418D" w:rsidRDefault="00770839" w:rsidP="00770839">
      <w:pPr>
        <w:numPr>
          <w:ilvl w:val="12"/>
          <w:numId w:val="0"/>
        </w:numPr>
        <w:rPr>
          <w:szCs w:val="22"/>
          <w:lang w:val="cs-CZ"/>
        </w:rPr>
      </w:pPr>
      <w:r w:rsidRPr="0001418D">
        <w:rPr>
          <w:szCs w:val="22"/>
          <w:lang w:val="cs-CZ"/>
        </w:rPr>
        <w:t xml:space="preserve">Nepoužívejte tento veterinární léčivý přípravek po uplynutí doby použitelnosti uvedené na krabičce a </w:t>
      </w:r>
      <w:r w:rsidR="00DF58AC">
        <w:rPr>
          <w:szCs w:val="22"/>
          <w:lang w:val="cs-CZ"/>
        </w:rPr>
        <w:t>etiketě</w:t>
      </w:r>
      <w:r w:rsidR="00DF58AC" w:rsidRPr="0001418D">
        <w:rPr>
          <w:szCs w:val="22"/>
          <w:lang w:val="cs-CZ"/>
        </w:rPr>
        <w:t xml:space="preserve"> </w:t>
      </w:r>
      <w:r w:rsidR="00DF58AC">
        <w:rPr>
          <w:szCs w:val="22"/>
          <w:lang w:val="cs-CZ"/>
        </w:rPr>
        <w:t>po</w:t>
      </w:r>
      <w:r w:rsidR="00DF58AC" w:rsidRPr="0001418D">
        <w:rPr>
          <w:szCs w:val="22"/>
          <w:lang w:val="cs-CZ"/>
        </w:rPr>
        <w:t xml:space="preserve"> </w:t>
      </w:r>
      <w:r w:rsidRPr="0001418D">
        <w:rPr>
          <w:szCs w:val="22"/>
          <w:lang w:val="cs-CZ"/>
        </w:rPr>
        <w:t>EXP. Doba použitelnosti končí posledním dnem v uvedeném měsíci.</w:t>
      </w:r>
    </w:p>
    <w:p w:rsidR="00770839" w:rsidRPr="0001418D" w:rsidRDefault="00770839" w:rsidP="00770839">
      <w:pPr>
        <w:numPr>
          <w:ilvl w:val="12"/>
          <w:numId w:val="0"/>
        </w:numPr>
        <w:rPr>
          <w:szCs w:val="22"/>
          <w:lang w:val="cs-CZ"/>
        </w:rPr>
      </w:pPr>
    </w:p>
    <w:p w:rsidR="00770839" w:rsidRPr="0001418D" w:rsidRDefault="00770839" w:rsidP="00770839">
      <w:pPr>
        <w:numPr>
          <w:ilvl w:val="12"/>
          <w:numId w:val="0"/>
        </w:numPr>
        <w:rPr>
          <w:szCs w:val="22"/>
          <w:lang w:val="cs-CZ"/>
        </w:rPr>
      </w:pPr>
      <w:r w:rsidRPr="0001418D">
        <w:rPr>
          <w:szCs w:val="22"/>
          <w:lang w:val="cs-CZ"/>
        </w:rPr>
        <w:t xml:space="preserve">Doba použitelnosti po prvním otevření </w:t>
      </w:r>
      <w:r w:rsidR="003200A3">
        <w:rPr>
          <w:szCs w:val="22"/>
          <w:lang w:val="cs-CZ"/>
        </w:rPr>
        <w:t xml:space="preserve">vnitřního </w:t>
      </w:r>
      <w:r w:rsidRPr="0001418D">
        <w:rPr>
          <w:szCs w:val="22"/>
          <w:lang w:val="cs-CZ"/>
        </w:rPr>
        <w:t>obalu: spotřebujte ihned.</w:t>
      </w: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b/>
          <w:szCs w:val="22"/>
          <w:lang w:val="cs-CZ"/>
        </w:rPr>
      </w:pPr>
      <w:r w:rsidRPr="00027658">
        <w:rPr>
          <w:b/>
          <w:bCs/>
          <w:szCs w:val="22"/>
          <w:highlight w:val="lightGray"/>
          <w:lang w:val="cs-CZ"/>
        </w:rPr>
        <w:t>12.</w:t>
      </w:r>
      <w:r w:rsidRPr="0001418D">
        <w:rPr>
          <w:b/>
          <w:bCs/>
          <w:szCs w:val="22"/>
          <w:lang w:val="cs-CZ"/>
        </w:rPr>
        <w:tab/>
        <w:t>ZVLÁŠTNÍ UPOZORNĚNÍ</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u w:val="single"/>
          <w:lang w:val="cs-CZ"/>
        </w:rPr>
        <w:t>Zvláštní upozornění pro každý cílový druh:</w:t>
      </w:r>
    </w:p>
    <w:p w:rsidR="00770839" w:rsidRPr="0001418D" w:rsidRDefault="00770839" w:rsidP="00770839">
      <w:pPr>
        <w:rPr>
          <w:color w:val="000000" w:themeColor="text1"/>
          <w:szCs w:val="22"/>
          <w:lang w:val="cs-CZ"/>
        </w:rPr>
      </w:pPr>
      <w:r w:rsidRPr="0001418D">
        <w:rPr>
          <w:color w:val="000000" w:themeColor="text1"/>
          <w:szCs w:val="22"/>
          <w:lang w:val="cs-CZ"/>
        </w:rPr>
        <w:t>Přípravek je stabilní emulze. Před použitím je třeba přípravek vizuálně zkontrolovat, zda nejsou přítomny viditelné kapičky nebo cizorodé částice a v případě jejich přítomnosti je třeba přípravek zlikvidovat. Nepoužívejte, pokud po jemném protřepání bude viditelné oddělení fází.</w:t>
      </w:r>
    </w:p>
    <w:p w:rsidR="00770839" w:rsidRPr="0001418D" w:rsidRDefault="00770839" w:rsidP="00770839">
      <w:pPr>
        <w:rPr>
          <w:szCs w:val="22"/>
          <w:lang w:val="cs-CZ"/>
        </w:rPr>
      </w:pPr>
      <w:r w:rsidRPr="0001418D">
        <w:rPr>
          <w:szCs w:val="22"/>
          <w:lang w:val="cs-CZ"/>
        </w:rPr>
        <w:t>Pokud je přípravek podáván příliš pomalu, nemusí být dosažena dostatečná úroveň anestezie, kvůli nedosažení odpovídajícího prahu farmakologického účinku.</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u w:val="single"/>
          <w:lang w:val="cs-CZ"/>
        </w:rPr>
        <w:t>Zvláštní opatření pro použití u zvířat:</w:t>
      </w:r>
    </w:p>
    <w:p w:rsidR="00590BB1" w:rsidRPr="00590BB1" w:rsidRDefault="00590BB1" w:rsidP="00590BB1">
      <w:pPr>
        <w:rPr>
          <w:szCs w:val="22"/>
          <w:lang w:val="cs-CZ"/>
        </w:rPr>
      </w:pPr>
      <w:r w:rsidRPr="00590BB1">
        <w:rPr>
          <w:szCs w:val="22"/>
          <w:lang w:val="cs-CZ"/>
        </w:rPr>
        <w:t>Během úvodu do  anestezie se může objevit mírná hypotenze a přechodná apnoe.</w:t>
      </w:r>
    </w:p>
    <w:p w:rsidR="00590BB1" w:rsidRPr="00590BB1" w:rsidRDefault="00590BB1" w:rsidP="00590BB1">
      <w:pPr>
        <w:rPr>
          <w:szCs w:val="22"/>
          <w:lang w:val="cs-CZ"/>
        </w:rPr>
      </w:pPr>
      <w:r w:rsidRPr="00590BB1">
        <w:rPr>
          <w:szCs w:val="22"/>
          <w:lang w:val="cs-CZ"/>
        </w:rPr>
        <w:t>Pokud se podá přípravek příliš rychle, může způsobit kardiopulmonální depresi (apnoe, bradykardie, hypotenze).</w:t>
      </w:r>
    </w:p>
    <w:p w:rsidR="00590BB1" w:rsidRPr="00590BB1" w:rsidRDefault="00590BB1" w:rsidP="00590BB1">
      <w:pPr>
        <w:rPr>
          <w:szCs w:val="22"/>
          <w:lang w:val="cs-CZ"/>
        </w:rPr>
      </w:pPr>
      <w:bookmarkStart w:id="3" w:name="_Hlk527548485"/>
      <w:r w:rsidRPr="00590BB1">
        <w:rPr>
          <w:szCs w:val="22"/>
          <w:lang w:val="cs-CZ"/>
        </w:rPr>
        <w:t xml:space="preserve">Při použití tohoto veterinárního léčivého přípravku musí být dostupná zařízení  pro udržení průchodnosti dýchacích cest, umělou ventilaci a obohacení kyslíkem. </w:t>
      </w:r>
      <w:bookmarkEnd w:id="3"/>
      <w:r w:rsidRPr="00590BB1">
        <w:rPr>
          <w:szCs w:val="22"/>
          <w:lang w:val="cs-CZ"/>
        </w:rPr>
        <w:t>Po úvodu do anestezie se doporučuje použití endotracheální trubice. Doporučuje se podávat doplňkový kyslík během udržování anestezie.</w:t>
      </w:r>
    </w:p>
    <w:p w:rsidR="00590BB1" w:rsidRPr="00590BB1" w:rsidRDefault="00590BB1" w:rsidP="00590BB1">
      <w:pPr>
        <w:rPr>
          <w:szCs w:val="22"/>
          <w:lang w:val="cs-CZ"/>
        </w:rPr>
      </w:pPr>
      <w:r w:rsidRPr="00590BB1">
        <w:rPr>
          <w:szCs w:val="22"/>
          <w:lang w:val="cs-CZ"/>
        </w:rPr>
        <w:t>Je třeba dbát opatrnosti u psů a koček s onemocněním srdce, dýchacích cest, ledvin nebo jater, nebo u hypovolemických nebo oslabených zvířat.</w:t>
      </w:r>
    </w:p>
    <w:p w:rsidR="00590BB1" w:rsidRPr="00590BB1" w:rsidRDefault="00590BB1" w:rsidP="00590BB1">
      <w:pPr>
        <w:rPr>
          <w:szCs w:val="22"/>
          <w:lang w:val="cs-CZ"/>
        </w:rPr>
      </w:pPr>
      <w:bookmarkStart w:id="4" w:name="_Hlk535408047"/>
      <w:r w:rsidRPr="00590BB1">
        <w:rPr>
          <w:szCs w:val="22"/>
          <w:lang w:val="cs-CZ"/>
        </w:rPr>
        <w:t>Pokud se propofol používá současně s opioidy, může se v případech výskytu bradykardie použít anticholinergní látka (např. atropin) po zvážení terapeutického prospěchu a rizika příslušným veterinárním lékařem. Viz bod 4.8.</w:t>
      </w:r>
    </w:p>
    <w:p w:rsidR="00590BB1" w:rsidRPr="00590BB1" w:rsidRDefault="00590BB1" w:rsidP="00590BB1">
      <w:pPr>
        <w:rPr>
          <w:szCs w:val="22"/>
          <w:lang w:val="cs-CZ"/>
        </w:rPr>
      </w:pPr>
      <w:r w:rsidRPr="00590BB1">
        <w:rPr>
          <w:szCs w:val="22"/>
          <w:lang w:val="cs-CZ"/>
        </w:rPr>
        <w:t>Při podávání přípravku pacientům s hypoproteinemií, hyperlipidemií nebo velmi slabým zvířatům je třeba postupovat opatrně, protože tato zvířata mohou být náchylnější k nežádoucím; účinkům.</w:t>
      </w:r>
      <w:bookmarkEnd w:id="4"/>
    </w:p>
    <w:p w:rsidR="00590BB1" w:rsidRPr="00590BB1" w:rsidRDefault="00590BB1" w:rsidP="00590BB1">
      <w:pPr>
        <w:rPr>
          <w:szCs w:val="22"/>
          <w:lang w:val="cs-CZ"/>
        </w:rPr>
      </w:pPr>
      <w:bookmarkStart w:id="5" w:name="_Hlk500149997"/>
      <w:r w:rsidRPr="00590BB1">
        <w:rPr>
          <w:szCs w:val="22"/>
          <w:lang w:val="cs-CZ"/>
        </w:rPr>
        <w:t>Propofol nemá analgetické vlastnosti, proto musí být poskytnuta doplňková analgetika v případech, kdy se předpokládá, že postupy budou bolestivé.</w:t>
      </w:r>
    </w:p>
    <w:p w:rsidR="00590BB1" w:rsidRPr="00590BB1" w:rsidRDefault="00590BB1" w:rsidP="00590BB1">
      <w:pPr>
        <w:rPr>
          <w:szCs w:val="22"/>
          <w:lang w:val="cs-CZ"/>
        </w:rPr>
      </w:pPr>
      <w:r w:rsidRPr="00590BB1">
        <w:rPr>
          <w:szCs w:val="22"/>
          <w:lang w:val="cs-CZ"/>
        </w:rPr>
        <w:t xml:space="preserve">Bylo prokázáno, že clearance propofolu je nižší a výskyt apnoe </w:t>
      </w:r>
      <w:r w:rsidR="00C41E85">
        <w:rPr>
          <w:szCs w:val="22"/>
          <w:lang w:val="cs-CZ"/>
        </w:rPr>
        <w:t>častější</w:t>
      </w:r>
      <w:r w:rsidRPr="00590BB1">
        <w:rPr>
          <w:szCs w:val="22"/>
          <w:lang w:val="cs-CZ"/>
        </w:rPr>
        <w:t xml:space="preserve"> u psů starších 8 let než u mladších zvířat. Těmto zvířatům je třeba při podávání přípravku věnovat zvláštní péči; především, v těchto případech může být dostačující k úvodu do anestezie nižší dávka propofolu.</w:t>
      </w:r>
    </w:p>
    <w:p w:rsidR="00590BB1" w:rsidRPr="00590BB1" w:rsidRDefault="00590BB1" w:rsidP="00590BB1">
      <w:pPr>
        <w:rPr>
          <w:szCs w:val="22"/>
          <w:lang w:val="cs-CZ"/>
        </w:rPr>
      </w:pPr>
      <w:bookmarkStart w:id="6" w:name="_Hlk527470439"/>
      <w:r w:rsidRPr="00590BB1">
        <w:rPr>
          <w:szCs w:val="22"/>
          <w:lang w:val="cs-CZ"/>
        </w:rPr>
        <w:t>Bezpečnost  přípravku pro použití u psů a koček mladších než 4 měsíce nebyla stanovena, a proto by se tento přípravek měl u uvedených zvířat používat pouze po zvážení terapeutického prospěchu a rizika příslušným veterinárním lékařem.</w:t>
      </w:r>
    </w:p>
    <w:bookmarkEnd w:id="5"/>
    <w:bookmarkEnd w:id="6"/>
    <w:p w:rsidR="00590BB1" w:rsidRPr="00590BB1" w:rsidRDefault="00590BB1" w:rsidP="00590BB1">
      <w:pPr>
        <w:rPr>
          <w:szCs w:val="22"/>
          <w:lang w:val="cs-CZ"/>
        </w:rPr>
      </w:pPr>
      <w:r w:rsidRPr="00590BB1">
        <w:rPr>
          <w:szCs w:val="22"/>
          <w:lang w:val="cs-CZ"/>
        </w:rPr>
        <w:t>U chrtů bylo prokázáno, že vykazují nižší clearance propofolu a zotavení z anestézie může trvat déle v porovnání s jinými plemeny psů.</w:t>
      </w:r>
    </w:p>
    <w:p w:rsidR="00770839" w:rsidRPr="0001418D" w:rsidRDefault="00770839" w:rsidP="00770839">
      <w:pPr>
        <w:rPr>
          <w:szCs w:val="22"/>
          <w:lang w:val="cs-CZ"/>
        </w:rPr>
      </w:pPr>
      <w:r w:rsidRPr="0001418D">
        <w:rPr>
          <w:szCs w:val="22"/>
          <w:lang w:val="cs-CZ"/>
        </w:rPr>
        <w:t>Při podávání přípravku používejte aseptické techniky, protože neobsahuje antimikrobiální konzervační látky.</w:t>
      </w:r>
    </w:p>
    <w:p w:rsidR="00770839" w:rsidRPr="0001418D" w:rsidRDefault="00770839" w:rsidP="00770839">
      <w:pPr>
        <w:rPr>
          <w:szCs w:val="22"/>
          <w:lang w:val="cs-CZ"/>
        </w:rPr>
      </w:pPr>
    </w:p>
    <w:p w:rsidR="00770839" w:rsidRPr="0001418D" w:rsidRDefault="00770839" w:rsidP="002B6CC7">
      <w:pPr>
        <w:keepNext/>
        <w:rPr>
          <w:szCs w:val="22"/>
          <w:lang w:val="cs-CZ"/>
        </w:rPr>
      </w:pPr>
      <w:r w:rsidRPr="0001418D">
        <w:rPr>
          <w:szCs w:val="22"/>
          <w:u w:val="single"/>
          <w:lang w:val="cs-CZ"/>
        </w:rPr>
        <w:t>Zvláštní opatření určené osobám, které podávají veterinární léčivý přípravek zvířatům:</w:t>
      </w:r>
    </w:p>
    <w:p w:rsidR="0062617E" w:rsidRPr="002B6CC7" w:rsidRDefault="0062617E" w:rsidP="0062617E">
      <w:pPr>
        <w:rPr>
          <w:lang w:val="cs-CZ"/>
        </w:rPr>
      </w:pPr>
      <w:r w:rsidRPr="002B6CC7">
        <w:rPr>
          <w:lang w:val="cs-CZ"/>
        </w:rPr>
        <w:t>Propofol je přípravek se silnými účinky, proto zabraňte náhodnému samopodání. Chraňte jehlu ochranným krytem až do okamžiku podání přípravku.</w:t>
      </w:r>
    </w:p>
    <w:p w:rsidR="0062617E" w:rsidRPr="002B6CC7" w:rsidRDefault="0062617E" w:rsidP="0062617E">
      <w:pPr>
        <w:rPr>
          <w:lang w:val="cs-CZ"/>
        </w:rPr>
      </w:pPr>
      <w:r w:rsidRPr="002B6CC7">
        <w:rPr>
          <w:lang w:val="cs-CZ"/>
        </w:rPr>
        <w:t>V případě náhodného sebepoškození injekčně aplikovaným přípravkem, vyhledejte ihned lékařskou pomoc a ukažte příbalovou informaci nebo etiketu praktickému lékaři, ale NEŘIĎTE MOTOROVÉ VOZIDLO, jelikož může dojít k sedaci.</w:t>
      </w:r>
    </w:p>
    <w:p w:rsidR="0062617E" w:rsidRPr="002B6CC7" w:rsidRDefault="0062617E" w:rsidP="0062617E">
      <w:pPr>
        <w:rPr>
          <w:lang w:val="cs-CZ"/>
        </w:rPr>
      </w:pPr>
      <w:r w:rsidRPr="002B6CC7">
        <w:rPr>
          <w:lang w:val="cs-CZ"/>
        </w:rPr>
        <w:t>Zabraňte kontaktu s pokožkou a očima, protože tento přípravek může způsobit podráždění. Potřísněnou kůži nebo oči ihned omyjte velkým množstvím vody. Pokud podráždění přetrvává, vyhledejte lékařskou pomoc.</w:t>
      </w:r>
    </w:p>
    <w:p w:rsidR="0062617E" w:rsidRPr="002B6CC7" w:rsidRDefault="0062617E" w:rsidP="0062617E">
      <w:pPr>
        <w:rPr>
          <w:lang w:val="cs-CZ"/>
        </w:rPr>
      </w:pPr>
      <w:r w:rsidRPr="002B6CC7">
        <w:rPr>
          <w:lang w:val="cs-CZ"/>
        </w:rPr>
        <w:t>U lidí se známou přecitlivělostí na propofol nebo na jiné léky, sóju nebo vejce, může přípravek vyvolat hypersensitivitu (alergie). Lidé se známou přecitlivělostí na tyto látky by se měli vyhnout kontaktu s veterinárním léčivým přípravkem.</w:t>
      </w:r>
    </w:p>
    <w:p w:rsidR="00770839" w:rsidRPr="00402888" w:rsidRDefault="00770839" w:rsidP="00770839">
      <w:pPr>
        <w:rPr>
          <w:lang w:val="cs-CZ"/>
        </w:rPr>
      </w:pPr>
      <w:r w:rsidRPr="00F4077B">
        <w:rPr>
          <w:lang w:val="cs-CZ"/>
        </w:rPr>
        <w:t>U lidí se známou přecitlivělostí na propofol nebo na některé jiné léky, sóju nebo vejce, může přípravek vyvolat reakce přecitlivělosti (alergie). Lidé se známou přecitlivělostí na tyto látky by se měli vyhnout kontaktu s veterinárním léčivým přípravkem.</w:t>
      </w:r>
    </w:p>
    <w:p w:rsidR="00770839" w:rsidRPr="006D6573" w:rsidRDefault="00770839" w:rsidP="00770839">
      <w:pPr>
        <w:rPr>
          <w:lang w:val="cs-CZ"/>
        </w:rPr>
      </w:pPr>
    </w:p>
    <w:p w:rsidR="00770839" w:rsidRPr="006D6573" w:rsidRDefault="00770839" w:rsidP="00770839">
      <w:pPr>
        <w:keepNext/>
        <w:rPr>
          <w:lang w:val="cs-CZ"/>
        </w:rPr>
      </w:pPr>
      <w:r w:rsidRPr="006D6573">
        <w:rPr>
          <w:lang w:val="cs-CZ"/>
        </w:rPr>
        <w:t>Informace pro lékaře:</w:t>
      </w:r>
    </w:p>
    <w:p w:rsidR="00770839" w:rsidRPr="006D6573" w:rsidRDefault="00770839" w:rsidP="00770839">
      <w:pPr>
        <w:rPr>
          <w:lang w:val="cs-CZ"/>
        </w:rPr>
      </w:pPr>
      <w:r w:rsidRPr="006D6573">
        <w:rPr>
          <w:lang w:val="cs-CZ"/>
        </w:rPr>
        <w:t>Nenechávejte pacienta bez dozoru. Udržujte dýchán</w:t>
      </w:r>
      <w:r w:rsidR="007223E9" w:rsidRPr="006D6573">
        <w:rPr>
          <w:lang w:val="cs-CZ"/>
        </w:rPr>
        <w:t>í a poskytněte symptomatickou a </w:t>
      </w:r>
      <w:r w:rsidRPr="006D6573">
        <w:rPr>
          <w:lang w:val="cs-CZ"/>
        </w:rPr>
        <w:t>podpůrnou léčbu.</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u w:val="single"/>
          <w:lang w:val="cs-CZ"/>
        </w:rPr>
        <w:t>Březost a laktace:</w:t>
      </w:r>
    </w:p>
    <w:p w:rsidR="00770839" w:rsidRPr="0001418D" w:rsidRDefault="00770839" w:rsidP="00770839">
      <w:pPr>
        <w:rPr>
          <w:szCs w:val="22"/>
          <w:lang w:val="cs-CZ"/>
        </w:rPr>
      </w:pPr>
      <w:r w:rsidRPr="0001418D">
        <w:rPr>
          <w:szCs w:val="22"/>
          <w:lang w:val="cs-CZ"/>
        </w:rPr>
        <w:t>Nebyla stanovena bezpečnost veterinárního léčivého přípravk</w:t>
      </w:r>
      <w:r w:rsidR="007223E9" w:rsidRPr="0001418D">
        <w:rPr>
          <w:szCs w:val="22"/>
          <w:lang w:val="cs-CZ"/>
        </w:rPr>
        <w:t>u pro použití během březosti (u </w:t>
      </w:r>
      <w:r w:rsidRPr="0001418D">
        <w:rPr>
          <w:szCs w:val="22"/>
          <w:lang w:val="cs-CZ"/>
        </w:rPr>
        <w:t xml:space="preserve">plodů/novorozenců) a během laktace. </w:t>
      </w:r>
    </w:p>
    <w:p w:rsidR="00770839" w:rsidRPr="0001418D" w:rsidRDefault="00770839" w:rsidP="00770839">
      <w:pPr>
        <w:rPr>
          <w:szCs w:val="22"/>
          <w:lang w:val="cs-CZ"/>
        </w:rPr>
      </w:pPr>
      <w:r w:rsidRPr="0001418D">
        <w:rPr>
          <w:szCs w:val="22"/>
          <w:lang w:val="cs-CZ"/>
        </w:rPr>
        <w:t>Propofol prostupuje placentou. Studie s použitím propofolu u březích potkanů a králíků neprokázaly žádné škodlivé účinky na gestaci léčených zvířat ani na reprodukční výkon jejich potomků. Podle dostupné vědecké literatury však expozice (</w:t>
      </w:r>
      <w:r w:rsidR="000160D6">
        <w:rPr>
          <w:szCs w:val="22"/>
          <w:lang w:val="cs-CZ"/>
        </w:rPr>
        <w:t>vyšší</w:t>
      </w:r>
      <w:r w:rsidR="000160D6" w:rsidRPr="0001418D">
        <w:rPr>
          <w:szCs w:val="22"/>
          <w:lang w:val="cs-CZ"/>
        </w:rPr>
        <w:t xml:space="preserve"> </w:t>
      </w:r>
      <w:r w:rsidRPr="0001418D">
        <w:rPr>
          <w:szCs w:val="22"/>
          <w:lang w:val="cs-CZ"/>
        </w:rPr>
        <w:t xml:space="preserve">primáti: střední rovina anestézie po dobu </w:t>
      </w:r>
      <w:r w:rsidR="006F4F69" w:rsidRPr="0001418D">
        <w:rPr>
          <w:szCs w:val="22"/>
          <w:lang w:val="cs-CZ"/>
        </w:rPr>
        <w:t>5 </w:t>
      </w:r>
      <w:r w:rsidRPr="0001418D">
        <w:rPr>
          <w:szCs w:val="22"/>
          <w:lang w:val="cs-CZ"/>
        </w:rPr>
        <w:t xml:space="preserve">hodin; </w:t>
      </w:r>
      <w:r w:rsidR="000160D6" w:rsidRPr="000160D6">
        <w:rPr>
          <w:szCs w:val="22"/>
          <w:lang w:val="cs-CZ"/>
        </w:rPr>
        <w:t>potkani</w:t>
      </w:r>
      <w:r w:rsidRPr="0001418D">
        <w:rPr>
          <w:szCs w:val="22"/>
          <w:lang w:val="cs-CZ"/>
        </w:rPr>
        <w:t>: 0,3–0,</w:t>
      </w:r>
      <w:r w:rsidR="006F4F69" w:rsidRPr="0001418D">
        <w:rPr>
          <w:szCs w:val="22"/>
          <w:lang w:val="cs-CZ"/>
        </w:rPr>
        <w:t>6 </w:t>
      </w:r>
      <w:r w:rsidRPr="0001418D">
        <w:rPr>
          <w:szCs w:val="22"/>
          <w:lang w:val="cs-CZ"/>
        </w:rPr>
        <w:t>mg/kg/min po dobu 1–</w:t>
      </w:r>
      <w:r w:rsidR="006F4F69" w:rsidRPr="0001418D">
        <w:rPr>
          <w:szCs w:val="22"/>
          <w:lang w:val="cs-CZ"/>
        </w:rPr>
        <w:t>2 </w:t>
      </w:r>
      <w:r w:rsidRPr="0001418D">
        <w:rPr>
          <w:szCs w:val="22"/>
          <w:lang w:val="cs-CZ"/>
        </w:rPr>
        <w:t xml:space="preserve">hodin) propofolu během období vývoje mozku může nepříznivě ovlivnit neurologické vývoj u plodů a novorozenců. </w:t>
      </w:r>
    </w:p>
    <w:p w:rsidR="00770839" w:rsidRPr="0001418D" w:rsidRDefault="00770839" w:rsidP="00770839">
      <w:pPr>
        <w:rPr>
          <w:szCs w:val="22"/>
          <w:lang w:val="cs-CZ"/>
        </w:rPr>
      </w:pPr>
      <w:r w:rsidRPr="0001418D">
        <w:rPr>
          <w:szCs w:val="22"/>
          <w:lang w:val="cs-CZ"/>
        </w:rPr>
        <w:t>Humánní studie ukázaly, že malá množství (&lt;0,</w:t>
      </w:r>
      <w:r w:rsidR="006F4F69" w:rsidRPr="0001418D">
        <w:rPr>
          <w:szCs w:val="22"/>
          <w:lang w:val="cs-CZ"/>
        </w:rPr>
        <w:t>1 </w:t>
      </w:r>
      <w:r w:rsidRPr="0001418D">
        <w:rPr>
          <w:szCs w:val="22"/>
          <w:lang w:val="cs-CZ"/>
        </w:rPr>
        <w:t>% mateřské dávky během 2</w:t>
      </w:r>
      <w:r w:rsidR="006F4F69" w:rsidRPr="0001418D">
        <w:rPr>
          <w:szCs w:val="22"/>
          <w:lang w:val="cs-CZ"/>
        </w:rPr>
        <w:t>4 </w:t>
      </w:r>
      <w:r w:rsidRPr="0001418D">
        <w:rPr>
          <w:szCs w:val="22"/>
          <w:lang w:val="cs-CZ"/>
        </w:rPr>
        <w:t xml:space="preserve">hodin po podání) propofolu se vylučují do lidského mateřského mléka. </w:t>
      </w:r>
    </w:p>
    <w:p w:rsidR="00770839" w:rsidRPr="0001418D" w:rsidRDefault="00770839" w:rsidP="00770839">
      <w:pPr>
        <w:rPr>
          <w:szCs w:val="22"/>
          <w:lang w:val="cs-CZ"/>
        </w:rPr>
      </w:pPr>
      <w:r w:rsidRPr="0001418D">
        <w:rPr>
          <w:szCs w:val="22"/>
          <w:lang w:val="cs-CZ"/>
        </w:rPr>
        <w:t xml:space="preserve">Použít pouze po zvážení terapeutického prospěchu a rizika příslušným veterinárním lékařem. </w:t>
      </w:r>
    </w:p>
    <w:p w:rsidR="00770839" w:rsidRPr="0001418D" w:rsidRDefault="00770839" w:rsidP="00770839">
      <w:pPr>
        <w:rPr>
          <w:szCs w:val="22"/>
          <w:lang w:val="cs-CZ"/>
        </w:rPr>
      </w:pPr>
      <w:r w:rsidRPr="0001418D">
        <w:rPr>
          <w:szCs w:val="22"/>
          <w:lang w:val="cs-CZ"/>
        </w:rPr>
        <w:t xml:space="preserve">Propofol byl bezpečně používán u psů k vyvolání anestezie před porodem štěňat císařským řezem. Vzhledem k riziku neonatální smrti se nedoporučuje použití propofolu pro udržení anestezie během císařského řezu. </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u w:val="single"/>
          <w:lang w:val="cs-CZ"/>
        </w:rPr>
        <w:t>Interakce s dalšími léčivými přípravky a další formy interakce:</w:t>
      </w:r>
    </w:p>
    <w:p w:rsidR="00770839" w:rsidRPr="0001418D" w:rsidRDefault="00770839" w:rsidP="00770839">
      <w:pPr>
        <w:rPr>
          <w:strike/>
          <w:szCs w:val="22"/>
          <w:lang w:val="cs-CZ"/>
        </w:rPr>
      </w:pPr>
      <w:r w:rsidRPr="0001418D">
        <w:rPr>
          <w:szCs w:val="22"/>
          <w:lang w:val="cs-CZ"/>
        </w:rPr>
        <w:t>Propofol byl použit ve spojení s všeobecně používanými premedikačními látkami (např. atropinem, acepromazinem, benzodiazepiny [např. diazepamem, midazolamem, α-</w:t>
      </w:r>
      <w:r w:rsidR="006F4F69" w:rsidRPr="0001418D">
        <w:rPr>
          <w:szCs w:val="22"/>
          <w:lang w:val="cs-CZ"/>
        </w:rPr>
        <w:t>2 </w:t>
      </w:r>
      <w:r w:rsidRPr="0001418D">
        <w:rPr>
          <w:szCs w:val="22"/>
          <w:lang w:val="cs-CZ"/>
        </w:rPr>
        <w:t>agonisty [např. medetomidinem, dexmedetomidinem], opioidy [např. metadonem, buprenorfinem]), dalšími indukčními látkami (např. ketaminem) a před udržovací fází inhalačními látkami (např. halotanem, oxidem dusným, isofluranem, sevofluranem).</w:t>
      </w:r>
    </w:p>
    <w:p w:rsidR="00770839" w:rsidRPr="0001418D" w:rsidRDefault="00770839" w:rsidP="00770839">
      <w:pPr>
        <w:rPr>
          <w:szCs w:val="22"/>
          <w:lang w:val="cs-CZ"/>
        </w:rPr>
      </w:pPr>
      <w:r w:rsidRPr="0001418D">
        <w:rPr>
          <w:szCs w:val="22"/>
          <w:lang w:val="cs-CZ"/>
        </w:rPr>
        <w:t>Současné užívání sedativních nebo analgetických léčiv pravděpodobně sníží dávku propofolu potřebnou pro indukci a udržení anestezie. Viz také bod 8.</w:t>
      </w:r>
    </w:p>
    <w:p w:rsidR="00770839" w:rsidRPr="0001418D" w:rsidRDefault="00770839" w:rsidP="00770839">
      <w:pPr>
        <w:rPr>
          <w:szCs w:val="22"/>
          <w:lang w:val="cs-CZ"/>
        </w:rPr>
      </w:pPr>
      <w:r w:rsidRPr="0001418D">
        <w:rPr>
          <w:szCs w:val="22"/>
          <w:lang w:val="cs-CZ"/>
        </w:rPr>
        <w:t>Současné užívání propofolu a opioidů může způsobit výraznou respirační depresi a hluboký pokles srdeční frekvence. U psů, kterým byl po propofolu podán alfentanil, byla pozorována srdeční zástava. Aby se snížilo riziko apnoe, je třeba podávat propofol pomalu, například více než 40–6</w:t>
      </w:r>
      <w:r w:rsidR="006F4F69" w:rsidRPr="0001418D">
        <w:rPr>
          <w:szCs w:val="22"/>
          <w:lang w:val="cs-CZ"/>
        </w:rPr>
        <w:t>0 </w:t>
      </w:r>
      <w:r w:rsidRPr="0001418D">
        <w:rPr>
          <w:szCs w:val="22"/>
          <w:lang w:val="cs-CZ"/>
        </w:rPr>
        <w:t xml:space="preserve">sekund. Viz také bod </w:t>
      </w:r>
      <w:r w:rsidR="009803F0">
        <w:rPr>
          <w:szCs w:val="22"/>
          <w:lang w:val="cs-CZ"/>
        </w:rPr>
        <w:t>„</w:t>
      </w:r>
      <w:r w:rsidRPr="0001418D">
        <w:rPr>
          <w:szCs w:val="22"/>
          <w:lang w:val="cs-CZ"/>
        </w:rPr>
        <w:t>Zvláštní opatření pro použití u zvířat</w:t>
      </w:r>
      <w:r w:rsidR="009803F0">
        <w:rPr>
          <w:szCs w:val="22"/>
          <w:lang w:val="cs-CZ"/>
        </w:rPr>
        <w:t>“</w:t>
      </w:r>
      <w:r w:rsidRPr="0001418D">
        <w:rPr>
          <w:szCs w:val="22"/>
          <w:lang w:val="cs-CZ"/>
        </w:rPr>
        <w:t>.</w:t>
      </w:r>
    </w:p>
    <w:p w:rsidR="00770839" w:rsidRPr="0001418D" w:rsidRDefault="00770839" w:rsidP="00770839">
      <w:pPr>
        <w:rPr>
          <w:szCs w:val="22"/>
          <w:lang w:val="cs-CZ"/>
        </w:rPr>
      </w:pPr>
      <w:r w:rsidRPr="0001418D">
        <w:rPr>
          <w:szCs w:val="22"/>
          <w:lang w:val="cs-CZ"/>
        </w:rPr>
        <w:t>Souběžné podání propofolu a opioidních (např. fentanyl, alfentanil) infuzí k udržení celkové anestezie, může mít za následek delší dobu zotavení.</w:t>
      </w:r>
    </w:p>
    <w:p w:rsidR="00770839" w:rsidRPr="0001418D" w:rsidRDefault="00770839" w:rsidP="00770839">
      <w:pPr>
        <w:rPr>
          <w:strike/>
          <w:szCs w:val="22"/>
          <w:lang w:val="cs-CZ"/>
        </w:rPr>
      </w:pPr>
      <w:r w:rsidRPr="0001418D">
        <w:rPr>
          <w:szCs w:val="22"/>
          <w:lang w:val="cs-CZ"/>
        </w:rPr>
        <w:t>Podání propofolu s jinými léky, které jsou metabolizovány cytochromem P45</w:t>
      </w:r>
      <w:r w:rsidR="006F4F69" w:rsidRPr="0001418D">
        <w:rPr>
          <w:szCs w:val="22"/>
          <w:lang w:val="cs-CZ"/>
        </w:rPr>
        <w:t>0 </w:t>
      </w:r>
      <w:r w:rsidRPr="0001418D">
        <w:rPr>
          <w:szCs w:val="22"/>
          <w:lang w:val="cs-CZ"/>
        </w:rPr>
        <w:t>2B1</w:t>
      </w:r>
      <w:r w:rsidR="006F4F69" w:rsidRPr="0001418D">
        <w:rPr>
          <w:szCs w:val="22"/>
          <w:lang w:val="cs-CZ"/>
        </w:rPr>
        <w:t>1 </w:t>
      </w:r>
      <w:r w:rsidRPr="0001418D">
        <w:rPr>
          <w:szCs w:val="22"/>
          <w:lang w:val="cs-CZ"/>
        </w:rPr>
        <w:t>(např. izoenzym 2B1</w:t>
      </w:r>
      <w:r w:rsidR="006F4F69" w:rsidRPr="0001418D">
        <w:rPr>
          <w:szCs w:val="22"/>
          <w:lang w:val="cs-CZ"/>
        </w:rPr>
        <w:t>1 </w:t>
      </w:r>
      <w:r w:rsidRPr="0001418D">
        <w:rPr>
          <w:szCs w:val="22"/>
          <w:lang w:val="cs-CZ"/>
        </w:rPr>
        <w:t>u psů), například chloramfenikol, ketokonazol a loperamid může snížit clearance propofolu a prodloužit zotavení z anestezie.</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u w:val="single"/>
          <w:lang w:val="cs-CZ"/>
        </w:rPr>
        <w:t>Předávkování (symptomy, první pomoc, antidota)</w:t>
      </w:r>
      <w:r w:rsidRPr="0001418D">
        <w:rPr>
          <w:szCs w:val="22"/>
          <w:lang w:val="cs-CZ"/>
        </w:rPr>
        <w:t>:</w:t>
      </w:r>
    </w:p>
    <w:p w:rsidR="009803F0" w:rsidRPr="009803F0" w:rsidRDefault="00770839" w:rsidP="009803F0">
      <w:pPr>
        <w:rPr>
          <w:szCs w:val="22"/>
          <w:lang w:val="cs-CZ"/>
        </w:rPr>
      </w:pPr>
      <w:r w:rsidRPr="0001418D">
        <w:rPr>
          <w:szCs w:val="22"/>
          <w:lang w:val="cs-CZ"/>
        </w:rPr>
        <w:t xml:space="preserve">Náhodné předávkování může způsobit kardio-respirační útlum. </w:t>
      </w:r>
    </w:p>
    <w:p w:rsidR="009803F0" w:rsidRPr="009803F0" w:rsidRDefault="009803F0" w:rsidP="009803F0">
      <w:pPr>
        <w:rPr>
          <w:szCs w:val="22"/>
          <w:lang w:val="cs-CZ"/>
        </w:rPr>
      </w:pPr>
      <w:r w:rsidRPr="009803F0">
        <w:rPr>
          <w:szCs w:val="22"/>
          <w:lang w:val="cs-CZ"/>
        </w:rPr>
        <w:t>Respirační útlum by měl být léčen pomocí asistované nebo řízené plicní ventilac</w:t>
      </w:r>
      <w:r>
        <w:rPr>
          <w:szCs w:val="22"/>
          <w:lang w:val="cs-CZ"/>
        </w:rPr>
        <w:t>e</w:t>
      </w:r>
      <w:r w:rsidRPr="009803F0">
        <w:rPr>
          <w:szCs w:val="22"/>
          <w:lang w:val="cs-CZ"/>
        </w:rPr>
        <w:t xml:space="preserve"> kyslíkem. Kardiovaskulární funkce by měly být podpořeny podáním vazopresiv a náhražek plazmy.</w:t>
      </w:r>
    </w:p>
    <w:p w:rsidR="00770839" w:rsidRPr="0001418D" w:rsidRDefault="00770839" w:rsidP="00770839">
      <w:pPr>
        <w:rPr>
          <w:szCs w:val="22"/>
          <w:lang w:val="cs-CZ"/>
        </w:rPr>
      </w:pPr>
      <w:r w:rsidRPr="0001418D">
        <w:rPr>
          <w:szCs w:val="22"/>
          <w:lang w:val="cs-CZ"/>
        </w:rPr>
        <w:t xml:space="preserve">U psů mohou dávky vyšší než </w:t>
      </w:r>
      <w:r w:rsidR="006F4F69" w:rsidRPr="0001418D">
        <w:rPr>
          <w:szCs w:val="22"/>
          <w:lang w:val="cs-CZ"/>
        </w:rPr>
        <w:t>9 </w:t>
      </w:r>
      <w:r w:rsidRPr="0001418D">
        <w:rPr>
          <w:szCs w:val="22"/>
          <w:lang w:val="cs-CZ"/>
        </w:rPr>
        <w:t xml:space="preserve">mg/kg podávané rychlostí </w:t>
      </w:r>
      <w:r w:rsidR="006F4F69" w:rsidRPr="0001418D">
        <w:rPr>
          <w:szCs w:val="22"/>
          <w:lang w:val="cs-CZ"/>
        </w:rPr>
        <w:t>2 </w:t>
      </w:r>
      <w:r w:rsidRPr="0001418D">
        <w:rPr>
          <w:szCs w:val="22"/>
          <w:lang w:val="cs-CZ"/>
        </w:rPr>
        <w:t>mg/s způsobit cyanózu sliznic. Po předávkování může být pozorována také mydriáza. Cyanóza a mydriáza slouží jako indikace, že je nutný doplňkový kyslík. Při dávkách nad 16</w:t>
      </w:r>
      <w:r w:rsidR="007223E9" w:rsidRPr="0001418D">
        <w:rPr>
          <w:szCs w:val="22"/>
          <w:lang w:val="cs-CZ"/>
        </w:rPr>
        <w:t>,</w:t>
      </w:r>
      <w:r w:rsidR="006F4F69" w:rsidRPr="0001418D">
        <w:rPr>
          <w:szCs w:val="22"/>
          <w:lang w:val="cs-CZ"/>
        </w:rPr>
        <w:t>5 </w:t>
      </w:r>
      <w:r w:rsidR="007223E9" w:rsidRPr="0001418D">
        <w:rPr>
          <w:szCs w:val="22"/>
          <w:lang w:val="cs-CZ"/>
        </w:rPr>
        <w:t>mg/kg podávaných rychlostí 2 </w:t>
      </w:r>
      <w:r w:rsidRPr="0001418D">
        <w:rPr>
          <w:szCs w:val="22"/>
          <w:lang w:val="cs-CZ"/>
        </w:rPr>
        <w:t>mg/s byla hlášena apnoe trvající déle než 90 sekund. Při dávkách 2</w:t>
      </w:r>
      <w:r w:rsidR="006F4F69" w:rsidRPr="0001418D">
        <w:rPr>
          <w:szCs w:val="22"/>
          <w:lang w:val="cs-CZ"/>
        </w:rPr>
        <w:t>0 </w:t>
      </w:r>
      <w:r w:rsidRPr="0001418D">
        <w:rPr>
          <w:szCs w:val="22"/>
          <w:lang w:val="cs-CZ"/>
        </w:rPr>
        <w:t>mg/kg a vyšších podávaných rychlostí 0,</w:t>
      </w:r>
      <w:r w:rsidR="006F4F69" w:rsidRPr="0001418D">
        <w:rPr>
          <w:szCs w:val="22"/>
          <w:lang w:val="cs-CZ"/>
        </w:rPr>
        <w:t>5 </w:t>
      </w:r>
      <w:r w:rsidRPr="0001418D">
        <w:rPr>
          <w:szCs w:val="22"/>
          <w:lang w:val="cs-CZ"/>
        </w:rPr>
        <w:t xml:space="preserve">mg/s byl hlášen </w:t>
      </w:r>
      <w:r w:rsidR="009803F0">
        <w:rPr>
          <w:szCs w:val="22"/>
          <w:lang w:val="cs-CZ"/>
        </w:rPr>
        <w:t>úhyn</w:t>
      </w:r>
      <w:r w:rsidRPr="0001418D">
        <w:rPr>
          <w:szCs w:val="22"/>
          <w:lang w:val="cs-CZ"/>
        </w:rPr>
        <w:t>.</w:t>
      </w:r>
    </w:p>
    <w:p w:rsidR="00770839" w:rsidRPr="0001418D" w:rsidRDefault="00770839" w:rsidP="00770839">
      <w:pPr>
        <w:rPr>
          <w:szCs w:val="22"/>
          <w:lang w:val="cs-CZ"/>
        </w:rPr>
      </w:pPr>
      <w:r w:rsidRPr="0001418D">
        <w:rPr>
          <w:szCs w:val="22"/>
          <w:lang w:val="cs-CZ"/>
        </w:rPr>
        <w:t>U psů měly opakované infuze 0,6–0,</w:t>
      </w:r>
      <w:r w:rsidR="006F4F69" w:rsidRPr="0001418D">
        <w:rPr>
          <w:szCs w:val="22"/>
          <w:lang w:val="cs-CZ"/>
        </w:rPr>
        <w:t>7 </w:t>
      </w:r>
      <w:r w:rsidRPr="0001418D">
        <w:rPr>
          <w:szCs w:val="22"/>
          <w:lang w:val="cs-CZ"/>
        </w:rPr>
        <w:t xml:space="preserve">mg/kg/min po dobu přibližně </w:t>
      </w:r>
      <w:r w:rsidR="006F4F69" w:rsidRPr="0001418D">
        <w:rPr>
          <w:szCs w:val="22"/>
          <w:lang w:val="cs-CZ"/>
        </w:rPr>
        <w:t>1 </w:t>
      </w:r>
      <w:r w:rsidRPr="0001418D">
        <w:rPr>
          <w:szCs w:val="22"/>
          <w:lang w:val="cs-CZ"/>
        </w:rPr>
        <w:t>hodiny denně po dobu 14 po sobě následujících dnů za následek zvýšení srdeční frekvence a průměrného arteriálního krevního tlaku a bylo pozorováno snížení počtu červených krvinek, hemoglobinu a hematokritu. Ačkoli byla zvířata mechanicky ventilována, byla prokázána respirační acidóza, pravděpodobně v důsledku deprese respiračních center, což vedlo k nedostatečné ventilaci alveolů a kumulaci CO</w:t>
      </w:r>
      <w:r w:rsidRPr="0001418D">
        <w:rPr>
          <w:szCs w:val="22"/>
          <w:vertAlign w:val="subscript"/>
          <w:lang w:val="cs-CZ"/>
        </w:rPr>
        <w:t>2</w:t>
      </w:r>
      <w:r w:rsidRPr="0001418D">
        <w:rPr>
          <w:szCs w:val="22"/>
          <w:lang w:val="cs-CZ"/>
        </w:rPr>
        <w:t>.</w:t>
      </w:r>
    </w:p>
    <w:p w:rsidR="00770839" w:rsidRPr="0001418D" w:rsidRDefault="009803F0" w:rsidP="00770839">
      <w:pPr>
        <w:rPr>
          <w:szCs w:val="22"/>
          <w:lang w:val="cs-CZ"/>
        </w:rPr>
      </w:pPr>
      <w:r w:rsidRPr="009803F0">
        <w:rPr>
          <w:szCs w:val="22"/>
          <w:lang w:val="cs-CZ"/>
        </w:rPr>
        <w:t xml:space="preserve">Úhyn v důsledku </w:t>
      </w:r>
      <w:r w:rsidR="00770839" w:rsidRPr="0001418D">
        <w:rPr>
          <w:szCs w:val="22"/>
          <w:lang w:val="cs-CZ"/>
        </w:rPr>
        <w:t>apnoe byl hlášen u kočky po injekci 19,5 mg/kg podávané v jedné dávce.</w:t>
      </w:r>
    </w:p>
    <w:p w:rsidR="00770839" w:rsidRPr="0001418D" w:rsidRDefault="00770839" w:rsidP="00770839">
      <w:pPr>
        <w:rPr>
          <w:szCs w:val="22"/>
          <w:lang w:val="cs-CZ"/>
        </w:rPr>
      </w:pPr>
    </w:p>
    <w:p w:rsidR="00770839" w:rsidRPr="0001418D" w:rsidRDefault="00770839" w:rsidP="00770839">
      <w:pPr>
        <w:rPr>
          <w:szCs w:val="22"/>
          <w:lang w:val="cs-CZ"/>
        </w:rPr>
      </w:pPr>
      <w:r w:rsidRPr="0001418D">
        <w:rPr>
          <w:szCs w:val="22"/>
          <w:u w:val="single"/>
          <w:lang w:val="cs-CZ"/>
        </w:rPr>
        <w:t>Inkompatibility</w:t>
      </w:r>
      <w:r w:rsidRPr="0001418D">
        <w:rPr>
          <w:szCs w:val="22"/>
          <w:lang w:val="cs-CZ"/>
        </w:rPr>
        <w:t>:</w:t>
      </w:r>
    </w:p>
    <w:p w:rsidR="00770839" w:rsidRPr="0001418D" w:rsidRDefault="00770839" w:rsidP="00770839">
      <w:pPr>
        <w:rPr>
          <w:szCs w:val="22"/>
          <w:lang w:val="cs-CZ"/>
        </w:rPr>
      </w:pPr>
      <w:r w:rsidRPr="0001418D">
        <w:rPr>
          <w:szCs w:val="22"/>
          <w:lang w:val="cs-CZ"/>
        </w:rPr>
        <w:t>Nemísit s jiným veterinárním léčivým přípravkem, s výjimkou 5% intravenózní infuze dextrózy nebo 0,9% intravenózní infuze chloridu sodného.</w:t>
      </w: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keepNext/>
        <w:ind w:left="567" w:hanging="567"/>
        <w:rPr>
          <w:b/>
          <w:szCs w:val="22"/>
          <w:lang w:val="cs-CZ"/>
        </w:rPr>
      </w:pPr>
      <w:r w:rsidRPr="00027658">
        <w:rPr>
          <w:b/>
          <w:bCs/>
          <w:szCs w:val="22"/>
          <w:highlight w:val="lightGray"/>
          <w:lang w:val="cs-CZ"/>
        </w:rPr>
        <w:t>13.</w:t>
      </w:r>
      <w:r w:rsidRPr="0001418D">
        <w:rPr>
          <w:b/>
          <w:bCs/>
          <w:szCs w:val="22"/>
          <w:lang w:val="cs-CZ"/>
        </w:rPr>
        <w:tab/>
        <w:t>ZVLÁŠTNÍ OPATŘENÍ PRO ZNEŠKODŇOVÁNÍ NEPOUŽITÝCH PŘÍPRAVKŮ NEBO ODPADU</w:t>
      </w:r>
      <w:r w:rsidR="00AC7865">
        <w:rPr>
          <w:b/>
          <w:bCs/>
          <w:szCs w:val="22"/>
          <w:lang w:val="cs-CZ"/>
        </w:rPr>
        <w:t>, POKUD JE JICH TŘEBA</w:t>
      </w:r>
    </w:p>
    <w:p w:rsidR="00770839" w:rsidRPr="0001418D" w:rsidRDefault="00770839" w:rsidP="00770839">
      <w:pPr>
        <w:rPr>
          <w:szCs w:val="22"/>
          <w:lang w:val="cs-CZ"/>
        </w:rPr>
      </w:pPr>
    </w:p>
    <w:p w:rsidR="00770839" w:rsidRPr="0001418D" w:rsidRDefault="00770839" w:rsidP="00770839">
      <w:pPr>
        <w:rPr>
          <w:szCs w:val="22"/>
          <w:lang w:val="cs-CZ"/>
        </w:rPr>
      </w:pPr>
      <w:r w:rsidRPr="0001418D">
        <w:rPr>
          <w:lang w:val="cs-CZ"/>
        </w:rPr>
        <w:t>Všechen nepoužitý veterinární léčivý přípravek nebo odpad, který pochází z tohoto přípravku, musí být likvidován podle místních právních předpisů.</w:t>
      </w:r>
    </w:p>
    <w:p w:rsidR="00770839" w:rsidRPr="0001418D" w:rsidRDefault="00770839" w:rsidP="00770839">
      <w:pPr>
        <w:rPr>
          <w:szCs w:val="22"/>
          <w:lang w:val="cs-CZ"/>
        </w:rPr>
      </w:pPr>
    </w:p>
    <w:p w:rsidR="00770839" w:rsidRPr="0001418D" w:rsidRDefault="00770839" w:rsidP="00770839">
      <w:pPr>
        <w:rPr>
          <w:szCs w:val="22"/>
          <w:lang w:val="cs-CZ"/>
        </w:rPr>
      </w:pPr>
    </w:p>
    <w:p w:rsidR="00770839" w:rsidRPr="0001418D" w:rsidRDefault="00770839" w:rsidP="00770839">
      <w:pPr>
        <w:rPr>
          <w:szCs w:val="22"/>
          <w:lang w:val="cs-CZ"/>
        </w:rPr>
      </w:pPr>
      <w:r w:rsidRPr="00027658">
        <w:rPr>
          <w:b/>
          <w:bCs/>
          <w:szCs w:val="22"/>
          <w:highlight w:val="lightGray"/>
          <w:lang w:val="cs-CZ"/>
        </w:rPr>
        <w:t>14.</w:t>
      </w:r>
      <w:r w:rsidRPr="0001418D">
        <w:rPr>
          <w:b/>
          <w:bCs/>
          <w:szCs w:val="22"/>
          <w:lang w:val="cs-CZ"/>
        </w:rPr>
        <w:tab/>
        <w:t>DATUM POSLEDNÍ REVIZE PŘÍBALOVÉ INFORMACE</w:t>
      </w:r>
    </w:p>
    <w:p w:rsidR="00770839" w:rsidRPr="0001418D" w:rsidRDefault="00770839" w:rsidP="00770839">
      <w:pPr>
        <w:rPr>
          <w:szCs w:val="22"/>
          <w:lang w:val="cs-CZ"/>
        </w:rPr>
      </w:pPr>
    </w:p>
    <w:p w:rsidR="00770839" w:rsidRDefault="008277E6" w:rsidP="00770839">
      <w:pPr>
        <w:rPr>
          <w:szCs w:val="22"/>
          <w:lang w:val="cs-CZ"/>
        </w:rPr>
      </w:pPr>
      <w:r>
        <w:rPr>
          <w:szCs w:val="22"/>
          <w:lang w:val="cs-CZ"/>
        </w:rPr>
        <w:t>Srpen</w:t>
      </w:r>
      <w:bookmarkStart w:id="7" w:name="_GoBack"/>
      <w:bookmarkEnd w:id="7"/>
      <w:r w:rsidR="009803F0">
        <w:rPr>
          <w:szCs w:val="22"/>
          <w:lang w:val="cs-CZ"/>
        </w:rPr>
        <w:t xml:space="preserve"> 2019</w:t>
      </w:r>
    </w:p>
    <w:p w:rsidR="009803F0" w:rsidRPr="0001418D" w:rsidRDefault="009803F0" w:rsidP="00770839">
      <w:pPr>
        <w:rPr>
          <w:szCs w:val="22"/>
          <w:lang w:val="cs-CZ"/>
        </w:rPr>
      </w:pPr>
    </w:p>
    <w:p w:rsidR="00770839" w:rsidRPr="0001418D" w:rsidRDefault="00770839" w:rsidP="00770839">
      <w:pPr>
        <w:rPr>
          <w:szCs w:val="22"/>
          <w:lang w:val="cs-CZ"/>
        </w:rPr>
      </w:pPr>
      <w:r w:rsidRPr="00027658">
        <w:rPr>
          <w:b/>
          <w:bCs/>
          <w:szCs w:val="22"/>
          <w:highlight w:val="lightGray"/>
          <w:lang w:val="cs-CZ"/>
        </w:rPr>
        <w:t>15.</w:t>
      </w:r>
      <w:r w:rsidRPr="0001418D">
        <w:rPr>
          <w:b/>
          <w:bCs/>
          <w:szCs w:val="22"/>
          <w:lang w:val="cs-CZ"/>
        </w:rPr>
        <w:tab/>
        <w:t>DALŠÍ INFORMACE</w:t>
      </w:r>
    </w:p>
    <w:p w:rsidR="00770839" w:rsidRPr="0001418D" w:rsidRDefault="00770839" w:rsidP="00770839">
      <w:pPr>
        <w:rPr>
          <w:szCs w:val="22"/>
          <w:lang w:val="cs-CZ"/>
        </w:rPr>
      </w:pPr>
    </w:p>
    <w:p w:rsidR="006A0DF5" w:rsidRDefault="006A0DF5" w:rsidP="006A0DF5">
      <w:r>
        <w:t>Pouze pro zvířata.</w:t>
      </w:r>
    </w:p>
    <w:p w:rsidR="006A0DF5" w:rsidRDefault="006A0DF5" w:rsidP="006A0DF5">
      <w:r>
        <w:t>Veterinární léčivý přípravek je vydáván pouze na předpis.</w:t>
      </w:r>
    </w:p>
    <w:p w:rsidR="006A0DF5" w:rsidRDefault="006A0DF5" w:rsidP="00770839">
      <w:pPr>
        <w:rPr>
          <w:szCs w:val="22"/>
          <w:lang w:val="cs-CZ"/>
        </w:rPr>
      </w:pPr>
    </w:p>
    <w:p w:rsidR="00770839" w:rsidRPr="0001418D" w:rsidRDefault="003200A3" w:rsidP="00770839">
      <w:pPr>
        <w:rPr>
          <w:szCs w:val="22"/>
          <w:lang w:val="cs-CZ"/>
        </w:rPr>
      </w:pPr>
      <w:r>
        <w:rPr>
          <w:szCs w:val="22"/>
          <w:lang w:val="cs-CZ"/>
        </w:rPr>
        <w:t>Bezbarvé</w:t>
      </w:r>
      <w:r w:rsidRPr="0001418D">
        <w:rPr>
          <w:szCs w:val="22"/>
          <w:lang w:val="cs-CZ"/>
        </w:rPr>
        <w:t xml:space="preserve"> </w:t>
      </w:r>
      <w:r w:rsidR="00770839" w:rsidRPr="0001418D">
        <w:rPr>
          <w:szCs w:val="22"/>
          <w:lang w:val="cs-CZ"/>
        </w:rPr>
        <w:t xml:space="preserve">injekční lahvičky ze skla typu I o </w:t>
      </w:r>
      <w:r>
        <w:rPr>
          <w:szCs w:val="22"/>
          <w:lang w:val="cs-CZ"/>
        </w:rPr>
        <w:t>objemu</w:t>
      </w:r>
      <w:r w:rsidRPr="0001418D">
        <w:rPr>
          <w:szCs w:val="22"/>
          <w:lang w:val="cs-CZ"/>
        </w:rPr>
        <w:t xml:space="preserve"> </w:t>
      </w:r>
      <w:r w:rsidR="00770839" w:rsidRPr="0001418D">
        <w:rPr>
          <w:szCs w:val="22"/>
          <w:lang w:val="cs-CZ"/>
        </w:rPr>
        <w:t>2</w:t>
      </w:r>
      <w:r w:rsidR="006F4F69" w:rsidRPr="0001418D">
        <w:rPr>
          <w:szCs w:val="22"/>
          <w:lang w:val="cs-CZ"/>
        </w:rPr>
        <w:t>0 </w:t>
      </w:r>
      <w:r w:rsidR="00770839" w:rsidRPr="0001418D">
        <w:rPr>
          <w:szCs w:val="22"/>
          <w:lang w:val="cs-CZ"/>
        </w:rPr>
        <w:t>ml, 5</w:t>
      </w:r>
      <w:r w:rsidR="006F4F69" w:rsidRPr="0001418D">
        <w:rPr>
          <w:szCs w:val="22"/>
          <w:lang w:val="cs-CZ"/>
        </w:rPr>
        <w:t>0 </w:t>
      </w:r>
      <w:r w:rsidR="00770839" w:rsidRPr="0001418D">
        <w:rPr>
          <w:szCs w:val="22"/>
          <w:lang w:val="cs-CZ"/>
        </w:rPr>
        <w:t>ml a 10</w:t>
      </w:r>
      <w:r w:rsidR="006F4F69" w:rsidRPr="0001418D">
        <w:rPr>
          <w:szCs w:val="22"/>
          <w:lang w:val="cs-CZ"/>
        </w:rPr>
        <w:t>0 </w:t>
      </w:r>
      <w:r w:rsidR="00770839" w:rsidRPr="0001418D">
        <w:rPr>
          <w:szCs w:val="22"/>
          <w:lang w:val="cs-CZ"/>
        </w:rPr>
        <w:t xml:space="preserve">ml uzavřené potaženou bromobutylovou gumovou zátkou a </w:t>
      </w:r>
      <w:r w:rsidRPr="0001418D">
        <w:rPr>
          <w:szCs w:val="22"/>
          <w:lang w:val="cs-CZ"/>
        </w:rPr>
        <w:t>hliníkov</w:t>
      </w:r>
      <w:r>
        <w:rPr>
          <w:szCs w:val="22"/>
          <w:lang w:val="cs-CZ"/>
        </w:rPr>
        <w:t>ou</w:t>
      </w:r>
      <w:r w:rsidRPr="0001418D">
        <w:rPr>
          <w:szCs w:val="22"/>
          <w:lang w:val="cs-CZ"/>
        </w:rPr>
        <w:t xml:space="preserve"> </w:t>
      </w:r>
      <w:r>
        <w:rPr>
          <w:szCs w:val="22"/>
          <w:lang w:val="cs-CZ"/>
        </w:rPr>
        <w:t>pertlí</w:t>
      </w:r>
      <w:r w:rsidRPr="0001418D">
        <w:rPr>
          <w:szCs w:val="22"/>
          <w:lang w:val="cs-CZ"/>
        </w:rPr>
        <w:t xml:space="preserve"> </w:t>
      </w:r>
      <w:r w:rsidR="00770839" w:rsidRPr="0001418D">
        <w:rPr>
          <w:szCs w:val="22"/>
          <w:lang w:val="cs-CZ"/>
        </w:rPr>
        <w:t>v</w:t>
      </w:r>
      <w:r w:rsidR="007223E9" w:rsidRPr="0001418D">
        <w:rPr>
          <w:szCs w:val="22"/>
          <w:lang w:val="cs-CZ"/>
        </w:rPr>
        <w:t xml:space="preserve"> papírové </w:t>
      </w:r>
      <w:r w:rsidR="00770839" w:rsidRPr="0001418D">
        <w:rPr>
          <w:szCs w:val="22"/>
          <w:lang w:val="cs-CZ"/>
        </w:rPr>
        <w:t>krabičce.</w:t>
      </w:r>
    </w:p>
    <w:p w:rsidR="00770839" w:rsidRPr="006F4F69" w:rsidRDefault="00770839" w:rsidP="00770839">
      <w:pPr>
        <w:rPr>
          <w:szCs w:val="22"/>
          <w:lang w:val="cs-CZ"/>
        </w:rPr>
      </w:pPr>
      <w:r w:rsidRPr="0001418D">
        <w:rPr>
          <w:szCs w:val="22"/>
          <w:lang w:val="cs-CZ"/>
        </w:rPr>
        <w:t>Na trhu nemusí být všechny velikosti balení.</w:t>
      </w:r>
    </w:p>
    <w:p w:rsidR="00770839" w:rsidRPr="006F4F69" w:rsidRDefault="00770839" w:rsidP="00770839">
      <w:pPr>
        <w:rPr>
          <w:szCs w:val="22"/>
          <w:lang w:val="cs-CZ"/>
        </w:rPr>
      </w:pPr>
    </w:p>
    <w:p w:rsidR="00770839" w:rsidRPr="006F4F69" w:rsidRDefault="00770839" w:rsidP="004B57C0">
      <w:pPr>
        <w:rPr>
          <w:sz w:val="22"/>
          <w:szCs w:val="22"/>
          <w:lang w:val="cs-CZ"/>
        </w:rPr>
      </w:pPr>
    </w:p>
    <w:sectPr w:rsidR="00770839" w:rsidRPr="006F4F69" w:rsidSect="00742AA7">
      <w:headerReference w:type="default" r:id="rId12"/>
      <w:footerReference w:type="default" r:id="rId13"/>
      <w:pgSz w:w="12240" w:h="15840" w:code="1"/>
      <w:pgMar w:top="1134" w:right="20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87" w:rsidRDefault="00912587">
      <w:r>
        <w:separator/>
      </w:r>
    </w:p>
  </w:endnote>
  <w:endnote w:type="continuationSeparator" w:id="0">
    <w:p w:rsidR="00912587" w:rsidRDefault="0091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6AE" w:rsidRPr="003056DC" w:rsidRDefault="002D56AE" w:rsidP="00422A1C">
    <w:pPr>
      <w:pStyle w:val="Zpat"/>
      <w:jc w:val="center"/>
      <w:rPr>
        <w:sz w:val="16"/>
      </w:rPr>
    </w:pPr>
    <w:r>
      <w:rPr>
        <w:sz w:val="16"/>
      </w:rPr>
      <w:fldChar w:fldCharType="begin"/>
    </w:r>
    <w:r>
      <w:rPr>
        <w:sz w:val="16"/>
      </w:rPr>
      <w:instrText>PAGE   \* MERGEFORMAT</w:instrText>
    </w:r>
    <w:r>
      <w:rPr>
        <w:sz w:val="16"/>
      </w:rPr>
      <w:fldChar w:fldCharType="separate"/>
    </w:r>
    <w:r w:rsidR="00912587">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87" w:rsidRDefault="00912587">
      <w:r>
        <w:separator/>
      </w:r>
    </w:p>
  </w:footnote>
  <w:footnote w:type="continuationSeparator" w:id="0">
    <w:p w:rsidR="00912587" w:rsidRDefault="0091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0E" w:rsidRPr="00CB6C0E" w:rsidRDefault="00CB6C0E">
    <w:pPr>
      <w:pStyle w:val="Zhlav"/>
      <w:rPr>
        <w:lang w:val="cs-CZ"/>
      </w:rPr>
    </w:pPr>
    <w:r>
      <w:rPr>
        <w:lang w:val="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E45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41E06A9C"/>
    <w:multiLevelType w:val="hybridMultilevel"/>
    <w:tmpl w:val="821AC8E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nsid w:val="437D5D33"/>
    <w:multiLevelType w:val="hybridMultilevel"/>
    <w:tmpl w:val="547E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5907C1"/>
    <w:multiLevelType w:val="hybridMultilevel"/>
    <w:tmpl w:val="CBD2B6A8"/>
    <w:lvl w:ilvl="0" w:tplc="179C3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C088E"/>
    <w:multiLevelType w:val="multilevel"/>
    <w:tmpl w:val="B89EFC1C"/>
    <w:lvl w:ilvl="0">
      <w:start w:val="8"/>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70401F19"/>
    <w:multiLevelType w:val="hybridMultilevel"/>
    <w:tmpl w:val="63763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8073F3"/>
    <w:multiLevelType w:val="hybridMultilevel"/>
    <w:tmpl w:val="E4DEC5AE"/>
    <w:lvl w:ilvl="0" w:tplc="179C3306">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nsid w:val="784C5DD0"/>
    <w:multiLevelType w:val="hybridMultilevel"/>
    <w:tmpl w:val="9CA61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4"/>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20"/>
    <w:rsid w:val="00002B04"/>
    <w:rsid w:val="00002D9F"/>
    <w:rsid w:val="0001418D"/>
    <w:rsid w:val="000160D6"/>
    <w:rsid w:val="00027658"/>
    <w:rsid w:val="000311F5"/>
    <w:rsid w:val="00033B43"/>
    <w:rsid w:val="00034001"/>
    <w:rsid w:val="00046E2D"/>
    <w:rsid w:val="00064BE8"/>
    <w:rsid w:val="00094241"/>
    <w:rsid w:val="000A66E9"/>
    <w:rsid w:val="000B1883"/>
    <w:rsid w:val="000C4666"/>
    <w:rsid w:val="000C71F8"/>
    <w:rsid w:val="000C7DB6"/>
    <w:rsid w:val="000D2676"/>
    <w:rsid w:val="000D69A8"/>
    <w:rsid w:val="00103CF3"/>
    <w:rsid w:val="001102AB"/>
    <w:rsid w:val="00134792"/>
    <w:rsid w:val="00142257"/>
    <w:rsid w:val="00142326"/>
    <w:rsid w:val="001435BB"/>
    <w:rsid w:val="00157E6C"/>
    <w:rsid w:val="00160B68"/>
    <w:rsid w:val="0018117F"/>
    <w:rsid w:val="00185400"/>
    <w:rsid w:val="0019718C"/>
    <w:rsid w:val="001A0C3C"/>
    <w:rsid w:val="001B6F5A"/>
    <w:rsid w:val="001D344B"/>
    <w:rsid w:val="001E791B"/>
    <w:rsid w:val="001F0768"/>
    <w:rsid w:val="001F6D18"/>
    <w:rsid w:val="00214707"/>
    <w:rsid w:val="0022675A"/>
    <w:rsid w:val="0024667D"/>
    <w:rsid w:val="002509AF"/>
    <w:rsid w:val="002707AA"/>
    <w:rsid w:val="00271417"/>
    <w:rsid w:val="00281407"/>
    <w:rsid w:val="00282291"/>
    <w:rsid w:val="00283B29"/>
    <w:rsid w:val="00284A06"/>
    <w:rsid w:val="002854E2"/>
    <w:rsid w:val="00293F7E"/>
    <w:rsid w:val="002A3D60"/>
    <w:rsid w:val="002A6346"/>
    <w:rsid w:val="002A7C0A"/>
    <w:rsid w:val="002B6CC7"/>
    <w:rsid w:val="002C4B3B"/>
    <w:rsid w:val="002D2681"/>
    <w:rsid w:val="002D56AE"/>
    <w:rsid w:val="002D6BDA"/>
    <w:rsid w:val="002D6F46"/>
    <w:rsid w:val="002D7DFA"/>
    <w:rsid w:val="002E1351"/>
    <w:rsid w:val="002E51E3"/>
    <w:rsid w:val="0030031E"/>
    <w:rsid w:val="00300A05"/>
    <w:rsid w:val="003056DC"/>
    <w:rsid w:val="00306A07"/>
    <w:rsid w:val="0030778B"/>
    <w:rsid w:val="00315FFB"/>
    <w:rsid w:val="003200A3"/>
    <w:rsid w:val="00325C79"/>
    <w:rsid w:val="00331155"/>
    <w:rsid w:val="00331B6F"/>
    <w:rsid w:val="00331D8E"/>
    <w:rsid w:val="00340174"/>
    <w:rsid w:val="003709E2"/>
    <w:rsid w:val="00380AFD"/>
    <w:rsid w:val="003865D0"/>
    <w:rsid w:val="00393728"/>
    <w:rsid w:val="003A40CA"/>
    <w:rsid w:val="003B23A5"/>
    <w:rsid w:val="003B46B1"/>
    <w:rsid w:val="003C28D4"/>
    <w:rsid w:val="003D0878"/>
    <w:rsid w:val="003E2CB1"/>
    <w:rsid w:val="003E5A70"/>
    <w:rsid w:val="003F4363"/>
    <w:rsid w:val="00402888"/>
    <w:rsid w:val="00404F49"/>
    <w:rsid w:val="00405285"/>
    <w:rsid w:val="004055D0"/>
    <w:rsid w:val="00422A1C"/>
    <w:rsid w:val="0042571B"/>
    <w:rsid w:val="00431404"/>
    <w:rsid w:val="0045223D"/>
    <w:rsid w:val="0046102A"/>
    <w:rsid w:val="00463E92"/>
    <w:rsid w:val="004731B9"/>
    <w:rsid w:val="0047540A"/>
    <w:rsid w:val="004878B7"/>
    <w:rsid w:val="0049083C"/>
    <w:rsid w:val="004967BD"/>
    <w:rsid w:val="004A610F"/>
    <w:rsid w:val="004B57C0"/>
    <w:rsid w:val="004C5B01"/>
    <w:rsid w:val="004D14E6"/>
    <w:rsid w:val="004E2489"/>
    <w:rsid w:val="004E74B3"/>
    <w:rsid w:val="004F4244"/>
    <w:rsid w:val="00503A07"/>
    <w:rsid w:val="005045EA"/>
    <w:rsid w:val="0052004B"/>
    <w:rsid w:val="005235FF"/>
    <w:rsid w:val="005345AA"/>
    <w:rsid w:val="00536977"/>
    <w:rsid w:val="00537E75"/>
    <w:rsid w:val="00540B5F"/>
    <w:rsid w:val="0054795A"/>
    <w:rsid w:val="00574BDC"/>
    <w:rsid w:val="00590303"/>
    <w:rsid w:val="00590881"/>
    <w:rsid w:val="00590BB1"/>
    <w:rsid w:val="005A0CB7"/>
    <w:rsid w:val="005A39F3"/>
    <w:rsid w:val="005B0913"/>
    <w:rsid w:val="005B6EFE"/>
    <w:rsid w:val="005C10C1"/>
    <w:rsid w:val="005C2ED6"/>
    <w:rsid w:val="005D063F"/>
    <w:rsid w:val="005D397C"/>
    <w:rsid w:val="005D7A28"/>
    <w:rsid w:val="00612AB6"/>
    <w:rsid w:val="006203DD"/>
    <w:rsid w:val="006258A6"/>
    <w:rsid w:val="0062617E"/>
    <w:rsid w:val="00633764"/>
    <w:rsid w:val="006644C6"/>
    <w:rsid w:val="0067689B"/>
    <w:rsid w:val="00680EF6"/>
    <w:rsid w:val="00682B0D"/>
    <w:rsid w:val="006900E6"/>
    <w:rsid w:val="006A0DF5"/>
    <w:rsid w:val="006A68C8"/>
    <w:rsid w:val="006B194C"/>
    <w:rsid w:val="006B4E57"/>
    <w:rsid w:val="006C2B9B"/>
    <w:rsid w:val="006D1308"/>
    <w:rsid w:val="006D397C"/>
    <w:rsid w:val="006D6573"/>
    <w:rsid w:val="006E1476"/>
    <w:rsid w:val="006E26BC"/>
    <w:rsid w:val="006E49F5"/>
    <w:rsid w:val="006F4F69"/>
    <w:rsid w:val="00702503"/>
    <w:rsid w:val="007033A3"/>
    <w:rsid w:val="00716AC9"/>
    <w:rsid w:val="007223E9"/>
    <w:rsid w:val="00722767"/>
    <w:rsid w:val="00731578"/>
    <w:rsid w:val="00740796"/>
    <w:rsid w:val="00742AA7"/>
    <w:rsid w:val="00756063"/>
    <w:rsid w:val="0075669D"/>
    <w:rsid w:val="00766BA3"/>
    <w:rsid w:val="00767E8E"/>
    <w:rsid w:val="00770839"/>
    <w:rsid w:val="00772FB4"/>
    <w:rsid w:val="0078516F"/>
    <w:rsid w:val="0078703B"/>
    <w:rsid w:val="00794AF6"/>
    <w:rsid w:val="007A3652"/>
    <w:rsid w:val="007A66E1"/>
    <w:rsid w:val="007B0F9F"/>
    <w:rsid w:val="007C743B"/>
    <w:rsid w:val="007D23C5"/>
    <w:rsid w:val="007D3B54"/>
    <w:rsid w:val="007D4869"/>
    <w:rsid w:val="007E4223"/>
    <w:rsid w:val="007E5F1E"/>
    <w:rsid w:val="007F04C1"/>
    <w:rsid w:val="00821CD7"/>
    <w:rsid w:val="008277E6"/>
    <w:rsid w:val="008308B2"/>
    <w:rsid w:val="0083316E"/>
    <w:rsid w:val="0083567C"/>
    <w:rsid w:val="00853AAA"/>
    <w:rsid w:val="00867290"/>
    <w:rsid w:val="00881D80"/>
    <w:rsid w:val="008914FF"/>
    <w:rsid w:val="008B5EFA"/>
    <w:rsid w:val="008C38CA"/>
    <w:rsid w:val="008D68E8"/>
    <w:rsid w:val="008D7805"/>
    <w:rsid w:val="008E0470"/>
    <w:rsid w:val="008E494E"/>
    <w:rsid w:val="008F1A50"/>
    <w:rsid w:val="008F5D96"/>
    <w:rsid w:val="00904D31"/>
    <w:rsid w:val="00905181"/>
    <w:rsid w:val="00912587"/>
    <w:rsid w:val="009205BB"/>
    <w:rsid w:val="0092294C"/>
    <w:rsid w:val="00927E40"/>
    <w:rsid w:val="0094333D"/>
    <w:rsid w:val="00956109"/>
    <w:rsid w:val="00956FE7"/>
    <w:rsid w:val="009608CE"/>
    <w:rsid w:val="00961F00"/>
    <w:rsid w:val="00977DD0"/>
    <w:rsid w:val="009803F0"/>
    <w:rsid w:val="0098275C"/>
    <w:rsid w:val="0098495F"/>
    <w:rsid w:val="009905FC"/>
    <w:rsid w:val="009A47F9"/>
    <w:rsid w:val="009B739F"/>
    <w:rsid w:val="009C3639"/>
    <w:rsid w:val="009C53E4"/>
    <w:rsid w:val="009D04B1"/>
    <w:rsid w:val="009F3C4C"/>
    <w:rsid w:val="00A01CBD"/>
    <w:rsid w:val="00A02A18"/>
    <w:rsid w:val="00A3012B"/>
    <w:rsid w:val="00A54C46"/>
    <w:rsid w:val="00A61369"/>
    <w:rsid w:val="00A626DB"/>
    <w:rsid w:val="00A728D5"/>
    <w:rsid w:val="00A756F1"/>
    <w:rsid w:val="00A81C05"/>
    <w:rsid w:val="00A93466"/>
    <w:rsid w:val="00A9764D"/>
    <w:rsid w:val="00AA451F"/>
    <w:rsid w:val="00AA6B47"/>
    <w:rsid w:val="00AB0FEC"/>
    <w:rsid w:val="00AC30AD"/>
    <w:rsid w:val="00AC5CE0"/>
    <w:rsid w:val="00AC6CC5"/>
    <w:rsid w:val="00AC7865"/>
    <w:rsid w:val="00AE2094"/>
    <w:rsid w:val="00AE27C4"/>
    <w:rsid w:val="00AE5065"/>
    <w:rsid w:val="00AE6994"/>
    <w:rsid w:val="00AF21B1"/>
    <w:rsid w:val="00AF5E61"/>
    <w:rsid w:val="00AF77EF"/>
    <w:rsid w:val="00B12AF3"/>
    <w:rsid w:val="00B14B43"/>
    <w:rsid w:val="00B2151C"/>
    <w:rsid w:val="00B44EA9"/>
    <w:rsid w:val="00B4579D"/>
    <w:rsid w:val="00B4606F"/>
    <w:rsid w:val="00B5448C"/>
    <w:rsid w:val="00B63DCB"/>
    <w:rsid w:val="00B71A00"/>
    <w:rsid w:val="00B71AAF"/>
    <w:rsid w:val="00B85D53"/>
    <w:rsid w:val="00B87131"/>
    <w:rsid w:val="00BA096F"/>
    <w:rsid w:val="00BA1C52"/>
    <w:rsid w:val="00BB4E0B"/>
    <w:rsid w:val="00BC0C23"/>
    <w:rsid w:val="00BC55D8"/>
    <w:rsid w:val="00BD1CAE"/>
    <w:rsid w:val="00BD2E16"/>
    <w:rsid w:val="00BE0510"/>
    <w:rsid w:val="00BE5B72"/>
    <w:rsid w:val="00BF1DCA"/>
    <w:rsid w:val="00BF340B"/>
    <w:rsid w:val="00BF6F20"/>
    <w:rsid w:val="00C01B8F"/>
    <w:rsid w:val="00C1229F"/>
    <w:rsid w:val="00C16E86"/>
    <w:rsid w:val="00C22C9D"/>
    <w:rsid w:val="00C41E85"/>
    <w:rsid w:val="00C44BE2"/>
    <w:rsid w:val="00C46F60"/>
    <w:rsid w:val="00C54905"/>
    <w:rsid w:val="00C66DB5"/>
    <w:rsid w:val="00C724C6"/>
    <w:rsid w:val="00C74825"/>
    <w:rsid w:val="00C80E77"/>
    <w:rsid w:val="00C828CC"/>
    <w:rsid w:val="00C87100"/>
    <w:rsid w:val="00C93E42"/>
    <w:rsid w:val="00C94BBD"/>
    <w:rsid w:val="00CB68E5"/>
    <w:rsid w:val="00CB6C0E"/>
    <w:rsid w:val="00CC1141"/>
    <w:rsid w:val="00CC525B"/>
    <w:rsid w:val="00CF0110"/>
    <w:rsid w:val="00CF337F"/>
    <w:rsid w:val="00CF590F"/>
    <w:rsid w:val="00D00851"/>
    <w:rsid w:val="00D019DC"/>
    <w:rsid w:val="00D02AE2"/>
    <w:rsid w:val="00D13D2A"/>
    <w:rsid w:val="00D26803"/>
    <w:rsid w:val="00D32663"/>
    <w:rsid w:val="00D3687A"/>
    <w:rsid w:val="00D37715"/>
    <w:rsid w:val="00D40C70"/>
    <w:rsid w:val="00D41610"/>
    <w:rsid w:val="00D42B95"/>
    <w:rsid w:val="00D44108"/>
    <w:rsid w:val="00D458AB"/>
    <w:rsid w:val="00D5176D"/>
    <w:rsid w:val="00D67E24"/>
    <w:rsid w:val="00D806D9"/>
    <w:rsid w:val="00D868B0"/>
    <w:rsid w:val="00D868F3"/>
    <w:rsid w:val="00D87F49"/>
    <w:rsid w:val="00D94E02"/>
    <w:rsid w:val="00DA33BF"/>
    <w:rsid w:val="00DA34CA"/>
    <w:rsid w:val="00DB4923"/>
    <w:rsid w:val="00DC7A8A"/>
    <w:rsid w:val="00DD10F2"/>
    <w:rsid w:val="00DD7C33"/>
    <w:rsid w:val="00DD7EE5"/>
    <w:rsid w:val="00DF2DF5"/>
    <w:rsid w:val="00DF3C47"/>
    <w:rsid w:val="00DF58AC"/>
    <w:rsid w:val="00E20008"/>
    <w:rsid w:val="00E32392"/>
    <w:rsid w:val="00E36F4C"/>
    <w:rsid w:val="00E4482C"/>
    <w:rsid w:val="00E45A7E"/>
    <w:rsid w:val="00E46624"/>
    <w:rsid w:val="00E540FC"/>
    <w:rsid w:val="00E63A8C"/>
    <w:rsid w:val="00E65EE9"/>
    <w:rsid w:val="00E77F7F"/>
    <w:rsid w:val="00E852F3"/>
    <w:rsid w:val="00EA7465"/>
    <w:rsid w:val="00EC574D"/>
    <w:rsid w:val="00EC5D9E"/>
    <w:rsid w:val="00ED70F4"/>
    <w:rsid w:val="00EE2D06"/>
    <w:rsid w:val="00EE6669"/>
    <w:rsid w:val="00EF284A"/>
    <w:rsid w:val="00F05A44"/>
    <w:rsid w:val="00F161A7"/>
    <w:rsid w:val="00F16E6F"/>
    <w:rsid w:val="00F323CA"/>
    <w:rsid w:val="00F32A63"/>
    <w:rsid w:val="00F4077B"/>
    <w:rsid w:val="00F44AC2"/>
    <w:rsid w:val="00F45D2E"/>
    <w:rsid w:val="00F534D4"/>
    <w:rsid w:val="00F54B8C"/>
    <w:rsid w:val="00F57D19"/>
    <w:rsid w:val="00F63486"/>
    <w:rsid w:val="00F64EE1"/>
    <w:rsid w:val="00F65502"/>
    <w:rsid w:val="00F71038"/>
    <w:rsid w:val="00F715DA"/>
    <w:rsid w:val="00F86E88"/>
    <w:rsid w:val="00F8719E"/>
    <w:rsid w:val="00F90013"/>
    <w:rsid w:val="00F92F19"/>
    <w:rsid w:val="00F93DCF"/>
    <w:rsid w:val="00F94E2E"/>
    <w:rsid w:val="00F9515B"/>
    <w:rsid w:val="00F97588"/>
    <w:rsid w:val="00F97C6C"/>
    <w:rsid w:val="00FA3174"/>
    <w:rsid w:val="00FB1C0B"/>
    <w:rsid w:val="00FC30A4"/>
    <w:rsid w:val="00FC48A9"/>
    <w:rsid w:val="00FC6C88"/>
    <w:rsid w:val="00FD4719"/>
    <w:rsid w:val="00FD7906"/>
    <w:rsid w:val="00FD7D8D"/>
    <w:rsid w:val="00FE3191"/>
    <w:rsid w:val="00FE58DD"/>
    <w:rsid w:val="00FF4325"/>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6F20"/>
    <w:rPr>
      <w:sz w:val="24"/>
      <w:szCs w:val="24"/>
      <w:lang w:val="en-GB" w:eastAsia="en-US"/>
    </w:rPr>
  </w:style>
  <w:style w:type="paragraph" w:styleId="Nadpis3">
    <w:name w:val="heading 3"/>
    <w:basedOn w:val="Normln"/>
    <w:next w:val="Normln"/>
    <w:link w:val="Nadpis3Char"/>
    <w:qFormat/>
    <w:rsid w:val="00BF6F20"/>
    <w:pPr>
      <w:keepNext/>
      <w:spacing w:line="360" w:lineRule="atLeast"/>
      <w:jc w:val="center"/>
      <w:outlineLvl w:val="2"/>
    </w:pPr>
    <w:rPr>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F6F20"/>
    <w:pPr>
      <w:spacing w:line="360" w:lineRule="atLeast"/>
      <w:jc w:val="center"/>
    </w:pPr>
    <w:rPr>
      <w:b/>
      <w:sz w:val="26"/>
    </w:rPr>
  </w:style>
  <w:style w:type="paragraph" w:styleId="Zkladntextodsazen">
    <w:name w:val="Body Text Indent"/>
    <w:basedOn w:val="Normln"/>
    <w:link w:val="ZkladntextodsazenChar"/>
    <w:rsid w:val="00BF6F20"/>
    <w:pPr>
      <w:ind w:left="720" w:hanging="720"/>
      <w:jc w:val="both"/>
    </w:pPr>
    <w:rPr>
      <w:sz w:val="26"/>
    </w:rPr>
  </w:style>
  <w:style w:type="paragraph" w:styleId="Zhlav">
    <w:name w:val="header"/>
    <w:basedOn w:val="Normln"/>
    <w:rsid w:val="00BF6F20"/>
    <w:pPr>
      <w:tabs>
        <w:tab w:val="center" w:pos="4320"/>
        <w:tab w:val="right" w:pos="8640"/>
      </w:tabs>
    </w:pPr>
  </w:style>
  <w:style w:type="paragraph" w:styleId="Zpat">
    <w:name w:val="footer"/>
    <w:basedOn w:val="Normln"/>
    <w:link w:val="ZpatChar"/>
    <w:uiPriority w:val="99"/>
    <w:rsid w:val="00BF6F20"/>
    <w:pPr>
      <w:tabs>
        <w:tab w:val="center" w:pos="4320"/>
        <w:tab w:val="right" w:pos="8640"/>
      </w:tabs>
    </w:pPr>
  </w:style>
  <w:style w:type="paragraph" w:styleId="Textvbloku">
    <w:name w:val="Block Text"/>
    <w:basedOn w:val="Normln"/>
    <w:rsid w:val="00536977"/>
    <w:pPr>
      <w:overflowPunct w:val="0"/>
      <w:autoSpaceDE w:val="0"/>
      <w:autoSpaceDN w:val="0"/>
      <w:adjustRightInd w:val="0"/>
      <w:ind w:left="34" w:right="-14" w:hanging="34"/>
      <w:jc w:val="both"/>
      <w:textAlignment w:val="baseline"/>
    </w:pPr>
    <w:rPr>
      <w:b/>
      <w:bCs/>
      <w:sz w:val="22"/>
      <w:szCs w:val="20"/>
    </w:rPr>
  </w:style>
  <w:style w:type="character" w:customStyle="1" w:styleId="Nadpis3Char">
    <w:name w:val="Nadpis 3 Char"/>
    <w:link w:val="Nadpis3"/>
    <w:rsid w:val="000C4666"/>
    <w:rPr>
      <w:b/>
      <w:bCs/>
      <w:sz w:val="26"/>
      <w:szCs w:val="24"/>
      <w:u w:val="single"/>
      <w:lang w:eastAsia="en-US"/>
    </w:rPr>
  </w:style>
  <w:style w:type="character" w:customStyle="1" w:styleId="NzevChar">
    <w:name w:val="Název Char"/>
    <w:link w:val="Nzev"/>
    <w:rsid w:val="000C4666"/>
    <w:rPr>
      <w:b/>
      <w:sz w:val="26"/>
      <w:szCs w:val="24"/>
      <w:lang w:eastAsia="en-US"/>
    </w:rPr>
  </w:style>
  <w:style w:type="character" w:customStyle="1" w:styleId="ZkladntextodsazenChar">
    <w:name w:val="Základní text odsazený Char"/>
    <w:link w:val="Zkladntextodsazen"/>
    <w:rsid w:val="000C4666"/>
    <w:rPr>
      <w:sz w:val="26"/>
      <w:szCs w:val="24"/>
      <w:lang w:eastAsia="en-US"/>
    </w:rPr>
  </w:style>
  <w:style w:type="character" w:customStyle="1" w:styleId="ZpatChar">
    <w:name w:val="Zápatí Char"/>
    <w:link w:val="Zpat"/>
    <w:uiPriority w:val="99"/>
    <w:rsid w:val="00D44108"/>
    <w:rPr>
      <w:sz w:val="24"/>
      <w:szCs w:val="24"/>
      <w:lang w:eastAsia="en-US"/>
    </w:rPr>
  </w:style>
  <w:style w:type="paragraph" w:styleId="Textbubliny">
    <w:name w:val="Balloon Text"/>
    <w:basedOn w:val="Normln"/>
    <w:link w:val="TextbublinyChar"/>
    <w:rsid w:val="00612AB6"/>
    <w:rPr>
      <w:rFonts w:ascii="Tahoma" w:hAnsi="Tahoma" w:cs="Tahoma"/>
      <w:sz w:val="16"/>
      <w:szCs w:val="16"/>
    </w:rPr>
  </w:style>
  <w:style w:type="character" w:customStyle="1" w:styleId="TextbublinyChar">
    <w:name w:val="Text bubliny Char"/>
    <w:link w:val="Textbubliny"/>
    <w:rsid w:val="00612AB6"/>
    <w:rPr>
      <w:rFonts w:ascii="Tahoma" w:hAnsi="Tahoma" w:cs="Tahoma"/>
      <w:sz w:val="16"/>
      <w:szCs w:val="16"/>
      <w:lang w:eastAsia="en-US"/>
    </w:rPr>
  </w:style>
  <w:style w:type="paragraph" w:styleId="Zkladntext2">
    <w:name w:val="Body Text 2"/>
    <w:basedOn w:val="Normln"/>
    <w:link w:val="Zkladntext2Char"/>
    <w:rsid w:val="009205BB"/>
    <w:pPr>
      <w:widowControl w:val="0"/>
      <w:spacing w:after="120" w:line="480" w:lineRule="auto"/>
    </w:pPr>
    <w:rPr>
      <w:rFonts w:ascii="Arial" w:hAnsi="Arial"/>
      <w:snapToGrid w:val="0"/>
      <w:sz w:val="20"/>
      <w:szCs w:val="20"/>
    </w:rPr>
  </w:style>
  <w:style w:type="character" w:customStyle="1" w:styleId="Zkladntext2Char">
    <w:name w:val="Základní text 2 Char"/>
    <w:link w:val="Zkladntext2"/>
    <w:rsid w:val="009205BB"/>
    <w:rPr>
      <w:rFonts w:ascii="Arial" w:hAnsi="Arial"/>
      <w:snapToGrid w:val="0"/>
      <w:lang w:val="en-GB" w:eastAsia="en-US"/>
    </w:rPr>
  </w:style>
  <w:style w:type="paragraph" w:styleId="Titulek">
    <w:name w:val="caption"/>
    <w:basedOn w:val="Normln"/>
    <w:next w:val="Normln"/>
    <w:unhideWhenUsed/>
    <w:qFormat/>
    <w:rsid w:val="00CB68E5"/>
    <w:rPr>
      <w:b/>
      <w:bCs/>
      <w:sz w:val="20"/>
      <w:szCs w:val="20"/>
    </w:rPr>
  </w:style>
  <w:style w:type="paragraph" w:styleId="Odstavecseseznamem">
    <w:name w:val="List Paragraph"/>
    <w:basedOn w:val="Normln"/>
    <w:uiPriority w:val="34"/>
    <w:qFormat/>
    <w:rsid w:val="00AB0FEC"/>
    <w:pPr>
      <w:ind w:left="720"/>
      <w:contextualSpacing/>
    </w:pPr>
  </w:style>
  <w:style w:type="character" w:styleId="Odkaznakoment">
    <w:name w:val="annotation reference"/>
    <w:basedOn w:val="Standardnpsmoodstavce"/>
    <w:rsid w:val="0067689B"/>
    <w:rPr>
      <w:sz w:val="16"/>
      <w:szCs w:val="16"/>
    </w:rPr>
  </w:style>
  <w:style w:type="paragraph" w:styleId="Textkomente">
    <w:name w:val="annotation text"/>
    <w:basedOn w:val="Normln"/>
    <w:link w:val="TextkomenteChar"/>
    <w:rsid w:val="0067689B"/>
    <w:rPr>
      <w:sz w:val="20"/>
      <w:szCs w:val="20"/>
    </w:rPr>
  </w:style>
  <w:style w:type="character" w:customStyle="1" w:styleId="TextkomenteChar">
    <w:name w:val="Text komentáře Char"/>
    <w:basedOn w:val="Standardnpsmoodstavce"/>
    <w:link w:val="Textkomente"/>
    <w:rsid w:val="0067689B"/>
    <w:rPr>
      <w:lang w:val="en-GB" w:eastAsia="en-US"/>
    </w:rPr>
  </w:style>
  <w:style w:type="paragraph" w:styleId="Pedmtkomente">
    <w:name w:val="annotation subject"/>
    <w:basedOn w:val="Textkomente"/>
    <w:next w:val="Textkomente"/>
    <w:link w:val="PedmtkomenteChar"/>
    <w:rsid w:val="0067689B"/>
    <w:rPr>
      <w:b/>
      <w:bCs/>
    </w:rPr>
  </w:style>
  <w:style w:type="character" w:customStyle="1" w:styleId="PedmtkomenteChar">
    <w:name w:val="Předmět komentáře Char"/>
    <w:basedOn w:val="TextkomenteChar"/>
    <w:link w:val="Pedmtkomente"/>
    <w:rsid w:val="0067689B"/>
    <w:rPr>
      <w:b/>
      <w:bCs/>
      <w:lang w:val="en-GB" w:eastAsia="en-US"/>
    </w:rPr>
  </w:style>
  <w:style w:type="character" w:styleId="Hypertextovodkaz">
    <w:name w:val="Hyperlink"/>
    <w:basedOn w:val="Standardnpsmoodstavce"/>
    <w:unhideWhenUsed/>
    <w:rsid w:val="006D65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6F20"/>
    <w:rPr>
      <w:sz w:val="24"/>
      <w:szCs w:val="24"/>
      <w:lang w:val="en-GB" w:eastAsia="en-US"/>
    </w:rPr>
  </w:style>
  <w:style w:type="paragraph" w:styleId="Nadpis3">
    <w:name w:val="heading 3"/>
    <w:basedOn w:val="Normln"/>
    <w:next w:val="Normln"/>
    <w:link w:val="Nadpis3Char"/>
    <w:qFormat/>
    <w:rsid w:val="00BF6F20"/>
    <w:pPr>
      <w:keepNext/>
      <w:spacing w:line="360" w:lineRule="atLeast"/>
      <w:jc w:val="center"/>
      <w:outlineLvl w:val="2"/>
    </w:pPr>
    <w:rPr>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F6F20"/>
    <w:pPr>
      <w:spacing w:line="360" w:lineRule="atLeast"/>
      <w:jc w:val="center"/>
    </w:pPr>
    <w:rPr>
      <w:b/>
      <w:sz w:val="26"/>
    </w:rPr>
  </w:style>
  <w:style w:type="paragraph" w:styleId="Zkladntextodsazen">
    <w:name w:val="Body Text Indent"/>
    <w:basedOn w:val="Normln"/>
    <w:link w:val="ZkladntextodsazenChar"/>
    <w:rsid w:val="00BF6F20"/>
    <w:pPr>
      <w:ind w:left="720" w:hanging="720"/>
      <w:jc w:val="both"/>
    </w:pPr>
    <w:rPr>
      <w:sz w:val="26"/>
    </w:rPr>
  </w:style>
  <w:style w:type="paragraph" w:styleId="Zhlav">
    <w:name w:val="header"/>
    <w:basedOn w:val="Normln"/>
    <w:rsid w:val="00BF6F20"/>
    <w:pPr>
      <w:tabs>
        <w:tab w:val="center" w:pos="4320"/>
        <w:tab w:val="right" w:pos="8640"/>
      </w:tabs>
    </w:pPr>
  </w:style>
  <w:style w:type="paragraph" w:styleId="Zpat">
    <w:name w:val="footer"/>
    <w:basedOn w:val="Normln"/>
    <w:link w:val="ZpatChar"/>
    <w:uiPriority w:val="99"/>
    <w:rsid w:val="00BF6F20"/>
    <w:pPr>
      <w:tabs>
        <w:tab w:val="center" w:pos="4320"/>
        <w:tab w:val="right" w:pos="8640"/>
      </w:tabs>
    </w:pPr>
  </w:style>
  <w:style w:type="paragraph" w:styleId="Textvbloku">
    <w:name w:val="Block Text"/>
    <w:basedOn w:val="Normln"/>
    <w:rsid w:val="00536977"/>
    <w:pPr>
      <w:overflowPunct w:val="0"/>
      <w:autoSpaceDE w:val="0"/>
      <w:autoSpaceDN w:val="0"/>
      <w:adjustRightInd w:val="0"/>
      <w:ind w:left="34" w:right="-14" w:hanging="34"/>
      <w:jc w:val="both"/>
      <w:textAlignment w:val="baseline"/>
    </w:pPr>
    <w:rPr>
      <w:b/>
      <w:bCs/>
      <w:sz w:val="22"/>
      <w:szCs w:val="20"/>
    </w:rPr>
  </w:style>
  <w:style w:type="character" w:customStyle="1" w:styleId="Nadpis3Char">
    <w:name w:val="Nadpis 3 Char"/>
    <w:link w:val="Nadpis3"/>
    <w:rsid w:val="000C4666"/>
    <w:rPr>
      <w:b/>
      <w:bCs/>
      <w:sz w:val="26"/>
      <w:szCs w:val="24"/>
      <w:u w:val="single"/>
      <w:lang w:eastAsia="en-US"/>
    </w:rPr>
  </w:style>
  <w:style w:type="character" w:customStyle="1" w:styleId="NzevChar">
    <w:name w:val="Název Char"/>
    <w:link w:val="Nzev"/>
    <w:rsid w:val="000C4666"/>
    <w:rPr>
      <w:b/>
      <w:sz w:val="26"/>
      <w:szCs w:val="24"/>
      <w:lang w:eastAsia="en-US"/>
    </w:rPr>
  </w:style>
  <w:style w:type="character" w:customStyle="1" w:styleId="ZkladntextodsazenChar">
    <w:name w:val="Základní text odsazený Char"/>
    <w:link w:val="Zkladntextodsazen"/>
    <w:rsid w:val="000C4666"/>
    <w:rPr>
      <w:sz w:val="26"/>
      <w:szCs w:val="24"/>
      <w:lang w:eastAsia="en-US"/>
    </w:rPr>
  </w:style>
  <w:style w:type="character" w:customStyle="1" w:styleId="ZpatChar">
    <w:name w:val="Zápatí Char"/>
    <w:link w:val="Zpat"/>
    <w:uiPriority w:val="99"/>
    <w:rsid w:val="00D44108"/>
    <w:rPr>
      <w:sz w:val="24"/>
      <w:szCs w:val="24"/>
      <w:lang w:eastAsia="en-US"/>
    </w:rPr>
  </w:style>
  <w:style w:type="paragraph" w:styleId="Textbubliny">
    <w:name w:val="Balloon Text"/>
    <w:basedOn w:val="Normln"/>
    <w:link w:val="TextbublinyChar"/>
    <w:rsid w:val="00612AB6"/>
    <w:rPr>
      <w:rFonts w:ascii="Tahoma" w:hAnsi="Tahoma" w:cs="Tahoma"/>
      <w:sz w:val="16"/>
      <w:szCs w:val="16"/>
    </w:rPr>
  </w:style>
  <w:style w:type="character" w:customStyle="1" w:styleId="TextbublinyChar">
    <w:name w:val="Text bubliny Char"/>
    <w:link w:val="Textbubliny"/>
    <w:rsid w:val="00612AB6"/>
    <w:rPr>
      <w:rFonts w:ascii="Tahoma" w:hAnsi="Tahoma" w:cs="Tahoma"/>
      <w:sz w:val="16"/>
      <w:szCs w:val="16"/>
      <w:lang w:eastAsia="en-US"/>
    </w:rPr>
  </w:style>
  <w:style w:type="paragraph" w:styleId="Zkladntext2">
    <w:name w:val="Body Text 2"/>
    <w:basedOn w:val="Normln"/>
    <w:link w:val="Zkladntext2Char"/>
    <w:rsid w:val="009205BB"/>
    <w:pPr>
      <w:widowControl w:val="0"/>
      <w:spacing w:after="120" w:line="480" w:lineRule="auto"/>
    </w:pPr>
    <w:rPr>
      <w:rFonts w:ascii="Arial" w:hAnsi="Arial"/>
      <w:snapToGrid w:val="0"/>
      <w:sz w:val="20"/>
      <w:szCs w:val="20"/>
    </w:rPr>
  </w:style>
  <w:style w:type="character" w:customStyle="1" w:styleId="Zkladntext2Char">
    <w:name w:val="Základní text 2 Char"/>
    <w:link w:val="Zkladntext2"/>
    <w:rsid w:val="009205BB"/>
    <w:rPr>
      <w:rFonts w:ascii="Arial" w:hAnsi="Arial"/>
      <w:snapToGrid w:val="0"/>
      <w:lang w:val="en-GB" w:eastAsia="en-US"/>
    </w:rPr>
  </w:style>
  <w:style w:type="paragraph" w:styleId="Titulek">
    <w:name w:val="caption"/>
    <w:basedOn w:val="Normln"/>
    <w:next w:val="Normln"/>
    <w:unhideWhenUsed/>
    <w:qFormat/>
    <w:rsid w:val="00CB68E5"/>
    <w:rPr>
      <w:b/>
      <w:bCs/>
      <w:sz w:val="20"/>
      <w:szCs w:val="20"/>
    </w:rPr>
  </w:style>
  <w:style w:type="paragraph" w:styleId="Odstavecseseznamem">
    <w:name w:val="List Paragraph"/>
    <w:basedOn w:val="Normln"/>
    <w:uiPriority w:val="34"/>
    <w:qFormat/>
    <w:rsid w:val="00AB0FEC"/>
    <w:pPr>
      <w:ind w:left="720"/>
      <w:contextualSpacing/>
    </w:pPr>
  </w:style>
  <w:style w:type="character" w:styleId="Odkaznakoment">
    <w:name w:val="annotation reference"/>
    <w:basedOn w:val="Standardnpsmoodstavce"/>
    <w:rsid w:val="0067689B"/>
    <w:rPr>
      <w:sz w:val="16"/>
      <w:szCs w:val="16"/>
    </w:rPr>
  </w:style>
  <w:style w:type="paragraph" w:styleId="Textkomente">
    <w:name w:val="annotation text"/>
    <w:basedOn w:val="Normln"/>
    <w:link w:val="TextkomenteChar"/>
    <w:rsid w:val="0067689B"/>
    <w:rPr>
      <w:sz w:val="20"/>
      <w:szCs w:val="20"/>
    </w:rPr>
  </w:style>
  <w:style w:type="character" w:customStyle="1" w:styleId="TextkomenteChar">
    <w:name w:val="Text komentáře Char"/>
    <w:basedOn w:val="Standardnpsmoodstavce"/>
    <w:link w:val="Textkomente"/>
    <w:rsid w:val="0067689B"/>
    <w:rPr>
      <w:lang w:val="en-GB" w:eastAsia="en-US"/>
    </w:rPr>
  </w:style>
  <w:style w:type="paragraph" w:styleId="Pedmtkomente">
    <w:name w:val="annotation subject"/>
    <w:basedOn w:val="Textkomente"/>
    <w:next w:val="Textkomente"/>
    <w:link w:val="PedmtkomenteChar"/>
    <w:rsid w:val="0067689B"/>
    <w:rPr>
      <w:b/>
      <w:bCs/>
    </w:rPr>
  </w:style>
  <w:style w:type="character" w:customStyle="1" w:styleId="PedmtkomenteChar">
    <w:name w:val="Předmět komentáře Char"/>
    <w:basedOn w:val="TextkomenteChar"/>
    <w:link w:val="Pedmtkomente"/>
    <w:rsid w:val="0067689B"/>
    <w:rPr>
      <w:b/>
      <w:bCs/>
      <w:lang w:val="en-GB" w:eastAsia="en-US"/>
    </w:rPr>
  </w:style>
  <w:style w:type="character" w:styleId="Hypertextovodkaz">
    <w:name w:val="Hyperlink"/>
    <w:basedOn w:val="Standardnpsmoodstavce"/>
    <w:unhideWhenUsed/>
    <w:rsid w:val="006D6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462">
      <w:bodyDiv w:val="1"/>
      <w:marLeft w:val="0"/>
      <w:marRight w:val="0"/>
      <w:marTop w:val="0"/>
      <w:marBottom w:val="0"/>
      <w:divBdr>
        <w:top w:val="none" w:sz="0" w:space="0" w:color="auto"/>
        <w:left w:val="none" w:sz="0" w:space="0" w:color="auto"/>
        <w:bottom w:val="none" w:sz="0" w:space="0" w:color="auto"/>
        <w:right w:val="none" w:sz="0" w:space="0" w:color="auto"/>
      </w:divBdr>
    </w:div>
    <w:div w:id="421532401">
      <w:bodyDiv w:val="1"/>
      <w:marLeft w:val="0"/>
      <w:marRight w:val="0"/>
      <w:marTop w:val="0"/>
      <w:marBottom w:val="0"/>
      <w:divBdr>
        <w:top w:val="none" w:sz="0" w:space="0" w:color="auto"/>
        <w:left w:val="none" w:sz="0" w:space="0" w:color="auto"/>
        <w:bottom w:val="none" w:sz="0" w:space="0" w:color="auto"/>
        <w:right w:val="none" w:sz="0" w:space="0" w:color="auto"/>
      </w:divBdr>
    </w:div>
    <w:div w:id="492259781">
      <w:bodyDiv w:val="1"/>
      <w:marLeft w:val="0"/>
      <w:marRight w:val="0"/>
      <w:marTop w:val="0"/>
      <w:marBottom w:val="0"/>
      <w:divBdr>
        <w:top w:val="none" w:sz="0" w:space="0" w:color="auto"/>
        <w:left w:val="none" w:sz="0" w:space="0" w:color="auto"/>
        <w:bottom w:val="none" w:sz="0" w:space="0" w:color="auto"/>
        <w:right w:val="none" w:sz="0" w:space="0" w:color="auto"/>
      </w:divBdr>
    </w:div>
    <w:div w:id="686836317">
      <w:bodyDiv w:val="1"/>
      <w:marLeft w:val="0"/>
      <w:marRight w:val="0"/>
      <w:marTop w:val="0"/>
      <w:marBottom w:val="0"/>
      <w:divBdr>
        <w:top w:val="none" w:sz="0" w:space="0" w:color="auto"/>
        <w:left w:val="none" w:sz="0" w:space="0" w:color="auto"/>
        <w:bottom w:val="none" w:sz="0" w:space="0" w:color="auto"/>
        <w:right w:val="none" w:sz="0" w:space="0" w:color="auto"/>
      </w:divBdr>
    </w:div>
    <w:div w:id="1072894483">
      <w:bodyDiv w:val="1"/>
      <w:marLeft w:val="0"/>
      <w:marRight w:val="0"/>
      <w:marTop w:val="0"/>
      <w:marBottom w:val="0"/>
      <w:divBdr>
        <w:top w:val="none" w:sz="0" w:space="0" w:color="auto"/>
        <w:left w:val="none" w:sz="0" w:space="0" w:color="auto"/>
        <w:bottom w:val="none" w:sz="0" w:space="0" w:color="auto"/>
        <w:right w:val="none" w:sz="0" w:space="0" w:color="auto"/>
      </w:divBdr>
    </w:div>
    <w:div w:id="1275214437">
      <w:bodyDiv w:val="1"/>
      <w:marLeft w:val="0"/>
      <w:marRight w:val="0"/>
      <w:marTop w:val="0"/>
      <w:marBottom w:val="0"/>
      <w:divBdr>
        <w:top w:val="none" w:sz="0" w:space="0" w:color="auto"/>
        <w:left w:val="none" w:sz="0" w:space="0" w:color="auto"/>
        <w:bottom w:val="none" w:sz="0" w:space="0" w:color="auto"/>
        <w:right w:val="none" w:sz="0" w:space="0" w:color="auto"/>
      </w:divBdr>
    </w:div>
    <w:div w:id="1331057917">
      <w:bodyDiv w:val="1"/>
      <w:marLeft w:val="0"/>
      <w:marRight w:val="0"/>
      <w:marTop w:val="0"/>
      <w:marBottom w:val="0"/>
      <w:divBdr>
        <w:top w:val="none" w:sz="0" w:space="0" w:color="auto"/>
        <w:left w:val="none" w:sz="0" w:space="0" w:color="auto"/>
        <w:bottom w:val="none" w:sz="0" w:space="0" w:color="auto"/>
        <w:right w:val="none" w:sz="0" w:space="0" w:color="auto"/>
      </w:divBdr>
    </w:div>
    <w:div w:id="1394155152">
      <w:bodyDiv w:val="1"/>
      <w:marLeft w:val="0"/>
      <w:marRight w:val="0"/>
      <w:marTop w:val="0"/>
      <w:marBottom w:val="0"/>
      <w:divBdr>
        <w:top w:val="none" w:sz="0" w:space="0" w:color="auto"/>
        <w:left w:val="none" w:sz="0" w:space="0" w:color="auto"/>
        <w:bottom w:val="none" w:sz="0" w:space="0" w:color="auto"/>
        <w:right w:val="none" w:sz="0" w:space="0" w:color="auto"/>
      </w:divBdr>
    </w:div>
    <w:div w:id="1457260604">
      <w:bodyDiv w:val="1"/>
      <w:marLeft w:val="0"/>
      <w:marRight w:val="0"/>
      <w:marTop w:val="0"/>
      <w:marBottom w:val="0"/>
      <w:divBdr>
        <w:top w:val="none" w:sz="0" w:space="0" w:color="auto"/>
        <w:left w:val="none" w:sz="0" w:space="0" w:color="auto"/>
        <w:bottom w:val="none" w:sz="0" w:space="0" w:color="auto"/>
        <w:right w:val="none" w:sz="0" w:space="0" w:color="auto"/>
      </w:divBdr>
    </w:div>
    <w:div w:id="1564175160">
      <w:bodyDiv w:val="1"/>
      <w:marLeft w:val="0"/>
      <w:marRight w:val="0"/>
      <w:marTop w:val="0"/>
      <w:marBottom w:val="0"/>
      <w:divBdr>
        <w:top w:val="none" w:sz="0" w:space="0" w:color="auto"/>
        <w:left w:val="none" w:sz="0" w:space="0" w:color="auto"/>
        <w:bottom w:val="none" w:sz="0" w:space="0" w:color="auto"/>
        <w:right w:val="none" w:sz="0" w:space="0" w:color="auto"/>
      </w:divBdr>
    </w:div>
    <w:div w:id="19195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13877</Characters>
  <Application>Microsoft Office Word</Application>
  <DocSecurity>0</DocSecurity>
  <Lines>115</Lines>
  <Paragraphs>32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LinksUpToDate>false</LinksUpToDate>
  <CharactersWithSpaces>16196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2019-03-27T12:04:00Z</dcterms:created>
  <dcterms:modified xsi:type="dcterms:W3CDTF">2019-08-21T12:02:00Z</dcterms:modified>
</cp:coreProperties>
</file>