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21E6" w14:textId="77777777" w:rsidR="003E58B3" w:rsidRDefault="003E58B3">
      <w:pPr>
        <w:tabs>
          <w:tab w:val="clear" w:pos="567"/>
        </w:tabs>
        <w:spacing w:line="240" w:lineRule="auto"/>
        <w:rPr>
          <w:szCs w:val="22"/>
        </w:rPr>
      </w:pPr>
      <w:bookmarkStart w:id="0" w:name="_Hlk115189549"/>
      <w:bookmarkEnd w:id="0"/>
    </w:p>
    <w:p w14:paraId="05CF21E7" w14:textId="77777777" w:rsidR="003E58B3" w:rsidRDefault="003E58B3">
      <w:pPr>
        <w:tabs>
          <w:tab w:val="clear" w:pos="567"/>
        </w:tabs>
        <w:spacing w:line="240" w:lineRule="auto"/>
        <w:rPr>
          <w:szCs w:val="22"/>
        </w:rPr>
      </w:pPr>
    </w:p>
    <w:p w14:paraId="05CF21E8" w14:textId="77777777" w:rsidR="003E58B3" w:rsidRDefault="003E58B3">
      <w:pPr>
        <w:tabs>
          <w:tab w:val="clear" w:pos="567"/>
        </w:tabs>
        <w:spacing w:line="240" w:lineRule="auto"/>
        <w:rPr>
          <w:szCs w:val="22"/>
        </w:rPr>
      </w:pPr>
    </w:p>
    <w:p w14:paraId="05CF21E9" w14:textId="77777777" w:rsidR="003E58B3" w:rsidRDefault="003E58B3">
      <w:pPr>
        <w:tabs>
          <w:tab w:val="clear" w:pos="567"/>
        </w:tabs>
        <w:spacing w:line="240" w:lineRule="auto"/>
        <w:rPr>
          <w:szCs w:val="22"/>
        </w:rPr>
      </w:pPr>
    </w:p>
    <w:p w14:paraId="05CF21EA" w14:textId="77777777" w:rsidR="003E58B3" w:rsidRDefault="003E58B3">
      <w:pPr>
        <w:tabs>
          <w:tab w:val="clear" w:pos="567"/>
        </w:tabs>
        <w:spacing w:line="240" w:lineRule="auto"/>
        <w:rPr>
          <w:szCs w:val="22"/>
        </w:rPr>
      </w:pPr>
    </w:p>
    <w:p w14:paraId="05CF21EB" w14:textId="77777777" w:rsidR="003E58B3" w:rsidRDefault="003E58B3">
      <w:pPr>
        <w:tabs>
          <w:tab w:val="clear" w:pos="567"/>
        </w:tabs>
        <w:spacing w:line="240" w:lineRule="auto"/>
        <w:rPr>
          <w:szCs w:val="22"/>
        </w:rPr>
      </w:pPr>
    </w:p>
    <w:p w14:paraId="05CF21EC" w14:textId="77777777" w:rsidR="003E58B3" w:rsidRDefault="003E58B3">
      <w:pPr>
        <w:tabs>
          <w:tab w:val="clear" w:pos="567"/>
        </w:tabs>
        <w:spacing w:line="240" w:lineRule="auto"/>
        <w:rPr>
          <w:szCs w:val="22"/>
        </w:rPr>
      </w:pPr>
    </w:p>
    <w:p w14:paraId="05CF21ED" w14:textId="77777777" w:rsidR="003E58B3" w:rsidRDefault="003E58B3">
      <w:pPr>
        <w:tabs>
          <w:tab w:val="clear" w:pos="567"/>
        </w:tabs>
        <w:spacing w:line="240" w:lineRule="auto"/>
        <w:rPr>
          <w:szCs w:val="22"/>
        </w:rPr>
      </w:pPr>
    </w:p>
    <w:p w14:paraId="05CF21EE" w14:textId="77777777" w:rsidR="003E58B3" w:rsidRDefault="003E58B3">
      <w:pPr>
        <w:tabs>
          <w:tab w:val="clear" w:pos="567"/>
        </w:tabs>
        <w:spacing w:line="240" w:lineRule="auto"/>
        <w:rPr>
          <w:szCs w:val="22"/>
        </w:rPr>
      </w:pPr>
    </w:p>
    <w:p w14:paraId="05CF21EF" w14:textId="77777777" w:rsidR="003E58B3" w:rsidRDefault="003E58B3">
      <w:pPr>
        <w:tabs>
          <w:tab w:val="clear" w:pos="567"/>
        </w:tabs>
        <w:spacing w:line="240" w:lineRule="auto"/>
        <w:rPr>
          <w:szCs w:val="22"/>
        </w:rPr>
      </w:pPr>
    </w:p>
    <w:p w14:paraId="05CF21F0" w14:textId="77777777" w:rsidR="003E58B3" w:rsidRDefault="003E58B3">
      <w:pPr>
        <w:tabs>
          <w:tab w:val="clear" w:pos="567"/>
        </w:tabs>
        <w:spacing w:line="240" w:lineRule="auto"/>
        <w:rPr>
          <w:szCs w:val="22"/>
        </w:rPr>
      </w:pPr>
    </w:p>
    <w:p w14:paraId="05CF21F1" w14:textId="77777777" w:rsidR="003E58B3" w:rsidRDefault="003E58B3">
      <w:pPr>
        <w:tabs>
          <w:tab w:val="clear" w:pos="567"/>
        </w:tabs>
        <w:spacing w:line="240" w:lineRule="auto"/>
        <w:rPr>
          <w:szCs w:val="22"/>
        </w:rPr>
      </w:pPr>
    </w:p>
    <w:p w14:paraId="05CF21F2" w14:textId="77777777" w:rsidR="003E58B3" w:rsidRDefault="003E58B3">
      <w:pPr>
        <w:tabs>
          <w:tab w:val="clear" w:pos="567"/>
        </w:tabs>
        <w:spacing w:line="240" w:lineRule="auto"/>
        <w:rPr>
          <w:szCs w:val="22"/>
        </w:rPr>
      </w:pPr>
    </w:p>
    <w:p w14:paraId="05CF21F3" w14:textId="77777777" w:rsidR="003E58B3" w:rsidRDefault="003E58B3">
      <w:pPr>
        <w:tabs>
          <w:tab w:val="clear" w:pos="567"/>
        </w:tabs>
        <w:spacing w:line="240" w:lineRule="auto"/>
        <w:rPr>
          <w:szCs w:val="22"/>
        </w:rPr>
      </w:pPr>
    </w:p>
    <w:p w14:paraId="05CF21F4" w14:textId="77777777" w:rsidR="003E58B3" w:rsidRDefault="003E58B3">
      <w:pPr>
        <w:tabs>
          <w:tab w:val="clear" w:pos="567"/>
        </w:tabs>
        <w:spacing w:line="240" w:lineRule="auto"/>
        <w:rPr>
          <w:szCs w:val="22"/>
        </w:rPr>
      </w:pPr>
    </w:p>
    <w:p w14:paraId="05CF21F5" w14:textId="77777777" w:rsidR="003E58B3" w:rsidRDefault="003E58B3">
      <w:pPr>
        <w:tabs>
          <w:tab w:val="clear" w:pos="567"/>
        </w:tabs>
        <w:spacing w:line="240" w:lineRule="auto"/>
        <w:rPr>
          <w:szCs w:val="22"/>
        </w:rPr>
      </w:pPr>
    </w:p>
    <w:p w14:paraId="05CF21F6" w14:textId="77777777" w:rsidR="003E58B3" w:rsidRDefault="003E58B3">
      <w:pPr>
        <w:tabs>
          <w:tab w:val="clear" w:pos="567"/>
        </w:tabs>
        <w:spacing w:line="240" w:lineRule="auto"/>
        <w:rPr>
          <w:szCs w:val="22"/>
        </w:rPr>
      </w:pPr>
    </w:p>
    <w:p w14:paraId="05CF21F7" w14:textId="77777777" w:rsidR="003E58B3" w:rsidRDefault="003E58B3">
      <w:pPr>
        <w:tabs>
          <w:tab w:val="clear" w:pos="567"/>
        </w:tabs>
        <w:spacing w:line="240" w:lineRule="auto"/>
        <w:rPr>
          <w:szCs w:val="22"/>
        </w:rPr>
      </w:pPr>
    </w:p>
    <w:p w14:paraId="05CF21F8" w14:textId="77777777" w:rsidR="003E58B3" w:rsidRDefault="003E58B3">
      <w:pPr>
        <w:tabs>
          <w:tab w:val="clear" w:pos="567"/>
        </w:tabs>
        <w:spacing w:line="240" w:lineRule="auto"/>
        <w:rPr>
          <w:szCs w:val="22"/>
        </w:rPr>
      </w:pPr>
    </w:p>
    <w:p w14:paraId="05CF21F9" w14:textId="77777777" w:rsidR="003E58B3" w:rsidRDefault="003E58B3">
      <w:pPr>
        <w:tabs>
          <w:tab w:val="clear" w:pos="567"/>
        </w:tabs>
        <w:spacing w:line="240" w:lineRule="auto"/>
        <w:rPr>
          <w:szCs w:val="22"/>
        </w:rPr>
      </w:pPr>
    </w:p>
    <w:p w14:paraId="05CF21FA" w14:textId="77777777" w:rsidR="003E58B3" w:rsidRDefault="003E58B3">
      <w:pPr>
        <w:tabs>
          <w:tab w:val="clear" w:pos="567"/>
        </w:tabs>
        <w:spacing w:line="240" w:lineRule="auto"/>
        <w:rPr>
          <w:szCs w:val="22"/>
        </w:rPr>
      </w:pPr>
    </w:p>
    <w:p w14:paraId="05CF21FB" w14:textId="77777777" w:rsidR="003E58B3" w:rsidRDefault="003E58B3">
      <w:pPr>
        <w:tabs>
          <w:tab w:val="clear" w:pos="567"/>
        </w:tabs>
        <w:spacing w:line="240" w:lineRule="auto"/>
        <w:rPr>
          <w:szCs w:val="22"/>
        </w:rPr>
      </w:pPr>
    </w:p>
    <w:p w14:paraId="05CF21FC" w14:textId="77777777" w:rsidR="003E58B3" w:rsidRDefault="003E58B3">
      <w:pPr>
        <w:tabs>
          <w:tab w:val="clear" w:pos="567"/>
        </w:tabs>
        <w:spacing w:line="240" w:lineRule="auto"/>
        <w:rPr>
          <w:szCs w:val="22"/>
        </w:rPr>
      </w:pPr>
    </w:p>
    <w:p w14:paraId="05CF21FD" w14:textId="77777777" w:rsidR="003E58B3" w:rsidRDefault="00F675C6">
      <w:pPr>
        <w:tabs>
          <w:tab w:val="clear" w:pos="567"/>
        </w:tabs>
        <w:spacing w:line="240" w:lineRule="auto"/>
        <w:jc w:val="center"/>
        <w:rPr>
          <w:b/>
          <w:szCs w:val="22"/>
        </w:rPr>
      </w:pPr>
      <w:r>
        <w:rPr>
          <w:b/>
          <w:szCs w:val="22"/>
        </w:rPr>
        <w:t>PŘÍLOHA I</w:t>
      </w:r>
    </w:p>
    <w:p w14:paraId="05CF21FE" w14:textId="77777777" w:rsidR="003E58B3" w:rsidRDefault="003E58B3">
      <w:pPr>
        <w:tabs>
          <w:tab w:val="clear" w:pos="567"/>
        </w:tabs>
        <w:spacing w:line="240" w:lineRule="auto"/>
        <w:rPr>
          <w:szCs w:val="22"/>
        </w:rPr>
      </w:pPr>
    </w:p>
    <w:p w14:paraId="05CF21FF" w14:textId="77777777" w:rsidR="003E58B3" w:rsidRDefault="00F675C6">
      <w:pPr>
        <w:pStyle w:val="TITLEA1"/>
      </w:pPr>
      <w:r>
        <w:t>SOUHRN ÚDAJŮ O PŘÍPRAVKU</w:t>
      </w:r>
    </w:p>
    <w:p w14:paraId="05CF2200" w14:textId="77777777" w:rsidR="003E58B3" w:rsidRDefault="00F675C6">
      <w:pPr>
        <w:pStyle w:val="Style1"/>
      </w:pPr>
      <w:r>
        <w:br w:type="page"/>
      </w:r>
      <w:r>
        <w:lastRenderedPageBreak/>
        <w:t>1.</w:t>
      </w:r>
      <w:r>
        <w:tab/>
        <w:t>NÁZEV VETERINÁRNÍHO LÉČIVÉHO PŘÍPRAVKU</w:t>
      </w:r>
    </w:p>
    <w:p w14:paraId="05CF2201" w14:textId="77777777" w:rsidR="003E58B3" w:rsidRDefault="003E58B3">
      <w:pPr>
        <w:tabs>
          <w:tab w:val="clear" w:pos="567"/>
        </w:tabs>
        <w:spacing w:line="240" w:lineRule="auto"/>
        <w:rPr>
          <w:szCs w:val="22"/>
        </w:rPr>
      </w:pPr>
    </w:p>
    <w:p w14:paraId="05CF2202" w14:textId="77777777" w:rsidR="003E58B3" w:rsidRDefault="00F675C6">
      <w:pPr>
        <w:rPr>
          <w:szCs w:val="22"/>
        </w:rPr>
      </w:pPr>
      <w:proofErr w:type="spellStart"/>
      <w:r>
        <w:rPr>
          <w:szCs w:val="22"/>
        </w:rPr>
        <w:t>Draxxin</w:t>
      </w:r>
      <w:proofErr w:type="spellEnd"/>
      <w:r>
        <w:rPr>
          <w:szCs w:val="22"/>
        </w:rPr>
        <w:t xml:space="preserve"> Plus 100 mg/ml + 120 mg/ml injekční roztok pro skot</w:t>
      </w:r>
    </w:p>
    <w:p w14:paraId="05CF2203" w14:textId="37D0D919" w:rsidR="003E58B3" w:rsidRDefault="003E58B3">
      <w:pPr>
        <w:tabs>
          <w:tab w:val="clear" w:pos="567"/>
        </w:tabs>
        <w:spacing w:line="240" w:lineRule="auto"/>
        <w:rPr>
          <w:szCs w:val="22"/>
        </w:rPr>
      </w:pPr>
    </w:p>
    <w:p w14:paraId="62256E5E" w14:textId="77777777" w:rsidR="00095FB2" w:rsidRDefault="00095FB2">
      <w:pPr>
        <w:tabs>
          <w:tab w:val="clear" w:pos="567"/>
        </w:tabs>
        <w:spacing w:line="240" w:lineRule="auto"/>
        <w:rPr>
          <w:szCs w:val="22"/>
        </w:rPr>
      </w:pPr>
    </w:p>
    <w:p w14:paraId="05CF2204" w14:textId="77777777" w:rsidR="003E58B3" w:rsidRDefault="00F675C6">
      <w:pPr>
        <w:pStyle w:val="Style1"/>
      </w:pPr>
      <w:r>
        <w:t>2.</w:t>
      </w:r>
      <w:r>
        <w:tab/>
        <w:t>KVALITATIVNÍ A KVANTITATIVNÍ SLOŽENÍ</w:t>
      </w:r>
    </w:p>
    <w:p w14:paraId="05CF2205" w14:textId="77777777" w:rsidR="003E58B3" w:rsidRDefault="003E58B3">
      <w:pPr>
        <w:tabs>
          <w:tab w:val="clear" w:pos="567"/>
        </w:tabs>
        <w:spacing w:line="240" w:lineRule="auto"/>
        <w:rPr>
          <w:szCs w:val="22"/>
        </w:rPr>
      </w:pPr>
    </w:p>
    <w:p w14:paraId="05CF2207" w14:textId="77777777" w:rsidR="003E58B3" w:rsidRPr="008555E2" w:rsidRDefault="00F675C6">
      <w:pPr>
        <w:tabs>
          <w:tab w:val="clear" w:pos="567"/>
        </w:tabs>
        <w:suppressAutoHyphens/>
        <w:spacing w:line="240" w:lineRule="auto"/>
        <w:rPr>
          <w:b/>
          <w:szCs w:val="22"/>
          <w:lang w:val="fr-BE" w:eastAsia="zh-CN"/>
        </w:rPr>
      </w:pPr>
      <w:r w:rsidRPr="00254D2D">
        <w:rPr>
          <w:rFonts w:cs="Arial"/>
          <w:szCs w:val="22"/>
          <w:lang w:eastAsia="zh-CN"/>
        </w:rPr>
        <w:t>Jeden ml obsahuje:</w:t>
      </w:r>
    </w:p>
    <w:p w14:paraId="05CF2208" w14:textId="77777777" w:rsidR="003E58B3" w:rsidRDefault="003E58B3">
      <w:pPr>
        <w:tabs>
          <w:tab w:val="clear" w:pos="567"/>
        </w:tabs>
        <w:suppressAutoHyphens/>
        <w:spacing w:line="240" w:lineRule="auto"/>
        <w:rPr>
          <w:b/>
          <w:szCs w:val="22"/>
          <w:lang w:val="fr-BE" w:eastAsia="zh-CN"/>
        </w:rPr>
      </w:pPr>
    </w:p>
    <w:p w14:paraId="05CF2209" w14:textId="77777777" w:rsidR="003E58B3" w:rsidRDefault="00F675C6">
      <w:pPr>
        <w:tabs>
          <w:tab w:val="clear" w:pos="567"/>
        </w:tabs>
        <w:suppressAutoHyphens/>
        <w:spacing w:line="240" w:lineRule="auto"/>
        <w:rPr>
          <w:b/>
          <w:szCs w:val="22"/>
          <w:lang w:val="fr-BE" w:eastAsia="zh-CN"/>
        </w:rPr>
      </w:pPr>
      <w:r>
        <w:rPr>
          <w:b/>
          <w:bCs/>
          <w:szCs w:val="22"/>
          <w:lang w:eastAsia="zh-CN"/>
        </w:rPr>
        <w:t>Léčivé látky:</w:t>
      </w:r>
    </w:p>
    <w:p w14:paraId="05CF220A" w14:textId="14D341B3" w:rsidR="003E58B3" w:rsidRDefault="00F675C6">
      <w:pPr>
        <w:tabs>
          <w:tab w:val="clear" w:pos="567"/>
        </w:tabs>
        <w:spacing w:line="240" w:lineRule="auto"/>
        <w:rPr>
          <w:color w:val="000000"/>
          <w:szCs w:val="22"/>
          <w:lang w:val="fr-BE" w:eastAsia="es-ES"/>
        </w:rPr>
      </w:pPr>
      <w:proofErr w:type="spellStart"/>
      <w:r>
        <w:rPr>
          <w:color w:val="000000"/>
          <w:szCs w:val="22"/>
          <w:lang w:eastAsia="es-ES"/>
        </w:rPr>
        <w:t>Tulathromycinum</w:t>
      </w:r>
      <w:proofErr w:type="spellEnd"/>
      <w:r>
        <w:rPr>
          <w:color w:val="000000"/>
          <w:szCs w:val="22"/>
          <w:lang w:eastAsia="es-ES"/>
        </w:rPr>
        <w:t xml:space="preserve"> </w:t>
      </w:r>
      <w:r>
        <w:rPr>
          <w:color w:val="000000"/>
          <w:szCs w:val="22"/>
          <w:lang w:eastAsia="es-ES"/>
        </w:rPr>
        <w:tab/>
      </w:r>
      <w:r w:rsidR="00207210">
        <w:rPr>
          <w:color w:val="000000"/>
          <w:szCs w:val="22"/>
          <w:lang w:eastAsia="es-ES"/>
        </w:rPr>
        <w:tab/>
      </w:r>
      <w:r>
        <w:rPr>
          <w:color w:val="000000"/>
          <w:szCs w:val="22"/>
          <w:lang w:eastAsia="es-ES"/>
        </w:rPr>
        <w:t>100 mg</w:t>
      </w:r>
    </w:p>
    <w:p w14:paraId="05CF220B" w14:textId="77777777" w:rsidR="003E58B3" w:rsidRDefault="00F675C6">
      <w:pPr>
        <w:tabs>
          <w:tab w:val="clear" w:pos="567"/>
        </w:tabs>
        <w:spacing w:line="240" w:lineRule="auto"/>
        <w:rPr>
          <w:iCs/>
          <w:szCs w:val="22"/>
          <w:lang w:val="fr-BE"/>
        </w:rPr>
      </w:pPr>
      <w:proofErr w:type="spellStart"/>
      <w:r>
        <w:rPr>
          <w:szCs w:val="22"/>
          <w:lang w:eastAsia="zh-CN"/>
        </w:rPr>
        <w:t>Ketoprofenum</w:t>
      </w:r>
      <w:proofErr w:type="spellEnd"/>
      <w:r>
        <w:rPr>
          <w:szCs w:val="22"/>
          <w:lang w:eastAsia="zh-CN"/>
        </w:rPr>
        <w:t xml:space="preserve"> </w:t>
      </w:r>
      <w:r>
        <w:rPr>
          <w:szCs w:val="22"/>
          <w:lang w:eastAsia="zh-CN"/>
        </w:rPr>
        <w:tab/>
      </w:r>
      <w:r>
        <w:rPr>
          <w:szCs w:val="22"/>
          <w:lang w:eastAsia="zh-CN"/>
        </w:rPr>
        <w:tab/>
        <w:t>120 mg</w:t>
      </w:r>
    </w:p>
    <w:p w14:paraId="05CF220C" w14:textId="77777777" w:rsidR="003E58B3" w:rsidRDefault="003E58B3">
      <w:pPr>
        <w:tabs>
          <w:tab w:val="clear" w:pos="567"/>
          <w:tab w:val="left" w:pos="2552"/>
        </w:tabs>
        <w:suppressAutoHyphens/>
        <w:spacing w:line="240" w:lineRule="auto"/>
        <w:rPr>
          <w:szCs w:val="22"/>
          <w:lang w:val="fr-BE" w:eastAsia="zh-CN"/>
        </w:rPr>
      </w:pPr>
    </w:p>
    <w:p w14:paraId="05CF220D" w14:textId="143A5BEF" w:rsidR="003E58B3" w:rsidRDefault="00F675C6">
      <w:pPr>
        <w:keepNext/>
        <w:tabs>
          <w:tab w:val="clear" w:pos="567"/>
        </w:tabs>
        <w:suppressAutoHyphens/>
        <w:spacing w:line="240" w:lineRule="auto"/>
        <w:outlineLvl w:val="0"/>
        <w:rPr>
          <w:b/>
          <w:bCs/>
          <w:kern w:val="1"/>
          <w:szCs w:val="22"/>
          <w:lang w:eastAsia="zh-CN"/>
        </w:rPr>
      </w:pPr>
      <w:bookmarkStart w:id="1" w:name="_Hlk21362605"/>
      <w:r>
        <w:rPr>
          <w:b/>
          <w:bCs/>
          <w:kern w:val="1"/>
          <w:szCs w:val="22"/>
          <w:lang w:eastAsia="zh-CN"/>
        </w:rPr>
        <w:t>Pomocné látky:</w:t>
      </w:r>
      <w:bookmarkEnd w:id="1"/>
    </w:p>
    <w:p w14:paraId="0A50EE28" w14:textId="77777777" w:rsidR="00B12433" w:rsidRPr="00B41D57" w:rsidRDefault="00B12433" w:rsidP="00B12433">
      <w:pPr>
        <w:tabs>
          <w:tab w:val="clear" w:pos="567"/>
        </w:tabs>
        <w:spacing w:line="240" w:lineRule="auto"/>
        <w:rPr>
          <w:szCs w:val="22"/>
        </w:rPr>
      </w:pP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9"/>
        <w:gridCol w:w="3691"/>
      </w:tblGrid>
      <w:tr w:rsidR="00B12433" w14:paraId="613AABB8" w14:textId="77777777" w:rsidTr="00254D2D">
        <w:trPr>
          <w:trHeight w:val="793"/>
        </w:trPr>
        <w:tc>
          <w:tcPr>
            <w:tcW w:w="5419" w:type="dxa"/>
            <w:shd w:val="clear" w:color="auto" w:fill="auto"/>
            <w:vAlign w:val="center"/>
          </w:tcPr>
          <w:p w14:paraId="5DCD3D0F" w14:textId="77777777" w:rsidR="00B12433" w:rsidRPr="00B41D57" w:rsidRDefault="00B12433" w:rsidP="00254D2D">
            <w:pPr>
              <w:spacing w:line="240" w:lineRule="auto"/>
              <w:rPr>
                <w:b/>
                <w:bCs/>
                <w:iCs/>
                <w:szCs w:val="22"/>
              </w:rPr>
            </w:pPr>
            <w:r w:rsidRPr="00B41D57">
              <w:rPr>
                <w:b/>
                <w:bCs/>
                <w:iCs/>
                <w:szCs w:val="22"/>
              </w:rPr>
              <w:t>Kvalitativní složení pomocných látek a dalších složek</w:t>
            </w:r>
          </w:p>
        </w:tc>
        <w:tc>
          <w:tcPr>
            <w:tcW w:w="3691" w:type="dxa"/>
            <w:shd w:val="clear" w:color="auto" w:fill="auto"/>
            <w:vAlign w:val="center"/>
          </w:tcPr>
          <w:p w14:paraId="25AC620F" w14:textId="77777777" w:rsidR="00B12433" w:rsidRPr="00B41D57" w:rsidRDefault="00B12433" w:rsidP="00254D2D">
            <w:pPr>
              <w:spacing w:line="240" w:lineRule="auto"/>
              <w:rPr>
                <w:b/>
                <w:bCs/>
                <w:iCs/>
                <w:szCs w:val="22"/>
              </w:rPr>
            </w:pPr>
            <w:r w:rsidRPr="00B41D57">
              <w:rPr>
                <w:b/>
                <w:bCs/>
                <w:iCs/>
                <w:szCs w:val="22"/>
              </w:rPr>
              <w:t>Kvantitativní složení, pokud je tato informace nezbytná pro řádné podání veterinárního léčivého přípravku</w:t>
            </w:r>
          </w:p>
        </w:tc>
      </w:tr>
      <w:tr w:rsidR="00B12433" w14:paraId="0946E792" w14:textId="77777777" w:rsidTr="00254D2D">
        <w:trPr>
          <w:trHeight w:val="266"/>
        </w:trPr>
        <w:tc>
          <w:tcPr>
            <w:tcW w:w="5419" w:type="dxa"/>
            <w:shd w:val="clear" w:color="auto" w:fill="auto"/>
          </w:tcPr>
          <w:p w14:paraId="22DA9C9E" w14:textId="77777777" w:rsidR="00B12433" w:rsidRPr="00254D2D" w:rsidRDefault="00B12433" w:rsidP="00254D2D">
            <w:pPr>
              <w:tabs>
                <w:tab w:val="clear" w:pos="567"/>
              </w:tabs>
              <w:spacing w:line="240" w:lineRule="auto"/>
              <w:rPr>
                <w:szCs w:val="22"/>
                <w:lang w:val="en-GB"/>
              </w:rPr>
            </w:pPr>
            <w:r w:rsidRPr="00254D2D">
              <w:rPr>
                <w:szCs w:val="22"/>
                <w:lang w:val="en-GB"/>
              </w:rPr>
              <w:t>Monothioglycerol</w:t>
            </w:r>
          </w:p>
        </w:tc>
        <w:tc>
          <w:tcPr>
            <w:tcW w:w="3691" w:type="dxa"/>
            <w:shd w:val="clear" w:color="auto" w:fill="auto"/>
            <w:vAlign w:val="center"/>
          </w:tcPr>
          <w:p w14:paraId="37B72D05" w14:textId="77777777" w:rsidR="00B12433" w:rsidRPr="00B41D57" w:rsidRDefault="00B12433" w:rsidP="00254D2D">
            <w:pPr>
              <w:spacing w:line="240" w:lineRule="auto"/>
              <w:rPr>
                <w:iCs/>
                <w:szCs w:val="22"/>
              </w:rPr>
            </w:pPr>
            <w:r>
              <w:rPr>
                <w:iCs/>
                <w:szCs w:val="22"/>
              </w:rPr>
              <w:t>5 mg</w:t>
            </w:r>
          </w:p>
        </w:tc>
      </w:tr>
      <w:tr w:rsidR="00B12433" w14:paraId="6A7CDADF" w14:textId="77777777" w:rsidTr="00254D2D">
        <w:trPr>
          <w:trHeight w:val="258"/>
        </w:trPr>
        <w:tc>
          <w:tcPr>
            <w:tcW w:w="5419" w:type="dxa"/>
            <w:shd w:val="clear" w:color="auto" w:fill="auto"/>
          </w:tcPr>
          <w:p w14:paraId="002E7BD9" w14:textId="77777777" w:rsidR="00B12433" w:rsidRPr="00254D2D" w:rsidRDefault="00B12433" w:rsidP="00254D2D">
            <w:pPr>
              <w:tabs>
                <w:tab w:val="clear" w:pos="567"/>
              </w:tabs>
              <w:spacing w:line="240" w:lineRule="auto"/>
              <w:rPr>
                <w:szCs w:val="22"/>
                <w:lang w:val="en-GB"/>
              </w:rPr>
            </w:pPr>
            <w:proofErr w:type="spellStart"/>
            <w:r w:rsidRPr="00254D2D">
              <w:rPr>
                <w:szCs w:val="22"/>
                <w:lang w:val="en-GB"/>
              </w:rPr>
              <w:t>Propylenglykol</w:t>
            </w:r>
            <w:proofErr w:type="spellEnd"/>
          </w:p>
        </w:tc>
        <w:tc>
          <w:tcPr>
            <w:tcW w:w="3691" w:type="dxa"/>
            <w:shd w:val="clear" w:color="auto" w:fill="auto"/>
            <w:vAlign w:val="center"/>
          </w:tcPr>
          <w:p w14:paraId="1251E2F7" w14:textId="77777777" w:rsidR="00B12433" w:rsidRPr="00B41D57" w:rsidRDefault="00B12433" w:rsidP="00254D2D">
            <w:pPr>
              <w:spacing w:line="240" w:lineRule="auto"/>
              <w:rPr>
                <w:iCs/>
                <w:szCs w:val="22"/>
              </w:rPr>
            </w:pPr>
          </w:p>
        </w:tc>
      </w:tr>
      <w:tr w:rsidR="00B12433" w14:paraId="1B70AC4C" w14:textId="77777777" w:rsidTr="00254D2D">
        <w:trPr>
          <w:trHeight w:val="258"/>
        </w:trPr>
        <w:tc>
          <w:tcPr>
            <w:tcW w:w="5419" w:type="dxa"/>
            <w:shd w:val="clear" w:color="auto" w:fill="auto"/>
          </w:tcPr>
          <w:p w14:paraId="52E58D9C" w14:textId="77777777" w:rsidR="00B12433" w:rsidRPr="00254D2D" w:rsidRDefault="00B12433" w:rsidP="00254D2D">
            <w:pPr>
              <w:tabs>
                <w:tab w:val="clear" w:pos="567"/>
              </w:tabs>
              <w:spacing w:line="240" w:lineRule="auto"/>
              <w:rPr>
                <w:szCs w:val="22"/>
                <w:lang w:val="en-GB"/>
              </w:rPr>
            </w:pPr>
            <w:proofErr w:type="spellStart"/>
            <w:r w:rsidRPr="00254D2D">
              <w:rPr>
                <w:szCs w:val="22"/>
                <w:lang w:val="en-GB"/>
              </w:rPr>
              <w:t>Kyselina</w:t>
            </w:r>
            <w:proofErr w:type="spellEnd"/>
            <w:r w:rsidRPr="00254D2D">
              <w:rPr>
                <w:szCs w:val="22"/>
                <w:lang w:val="en-GB"/>
              </w:rPr>
              <w:t xml:space="preserve"> </w:t>
            </w:r>
            <w:proofErr w:type="spellStart"/>
            <w:r w:rsidRPr="00254D2D">
              <w:rPr>
                <w:szCs w:val="22"/>
                <w:lang w:val="en-GB"/>
              </w:rPr>
              <w:t>citronová</w:t>
            </w:r>
            <w:proofErr w:type="spellEnd"/>
            <w:r w:rsidRPr="00254D2D">
              <w:rPr>
                <w:szCs w:val="22"/>
                <w:lang w:val="en-GB"/>
              </w:rPr>
              <w:t xml:space="preserve"> (E 330)</w:t>
            </w:r>
          </w:p>
        </w:tc>
        <w:tc>
          <w:tcPr>
            <w:tcW w:w="3691" w:type="dxa"/>
            <w:shd w:val="clear" w:color="auto" w:fill="auto"/>
            <w:vAlign w:val="center"/>
          </w:tcPr>
          <w:p w14:paraId="4B767B9A" w14:textId="77777777" w:rsidR="00B12433" w:rsidRPr="00B41D57" w:rsidRDefault="00B12433" w:rsidP="00254D2D">
            <w:pPr>
              <w:spacing w:line="240" w:lineRule="auto"/>
              <w:rPr>
                <w:iCs/>
                <w:szCs w:val="22"/>
              </w:rPr>
            </w:pPr>
          </w:p>
        </w:tc>
      </w:tr>
      <w:tr w:rsidR="00B12433" w14:paraId="2A3D2D80" w14:textId="77777777" w:rsidTr="00254D2D">
        <w:trPr>
          <w:trHeight w:val="258"/>
        </w:trPr>
        <w:tc>
          <w:tcPr>
            <w:tcW w:w="5419" w:type="dxa"/>
            <w:shd w:val="clear" w:color="auto" w:fill="auto"/>
          </w:tcPr>
          <w:p w14:paraId="4C8EA1EC" w14:textId="77777777" w:rsidR="00B12433" w:rsidRPr="00254D2D" w:rsidRDefault="00B12433" w:rsidP="00254D2D">
            <w:pPr>
              <w:tabs>
                <w:tab w:val="clear" w:pos="567"/>
              </w:tabs>
              <w:spacing w:line="240" w:lineRule="auto"/>
              <w:rPr>
                <w:szCs w:val="22"/>
                <w:lang w:val="en-GB"/>
              </w:rPr>
            </w:pPr>
            <w:proofErr w:type="spellStart"/>
            <w:r w:rsidRPr="00254D2D">
              <w:rPr>
                <w:szCs w:val="22"/>
                <w:lang w:val="en-GB"/>
              </w:rPr>
              <w:t>Kyselina</w:t>
            </w:r>
            <w:proofErr w:type="spellEnd"/>
            <w:r w:rsidRPr="00254D2D">
              <w:rPr>
                <w:szCs w:val="22"/>
                <w:lang w:val="en-GB"/>
              </w:rPr>
              <w:t xml:space="preserve"> </w:t>
            </w:r>
            <w:proofErr w:type="spellStart"/>
            <w:r w:rsidRPr="00254D2D">
              <w:rPr>
                <w:szCs w:val="22"/>
                <w:lang w:val="en-GB"/>
              </w:rPr>
              <w:t>chlorovodíková</w:t>
            </w:r>
            <w:proofErr w:type="spellEnd"/>
            <w:r w:rsidRPr="00254D2D">
              <w:rPr>
                <w:szCs w:val="22"/>
                <w:lang w:val="en-GB"/>
              </w:rPr>
              <w:t xml:space="preserve">, </w:t>
            </w:r>
            <w:proofErr w:type="spellStart"/>
            <w:r w:rsidRPr="00254D2D">
              <w:rPr>
                <w:szCs w:val="22"/>
                <w:lang w:val="en-GB"/>
              </w:rPr>
              <w:t>koncentrovaná</w:t>
            </w:r>
            <w:proofErr w:type="spellEnd"/>
            <w:r w:rsidRPr="00254D2D">
              <w:rPr>
                <w:szCs w:val="22"/>
                <w:lang w:val="en-GB"/>
              </w:rPr>
              <w:t xml:space="preserve"> (pro </w:t>
            </w:r>
            <w:proofErr w:type="spellStart"/>
            <w:r w:rsidRPr="00254D2D">
              <w:rPr>
                <w:szCs w:val="22"/>
                <w:lang w:val="en-GB"/>
              </w:rPr>
              <w:t>úpravu</w:t>
            </w:r>
            <w:proofErr w:type="spellEnd"/>
            <w:r w:rsidRPr="00254D2D">
              <w:rPr>
                <w:szCs w:val="22"/>
                <w:lang w:val="en-GB"/>
              </w:rPr>
              <w:t xml:space="preserve"> pH)</w:t>
            </w:r>
          </w:p>
        </w:tc>
        <w:tc>
          <w:tcPr>
            <w:tcW w:w="3691" w:type="dxa"/>
            <w:shd w:val="clear" w:color="auto" w:fill="auto"/>
            <w:vAlign w:val="center"/>
          </w:tcPr>
          <w:p w14:paraId="16E6AB0F" w14:textId="77777777" w:rsidR="00B12433" w:rsidRPr="00B41D57" w:rsidRDefault="00B12433" w:rsidP="00254D2D">
            <w:pPr>
              <w:spacing w:line="240" w:lineRule="auto"/>
              <w:rPr>
                <w:iCs/>
                <w:szCs w:val="22"/>
              </w:rPr>
            </w:pPr>
          </w:p>
        </w:tc>
      </w:tr>
      <w:tr w:rsidR="00B12433" w14:paraId="7F6A07D8" w14:textId="77777777" w:rsidTr="00254D2D">
        <w:trPr>
          <w:trHeight w:val="258"/>
        </w:trPr>
        <w:tc>
          <w:tcPr>
            <w:tcW w:w="5419" w:type="dxa"/>
            <w:shd w:val="clear" w:color="auto" w:fill="auto"/>
          </w:tcPr>
          <w:p w14:paraId="0807532E" w14:textId="77777777" w:rsidR="00B12433" w:rsidRPr="00254D2D" w:rsidRDefault="00B12433" w:rsidP="00254D2D">
            <w:pPr>
              <w:tabs>
                <w:tab w:val="clear" w:pos="567"/>
              </w:tabs>
              <w:spacing w:line="240" w:lineRule="auto"/>
              <w:rPr>
                <w:szCs w:val="22"/>
                <w:lang w:val="en-GB"/>
              </w:rPr>
            </w:pPr>
            <w:proofErr w:type="spellStart"/>
            <w:r w:rsidRPr="00254D2D">
              <w:rPr>
                <w:szCs w:val="22"/>
                <w:lang w:val="en-GB"/>
              </w:rPr>
              <w:t>Hydroxid</w:t>
            </w:r>
            <w:proofErr w:type="spellEnd"/>
            <w:r w:rsidRPr="00254D2D">
              <w:rPr>
                <w:szCs w:val="22"/>
                <w:lang w:val="en-GB"/>
              </w:rPr>
              <w:t xml:space="preserve"> </w:t>
            </w:r>
            <w:proofErr w:type="spellStart"/>
            <w:r w:rsidRPr="00254D2D">
              <w:rPr>
                <w:szCs w:val="22"/>
                <w:lang w:val="en-GB"/>
              </w:rPr>
              <w:t>sodný</w:t>
            </w:r>
            <w:proofErr w:type="spellEnd"/>
            <w:r w:rsidRPr="00254D2D">
              <w:rPr>
                <w:szCs w:val="22"/>
                <w:lang w:val="en-GB"/>
              </w:rPr>
              <w:t xml:space="preserve"> (pro </w:t>
            </w:r>
            <w:proofErr w:type="spellStart"/>
            <w:r w:rsidRPr="00254D2D">
              <w:rPr>
                <w:szCs w:val="22"/>
                <w:lang w:val="en-GB"/>
              </w:rPr>
              <w:t>úpravu</w:t>
            </w:r>
            <w:proofErr w:type="spellEnd"/>
            <w:r w:rsidRPr="00254D2D">
              <w:rPr>
                <w:szCs w:val="22"/>
                <w:lang w:val="en-GB"/>
              </w:rPr>
              <w:t xml:space="preserve"> pH)</w:t>
            </w:r>
          </w:p>
        </w:tc>
        <w:tc>
          <w:tcPr>
            <w:tcW w:w="3691" w:type="dxa"/>
            <w:shd w:val="clear" w:color="auto" w:fill="auto"/>
            <w:vAlign w:val="center"/>
          </w:tcPr>
          <w:p w14:paraId="1C0ED0B9" w14:textId="77777777" w:rsidR="00B12433" w:rsidRPr="00B41D57" w:rsidRDefault="00B12433" w:rsidP="00254D2D">
            <w:pPr>
              <w:spacing w:line="240" w:lineRule="auto"/>
              <w:rPr>
                <w:iCs/>
                <w:szCs w:val="22"/>
              </w:rPr>
            </w:pPr>
          </w:p>
        </w:tc>
      </w:tr>
      <w:tr w:rsidR="00B12433" w14:paraId="0452711B" w14:textId="77777777" w:rsidTr="00254D2D">
        <w:trPr>
          <w:trHeight w:val="258"/>
        </w:trPr>
        <w:tc>
          <w:tcPr>
            <w:tcW w:w="5419" w:type="dxa"/>
            <w:shd w:val="clear" w:color="auto" w:fill="auto"/>
          </w:tcPr>
          <w:p w14:paraId="21BBE3FB" w14:textId="77777777" w:rsidR="00B12433" w:rsidRPr="00254D2D" w:rsidRDefault="00B12433" w:rsidP="00254D2D">
            <w:pPr>
              <w:tabs>
                <w:tab w:val="clear" w:pos="567"/>
              </w:tabs>
              <w:spacing w:line="240" w:lineRule="auto"/>
              <w:rPr>
                <w:szCs w:val="22"/>
                <w:lang w:val="en-GB"/>
              </w:rPr>
            </w:pPr>
            <w:proofErr w:type="spellStart"/>
            <w:r w:rsidRPr="00254D2D">
              <w:rPr>
                <w:szCs w:val="22"/>
                <w:lang w:val="en-GB"/>
              </w:rPr>
              <w:t>Pyrrolidon</w:t>
            </w:r>
            <w:proofErr w:type="spellEnd"/>
          </w:p>
        </w:tc>
        <w:tc>
          <w:tcPr>
            <w:tcW w:w="3691" w:type="dxa"/>
            <w:shd w:val="clear" w:color="auto" w:fill="auto"/>
            <w:vAlign w:val="center"/>
          </w:tcPr>
          <w:p w14:paraId="4025C70F" w14:textId="77777777" w:rsidR="00B12433" w:rsidRPr="00B41D57" w:rsidRDefault="00B12433" w:rsidP="00254D2D">
            <w:pPr>
              <w:spacing w:line="240" w:lineRule="auto"/>
              <w:rPr>
                <w:iCs/>
                <w:szCs w:val="22"/>
              </w:rPr>
            </w:pPr>
          </w:p>
        </w:tc>
      </w:tr>
      <w:tr w:rsidR="00B12433" w14:paraId="1F1A93B9" w14:textId="77777777" w:rsidTr="00254D2D">
        <w:trPr>
          <w:trHeight w:val="258"/>
        </w:trPr>
        <w:tc>
          <w:tcPr>
            <w:tcW w:w="5419" w:type="dxa"/>
            <w:shd w:val="clear" w:color="auto" w:fill="auto"/>
          </w:tcPr>
          <w:p w14:paraId="69C9C670" w14:textId="77777777" w:rsidR="00B12433" w:rsidRPr="00254D2D" w:rsidRDefault="00B12433" w:rsidP="00254D2D">
            <w:pPr>
              <w:tabs>
                <w:tab w:val="clear" w:pos="567"/>
              </w:tabs>
              <w:spacing w:line="240" w:lineRule="auto"/>
              <w:rPr>
                <w:szCs w:val="22"/>
                <w:lang w:val="en-GB"/>
              </w:rPr>
            </w:pPr>
            <w:proofErr w:type="spellStart"/>
            <w:r w:rsidRPr="00254D2D">
              <w:rPr>
                <w:szCs w:val="22"/>
                <w:lang w:val="en-GB"/>
              </w:rPr>
              <w:t>Voda</w:t>
            </w:r>
            <w:proofErr w:type="spellEnd"/>
            <w:r w:rsidRPr="00254D2D">
              <w:rPr>
                <w:szCs w:val="22"/>
                <w:lang w:val="en-GB"/>
              </w:rPr>
              <w:t xml:space="preserve"> pro </w:t>
            </w:r>
            <w:proofErr w:type="spellStart"/>
            <w:r w:rsidRPr="00254D2D">
              <w:rPr>
                <w:szCs w:val="22"/>
                <w:lang w:val="en-GB"/>
              </w:rPr>
              <w:t>injekci</w:t>
            </w:r>
            <w:proofErr w:type="spellEnd"/>
          </w:p>
        </w:tc>
        <w:tc>
          <w:tcPr>
            <w:tcW w:w="3691" w:type="dxa"/>
            <w:shd w:val="clear" w:color="auto" w:fill="auto"/>
            <w:vAlign w:val="center"/>
          </w:tcPr>
          <w:p w14:paraId="7CCEA847" w14:textId="77777777" w:rsidR="00B12433" w:rsidRPr="00B41D57" w:rsidRDefault="00B12433" w:rsidP="00254D2D">
            <w:pPr>
              <w:spacing w:line="240" w:lineRule="auto"/>
              <w:rPr>
                <w:iCs/>
                <w:szCs w:val="22"/>
              </w:rPr>
            </w:pPr>
          </w:p>
        </w:tc>
      </w:tr>
    </w:tbl>
    <w:p w14:paraId="59A1D149" w14:textId="2FFEF671" w:rsidR="00B12433" w:rsidRDefault="00B12433" w:rsidP="00B12433"/>
    <w:p w14:paraId="05CF221B" w14:textId="77777777" w:rsidR="003E58B3" w:rsidRDefault="00F675C6">
      <w:pPr>
        <w:pStyle w:val="Zhlav"/>
        <w:tabs>
          <w:tab w:val="clear" w:pos="4153"/>
          <w:tab w:val="clear" w:pos="8306"/>
          <w:tab w:val="left" w:pos="3338"/>
          <w:tab w:val="left" w:pos="6593"/>
          <w:tab w:val="left" w:pos="9848"/>
        </w:tabs>
        <w:ind w:firstLine="11"/>
        <w:rPr>
          <w:rFonts w:ascii="Times New Roman" w:hAnsi="Times New Roman"/>
          <w:sz w:val="22"/>
          <w:szCs w:val="22"/>
        </w:rPr>
      </w:pPr>
      <w:r>
        <w:rPr>
          <w:rFonts w:ascii="Times New Roman" w:hAnsi="Times New Roman"/>
          <w:color w:val="000000"/>
          <w:sz w:val="22"/>
          <w:szCs w:val="22"/>
          <w:lang w:eastAsia="es-ES"/>
        </w:rPr>
        <w:t>Čirý bezbarvý až žlutý/zelenožlutý roztok. Neobsahuje viditelné částice.</w:t>
      </w:r>
    </w:p>
    <w:p w14:paraId="05CF221C" w14:textId="14033BFA" w:rsidR="003E58B3" w:rsidRDefault="003E58B3">
      <w:pPr>
        <w:tabs>
          <w:tab w:val="clear" w:pos="567"/>
        </w:tabs>
        <w:spacing w:line="240" w:lineRule="auto"/>
        <w:rPr>
          <w:szCs w:val="22"/>
        </w:rPr>
      </w:pPr>
    </w:p>
    <w:p w14:paraId="5B20B1F2" w14:textId="77777777" w:rsidR="003C6626" w:rsidRDefault="003C6626">
      <w:pPr>
        <w:tabs>
          <w:tab w:val="clear" w:pos="567"/>
        </w:tabs>
        <w:spacing w:line="240" w:lineRule="auto"/>
        <w:rPr>
          <w:szCs w:val="22"/>
        </w:rPr>
      </w:pPr>
    </w:p>
    <w:p w14:paraId="05CF221D" w14:textId="77777777" w:rsidR="003E58B3" w:rsidRDefault="00F675C6">
      <w:pPr>
        <w:pStyle w:val="Style1"/>
      </w:pPr>
      <w:r>
        <w:t>3.</w:t>
      </w:r>
      <w:r>
        <w:tab/>
        <w:t>KLINICKÉ INFORMACE</w:t>
      </w:r>
    </w:p>
    <w:p w14:paraId="05CF221E" w14:textId="77777777" w:rsidR="003E58B3" w:rsidRDefault="003E58B3">
      <w:pPr>
        <w:tabs>
          <w:tab w:val="clear" w:pos="567"/>
        </w:tabs>
        <w:spacing w:line="240" w:lineRule="auto"/>
        <w:rPr>
          <w:szCs w:val="22"/>
        </w:rPr>
      </w:pPr>
    </w:p>
    <w:p w14:paraId="05CF221F" w14:textId="77777777" w:rsidR="003E58B3" w:rsidRDefault="00F675C6">
      <w:pPr>
        <w:pStyle w:val="Style1"/>
      </w:pPr>
      <w:r>
        <w:t>3.1</w:t>
      </w:r>
      <w:r>
        <w:tab/>
        <w:t>Cílové druhy zvířat</w:t>
      </w:r>
    </w:p>
    <w:p w14:paraId="05CF2220" w14:textId="77777777" w:rsidR="003E58B3" w:rsidRDefault="003E58B3">
      <w:pPr>
        <w:tabs>
          <w:tab w:val="clear" w:pos="567"/>
        </w:tabs>
        <w:spacing w:line="240" w:lineRule="auto"/>
        <w:rPr>
          <w:szCs w:val="22"/>
        </w:rPr>
      </w:pPr>
    </w:p>
    <w:p w14:paraId="05CF2221" w14:textId="77777777" w:rsidR="003E58B3" w:rsidRDefault="00F675C6">
      <w:pPr>
        <w:tabs>
          <w:tab w:val="clear" w:pos="567"/>
        </w:tabs>
        <w:spacing w:line="240" w:lineRule="auto"/>
        <w:rPr>
          <w:szCs w:val="22"/>
        </w:rPr>
      </w:pPr>
      <w:r>
        <w:rPr>
          <w:szCs w:val="22"/>
        </w:rPr>
        <w:t>Skot.</w:t>
      </w:r>
    </w:p>
    <w:p w14:paraId="05CF2222" w14:textId="77777777" w:rsidR="003E58B3" w:rsidRDefault="003E58B3">
      <w:pPr>
        <w:tabs>
          <w:tab w:val="clear" w:pos="567"/>
        </w:tabs>
        <w:spacing w:line="240" w:lineRule="auto"/>
        <w:rPr>
          <w:szCs w:val="22"/>
        </w:rPr>
      </w:pPr>
    </w:p>
    <w:p w14:paraId="05CF2223" w14:textId="77777777" w:rsidR="003E58B3" w:rsidRDefault="00F675C6">
      <w:pPr>
        <w:pStyle w:val="Style1"/>
      </w:pPr>
      <w:r>
        <w:t>3.2</w:t>
      </w:r>
      <w:r>
        <w:tab/>
        <w:t>Indikace pro použití pro každý cílový druh zvířat</w:t>
      </w:r>
    </w:p>
    <w:p w14:paraId="05CF2224" w14:textId="77777777" w:rsidR="003E58B3" w:rsidRDefault="003E58B3">
      <w:pPr>
        <w:tabs>
          <w:tab w:val="clear" w:pos="567"/>
        </w:tabs>
        <w:spacing w:line="240" w:lineRule="auto"/>
        <w:rPr>
          <w:szCs w:val="22"/>
        </w:rPr>
      </w:pPr>
    </w:p>
    <w:p w14:paraId="05CF2225" w14:textId="0ED4AC41" w:rsidR="003E58B3" w:rsidRDefault="00F675C6">
      <w:pPr>
        <w:tabs>
          <w:tab w:val="clear" w:pos="567"/>
        </w:tabs>
        <w:spacing w:line="240" w:lineRule="auto"/>
        <w:rPr>
          <w:szCs w:val="22"/>
          <w:lang w:eastAsia="es-ES"/>
        </w:rPr>
      </w:pPr>
      <w:r>
        <w:rPr>
          <w:szCs w:val="22"/>
          <w:lang w:eastAsia="es-ES"/>
        </w:rPr>
        <w:t xml:space="preserve">Léčba respiračního onemocnění skotu (BRD) spojeného s pyrexií a způsobeného mikroorganismy </w:t>
      </w:r>
      <w:proofErr w:type="spellStart"/>
      <w:r>
        <w:rPr>
          <w:i/>
          <w:iCs/>
          <w:szCs w:val="22"/>
          <w:lang w:eastAsia="es-ES"/>
        </w:rPr>
        <w:t>Mannheimia</w:t>
      </w:r>
      <w:proofErr w:type="spellEnd"/>
      <w:r>
        <w:rPr>
          <w:i/>
          <w:iCs/>
          <w:szCs w:val="22"/>
          <w:lang w:eastAsia="es-ES"/>
        </w:rPr>
        <w:t xml:space="preserve"> </w:t>
      </w:r>
      <w:proofErr w:type="spellStart"/>
      <w:r>
        <w:rPr>
          <w:i/>
          <w:iCs/>
          <w:szCs w:val="22"/>
          <w:lang w:eastAsia="es-ES"/>
        </w:rPr>
        <w:t>haemolytica</w:t>
      </w:r>
      <w:proofErr w:type="spellEnd"/>
      <w:r>
        <w:rPr>
          <w:szCs w:val="22"/>
          <w:lang w:eastAsia="es-ES"/>
        </w:rPr>
        <w:t xml:space="preserve">, </w:t>
      </w:r>
      <w:proofErr w:type="spellStart"/>
      <w:r>
        <w:rPr>
          <w:i/>
          <w:iCs/>
          <w:szCs w:val="22"/>
          <w:lang w:eastAsia="es-ES"/>
        </w:rPr>
        <w:t>Pasteurella</w:t>
      </w:r>
      <w:proofErr w:type="spellEnd"/>
      <w:r>
        <w:rPr>
          <w:i/>
          <w:iCs/>
          <w:szCs w:val="22"/>
          <w:lang w:eastAsia="es-ES"/>
        </w:rPr>
        <w:t xml:space="preserve"> </w:t>
      </w:r>
      <w:proofErr w:type="spellStart"/>
      <w:r>
        <w:rPr>
          <w:i/>
          <w:iCs/>
          <w:szCs w:val="22"/>
          <w:lang w:eastAsia="es-ES"/>
        </w:rPr>
        <w:t>multocida</w:t>
      </w:r>
      <w:proofErr w:type="spellEnd"/>
      <w:r>
        <w:rPr>
          <w:i/>
          <w:iCs/>
          <w:szCs w:val="22"/>
          <w:lang w:eastAsia="es-ES"/>
        </w:rPr>
        <w:t xml:space="preserve">, </w:t>
      </w:r>
      <w:proofErr w:type="spellStart"/>
      <w:r>
        <w:rPr>
          <w:i/>
          <w:iCs/>
          <w:szCs w:val="22"/>
          <w:lang w:eastAsia="es-ES"/>
        </w:rPr>
        <w:t>Histophilus</w:t>
      </w:r>
      <w:proofErr w:type="spellEnd"/>
      <w:r>
        <w:rPr>
          <w:i/>
          <w:iCs/>
          <w:szCs w:val="22"/>
          <w:lang w:eastAsia="es-ES"/>
        </w:rPr>
        <w:t xml:space="preserve"> </w:t>
      </w:r>
      <w:proofErr w:type="spellStart"/>
      <w:r>
        <w:rPr>
          <w:i/>
          <w:iCs/>
          <w:szCs w:val="22"/>
          <w:lang w:eastAsia="es-ES"/>
        </w:rPr>
        <w:t>somni</w:t>
      </w:r>
      <w:proofErr w:type="spellEnd"/>
      <w:r>
        <w:rPr>
          <w:szCs w:val="22"/>
          <w:lang w:eastAsia="es-ES"/>
        </w:rPr>
        <w:t xml:space="preserve"> a </w:t>
      </w:r>
      <w:proofErr w:type="spellStart"/>
      <w:r>
        <w:rPr>
          <w:i/>
          <w:iCs/>
          <w:szCs w:val="22"/>
          <w:lang w:eastAsia="es-ES"/>
        </w:rPr>
        <w:t>Mycoplasma</w:t>
      </w:r>
      <w:proofErr w:type="spellEnd"/>
      <w:r>
        <w:rPr>
          <w:i/>
          <w:iCs/>
          <w:szCs w:val="22"/>
          <w:lang w:eastAsia="es-ES"/>
        </w:rPr>
        <w:t xml:space="preserve"> </w:t>
      </w:r>
      <w:proofErr w:type="spellStart"/>
      <w:r>
        <w:rPr>
          <w:i/>
          <w:iCs/>
          <w:szCs w:val="22"/>
          <w:lang w:eastAsia="es-ES"/>
        </w:rPr>
        <w:t>bovis</w:t>
      </w:r>
      <w:proofErr w:type="spellEnd"/>
      <w:r>
        <w:rPr>
          <w:szCs w:val="22"/>
          <w:lang w:eastAsia="es-ES"/>
        </w:rPr>
        <w:t xml:space="preserve"> citlivými k</w:t>
      </w:r>
      <w:r w:rsidR="00493A47">
        <w:rPr>
          <w:szCs w:val="22"/>
          <w:lang w:val="en-US" w:eastAsia="es-ES"/>
        </w:rPr>
        <w:t> </w:t>
      </w:r>
      <w:proofErr w:type="spellStart"/>
      <w:r>
        <w:rPr>
          <w:szCs w:val="22"/>
          <w:lang w:eastAsia="es-ES"/>
        </w:rPr>
        <w:t>tulathromycinu</w:t>
      </w:r>
      <w:proofErr w:type="spellEnd"/>
      <w:r>
        <w:rPr>
          <w:szCs w:val="22"/>
          <w:lang w:eastAsia="es-ES"/>
        </w:rPr>
        <w:t>.</w:t>
      </w:r>
    </w:p>
    <w:p w14:paraId="05CF2226" w14:textId="77777777" w:rsidR="003E58B3" w:rsidRDefault="003E58B3">
      <w:pPr>
        <w:tabs>
          <w:tab w:val="clear" w:pos="567"/>
        </w:tabs>
        <w:spacing w:line="240" w:lineRule="auto"/>
        <w:rPr>
          <w:szCs w:val="22"/>
        </w:rPr>
      </w:pPr>
    </w:p>
    <w:p w14:paraId="05CF2227" w14:textId="77777777" w:rsidR="003E58B3" w:rsidRDefault="00F675C6">
      <w:pPr>
        <w:pStyle w:val="Style1"/>
      </w:pPr>
      <w:r>
        <w:t>3.3</w:t>
      </w:r>
      <w:r>
        <w:tab/>
        <w:t>Kontraindikace</w:t>
      </w:r>
    </w:p>
    <w:p w14:paraId="05CF2228" w14:textId="77777777" w:rsidR="003E58B3" w:rsidRDefault="003E58B3">
      <w:pPr>
        <w:tabs>
          <w:tab w:val="clear" w:pos="567"/>
        </w:tabs>
        <w:spacing w:line="240" w:lineRule="auto"/>
        <w:rPr>
          <w:szCs w:val="22"/>
        </w:rPr>
      </w:pPr>
    </w:p>
    <w:p w14:paraId="05CF2229" w14:textId="77777777" w:rsidR="003E58B3" w:rsidRDefault="00F675C6">
      <w:pPr>
        <w:autoSpaceDE w:val="0"/>
        <w:autoSpaceDN w:val="0"/>
        <w:adjustRightInd w:val="0"/>
        <w:rPr>
          <w:color w:val="000000"/>
          <w:szCs w:val="22"/>
          <w:lang w:eastAsia="es-ES"/>
        </w:rPr>
      </w:pPr>
      <w:r>
        <w:rPr>
          <w:color w:val="000000"/>
          <w:szCs w:val="22"/>
          <w:lang w:eastAsia="es-ES"/>
        </w:rPr>
        <w:t xml:space="preserve">Nepoužívat v případech přecitlivělosti na léčivou látku nebo kteroukoli pomocnou látku. </w:t>
      </w:r>
    </w:p>
    <w:p w14:paraId="05CF222A" w14:textId="0FE0E766" w:rsidR="003E58B3" w:rsidRDefault="00F675C6">
      <w:pPr>
        <w:autoSpaceDE w:val="0"/>
        <w:autoSpaceDN w:val="0"/>
        <w:adjustRightInd w:val="0"/>
        <w:rPr>
          <w:color w:val="000000"/>
          <w:szCs w:val="22"/>
          <w:lang w:eastAsia="es-ES"/>
        </w:rPr>
      </w:pPr>
      <w:r>
        <w:rPr>
          <w:color w:val="000000"/>
          <w:szCs w:val="22"/>
          <w:lang w:eastAsia="es-ES"/>
        </w:rPr>
        <w:t xml:space="preserve">Nepoužívat současně s jinými </w:t>
      </w:r>
      <w:proofErr w:type="spellStart"/>
      <w:r>
        <w:rPr>
          <w:color w:val="000000"/>
          <w:szCs w:val="22"/>
          <w:lang w:eastAsia="es-ES"/>
        </w:rPr>
        <w:t>makrolidy</w:t>
      </w:r>
      <w:proofErr w:type="spellEnd"/>
      <w:r>
        <w:rPr>
          <w:color w:val="000000"/>
          <w:szCs w:val="22"/>
          <w:lang w:eastAsia="es-ES"/>
        </w:rPr>
        <w:t xml:space="preserve"> nebo </w:t>
      </w:r>
      <w:proofErr w:type="spellStart"/>
      <w:r>
        <w:rPr>
          <w:color w:val="000000"/>
          <w:szCs w:val="22"/>
          <w:lang w:eastAsia="es-ES"/>
        </w:rPr>
        <w:t>linkosamidy</w:t>
      </w:r>
      <w:proofErr w:type="spellEnd"/>
      <w:r>
        <w:rPr>
          <w:color w:val="000000"/>
          <w:szCs w:val="22"/>
          <w:lang w:eastAsia="es-ES"/>
        </w:rPr>
        <w:t xml:space="preserve"> (viz bod </w:t>
      </w:r>
      <w:r w:rsidR="0075713B">
        <w:rPr>
          <w:color w:val="000000"/>
          <w:szCs w:val="22"/>
          <w:lang w:eastAsia="es-ES"/>
        </w:rPr>
        <w:t>3</w:t>
      </w:r>
      <w:r>
        <w:rPr>
          <w:color w:val="000000"/>
          <w:szCs w:val="22"/>
          <w:lang w:eastAsia="es-ES"/>
        </w:rPr>
        <w:t xml:space="preserve">.4). </w:t>
      </w:r>
    </w:p>
    <w:p w14:paraId="05CF222B" w14:textId="77777777" w:rsidR="003E58B3" w:rsidRDefault="00F675C6">
      <w:pPr>
        <w:tabs>
          <w:tab w:val="clear" w:pos="567"/>
        </w:tabs>
        <w:spacing w:line="240" w:lineRule="auto"/>
        <w:rPr>
          <w:szCs w:val="22"/>
        </w:rPr>
      </w:pPr>
      <w:r>
        <w:rPr>
          <w:szCs w:val="22"/>
        </w:rPr>
        <w:t>Nepodávat zvířatům trpícím gastrointestinálními lézemi, hemoragickou diatézou, krevní dyskrazií nebo jaterním, renálním nebo srdečním onemocněním.</w:t>
      </w:r>
    </w:p>
    <w:p w14:paraId="05CF222C" w14:textId="77777777" w:rsidR="003E58B3" w:rsidRDefault="003E58B3">
      <w:pPr>
        <w:tabs>
          <w:tab w:val="clear" w:pos="567"/>
        </w:tabs>
        <w:spacing w:line="240" w:lineRule="auto"/>
        <w:rPr>
          <w:szCs w:val="22"/>
        </w:rPr>
      </w:pPr>
    </w:p>
    <w:p w14:paraId="05CF222D" w14:textId="77777777" w:rsidR="003E58B3" w:rsidRDefault="00F675C6">
      <w:pPr>
        <w:pStyle w:val="Style1"/>
      </w:pPr>
      <w:r>
        <w:t>3.4</w:t>
      </w:r>
      <w:r>
        <w:tab/>
        <w:t>Zvláštní upozornění</w:t>
      </w:r>
    </w:p>
    <w:p w14:paraId="05CF222E" w14:textId="77777777" w:rsidR="003E58B3" w:rsidRDefault="003E58B3">
      <w:pPr>
        <w:tabs>
          <w:tab w:val="clear" w:pos="567"/>
        </w:tabs>
        <w:spacing w:line="240" w:lineRule="auto"/>
        <w:rPr>
          <w:szCs w:val="22"/>
        </w:rPr>
      </w:pPr>
    </w:p>
    <w:p w14:paraId="05CF222F" w14:textId="77777777" w:rsidR="003E58B3" w:rsidRDefault="00F675C6">
      <w:pPr>
        <w:tabs>
          <w:tab w:val="clear" w:pos="567"/>
        </w:tabs>
        <w:spacing w:line="240" w:lineRule="auto"/>
        <w:rPr>
          <w:szCs w:val="22"/>
        </w:rPr>
      </w:pPr>
      <w:r>
        <w:rPr>
          <w:szCs w:val="22"/>
        </w:rPr>
        <w:t xml:space="preserve">Vyskytuje se zkřížená rezistence s jinými </w:t>
      </w:r>
      <w:proofErr w:type="spellStart"/>
      <w:r>
        <w:rPr>
          <w:szCs w:val="22"/>
        </w:rPr>
        <w:t>makrolidy</w:t>
      </w:r>
      <w:proofErr w:type="spellEnd"/>
      <w:r>
        <w:rPr>
          <w:szCs w:val="22"/>
        </w:rPr>
        <w:t xml:space="preserve">. Nepodávejte současně s antimikrobiálními látkami s podobným mechanizmem účinku, jako jsou jiné </w:t>
      </w:r>
      <w:proofErr w:type="spellStart"/>
      <w:r>
        <w:rPr>
          <w:szCs w:val="22"/>
        </w:rPr>
        <w:t>makrolidy</w:t>
      </w:r>
      <w:proofErr w:type="spellEnd"/>
      <w:r>
        <w:rPr>
          <w:szCs w:val="22"/>
        </w:rPr>
        <w:t xml:space="preserve"> nebo </w:t>
      </w:r>
      <w:proofErr w:type="spellStart"/>
      <w:r>
        <w:rPr>
          <w:szCs w:val="22"/>
        </w:rPr>
        <w:t>linkosamidy</w:t>
      </w:r>
      <w:proofErr w:type="spellEnd"/>
      <w:r>
        <w:rPr>
          <w:szCs w:val="22"/>
        </w:rPr>
        <w:t>.</w:t>
      </w:r>
    </w:p>
    <w:p w14:paraId="05CF2230" w14:textId="77777777" w:rsidR="003E58B3" w:rsidRDefault="003E58B3">
      <w:pPr>
        <w:tabs>
          <w:tab w:val="clear" w:pos="567"/>
        </w:tabs>
        <w:spacing w:line="240" w:lineRule="auto"/>
        <w:rPr>
          <w:szCs w:val="22"/>
        </w:rPr>
      </w:pPr>
    </w:p>
    <w:p w14:paraId="05CF2231" w14:textId="77777777" w:rsidR="003E58B3" w:rsidRDefault="00F675C6" w:rsidP="00254D2D">
      <w:pPr>
        <w:pStyle w:val="Style1"/>
        <w:keepNext/>
      </w:pPr>
      <w:r>
        <w:lastRenderedPageBreak/>
        <w:t>3.5</w:t>
      </w:r>
      <w:r>
        <w:tab/>
        <w:t>Zvláštní opatření pro použití</w:t>
      </w:r>
    </w:p>
    <w:p w14:paraId="05CF2232" w14:textId="77777777" w:rsidR="003E58B3" w:rsidRDefault="003E58B3" w:rsidP="000A6CC8">
      <w:pPr>
        <w:pStyle w:val="SPCheader2"/>
        <w:numPr>
          <w:ilvl w:val="0"/>
          <w:numId w:val="0"/>
        </w:numPr>
        <w:spacing w:before="0" w:after="0"/>
        <w:outlineLvl w:val="9"/>
        <w:rPr>
          <w:sz w:val="22"/>
          <w:szCs w:val="22"/>
          <w:lang w:val="cs-CZ"/>
        </w:rPr>
      </w:pPr>
    </w:p>
    <w:p w14:paraId="05CF2233" w14:textId="5E62F01E" w:rsidR="003E58B3" w:rsidRDefault="00F675C6">
      <w:pPr>
        <w:autoSpaceDE w:val="0"/>
        <w:autoSpaceDN w:val="0"/>
        <w:rPr>
          <w:iCs/>
          <w:szCs w:val="22"/>
        </w:rPr>
      </w:pPr>
      <w:r>
        <w:rPr>
          <w:szCs w:val="22"/>
        </w:rPr>
        <w:t xml:space="preserve">Tento </w:t>
      </w:r>
      <w:r w:rsidR="0098547D">
        <w:rPr>
          <w:iCs/>
          <w:szCs w:val="22"/>
        </w:rPr>
        <w:t xml:space="preserve">veterinární léčivý </w:t>
      </w:r>
      <w:r>
        <w:rPr>
          <w:szCs w:val="22"/>
        </w:rPr>
        <w:t>přípravek neobsahuje žádnou antimikrobiální konzervační látku.</w:t>
      </w:r>
    </w:p>
    <w:p w14:paraId="05CF2234" w14:textId="77777777" w:rsidR="003E58B3" w:rsidRDefault="003E58B3">
      <w:pPr>
        <w:autoSpaceDE w:val="0"/>
        <w:autoSpaceDN w:val="0"/>
        <w:rPr>
          <w:iCs/>
          <w:szCs w:val="22"/>
        </w:rPr>
      </w:pPr>
    </w:p>
    <w:p w14:paraId="05CF2235" w14:textId="1FFF527C" w:rsidR="003E58B3" w:rsidRDefault="00F675C6">
      <w:pPr>
        <w:pStyle w:val="SPCheader2"/>
        <w:numPr>
          <w:ilvl w:val="0"/>
          <w:numId w:val="0"/>
        </w:numPr>
        <w:spacing w:before="0" w:after="0"/>
        <w:outlineLvl w:val="9"/>
        <w:rPr>
          <w:b w:val="0"/>
          <w:sz w:val="22"/>
          <w:szCs w:val="22"/>
          <w:u w:val="single"/>
          <w:lang w:val="cs-CZ"/>
        </w:rPr>
      </w:pPr>
      <w:r>
        <w:rPr>
          <w:b w:val="0"/>
          <w:sz w:val="22"/>
          <w:szCs w:val="22"/>
          <w:u w:val="single"/>
          <w:lang w:val="cs-CZ"/>
        </w:rPr>
        <w:t xml:space="preserve">Zvláštní opatření pro </w:t>
      </w:r>
      <w:r w:rsidR="009C35C9" w:rsidRPr="006905B9">
        <w:rPr>
          <w:b w:val="0"/>
          <w:sz w:val="22"/>
          <w:szCs w:val="22"/>
          <w:u w:val="single"/>
          <w:lang w:val="cs-CZ"/>
        </w:rPr>
        <w:t>bezpečné</w:t>
      </w:r>
      <w:r w:rsidR="009C35C9">
        <w:rPr>
          <w:b w:val="0"/>
          <w:sz w:val="22"/>
          <w:szCs w:val="22"/>
          <w:u w:val="single"/>
          <w:lang w:val="cs-CZ"/>
        </w:rPr>
        <w:t xml:space="preserve"> </w:t>
      </w:r>
      <w:r>
        <w:rPr>
          <w:b w:val="0"/>
          <w:sz w:val="22"/>
          <w:szCs w:val="22"/>
          <w:u w:val="single"/>
          <w:lang w:val="cs-CZ"/>
        </w:rPr>
        <w:t xml:space="preserve">použití u </w:t>
      </w:r>
      <w:r w:rsidR="006905B9" w:rsidRPr="006905B9">
        <w:rPr>
          <w:b w:val="0"/>
          <w:sz w:val="22"/>
          <w:szCs w:val="22"/>
          <w:u w:val="single"/>
          <w:lang w:val="cs-CZ"/>
        </w:rPr>
        <w:t xml:space="preserve">cílových druhů </w:t>
      </w:r>
      <w:r>
        <w:rPr>
          <w:b w:val="0"/>
          <w:sz w:val="22"/>
          <w:szCs w:val="22"/>
          <w:u w:val="single"/>
          <w:lang w:val="cs-CZ"/>
        </w:rPr>
        <w:t>zvířat</w:t>
      </w:r>
      <w:r w:rsidR="00F85EFC">
        <w:rPr>
          <w:b w:val="0"/>
          <w:sz w:val="22"/>
          <w:szCs w:val="22"/>
          <w:u w:val="single"/>
          <w:lang w:val="cs-CZ"/>
        </w:rPr>
        <w:t>:</w:t>
      </w:r>
    </w:p>
    <w:p w14:paraId="05CF2236" w14:textId="77777777" w:rsidR="003E58B3" w:rsidRDefault="003E58B3">
      <w:pPr>
        <w:pStyle w:val="SPCheader2"/>
        <w:numPr>
          <w:ilvl w:val="0"/>
          <w:numId w:val="0"/>
        </w:numPr>
        <w:spacing w:before="0" w:after="0"/>
        <w:outlineLvl w:val="9"/>
        <w:rPr>
          <w:b w:val="0"/>
          <w:sz w:val="22"/>
          <w:szCs w:val="22"/>
          <w:u w:val="single"/>
          <w:lang w:val="cs-CZ"/>
        </w:rPr>
      </w:pPr>
    </w:p>
    <w:p w14:paraId="0DF19539" w14:textId="76BA3F3D" w:rsidR="00234A5D" w:rsidRDefault="0098547D">
      <w:pPr>
        <w:autoSpaceDE w:val="0"/>
        <w:autoSpaceDN w:val="0"/>
        <w:rPr>
          <w:iCs/>
          <w:szCs w:val="22"/>
        </w:rPr>
      </w:pPr>
      <w:r>
        <w:rPr>
          <w:iCs/>
          <w:szCs w:val="22"/>
        </w:rPr>
        <w:t>Veterinární léčivý p</w:t>
      </w:r>
      <w:r w:rsidR="00F675C6">
        <w:rPr>
          <w:iCs/>
          <w:szCs w:val="22"/>
        </w:rPr>
        <w:t xml:space="preserve">řípravek by měl být použit na základě identifikace a testování citlivosti cílového patogenu/cílových patogenů. Pokud to není možné, měla by být léčba založena na epidemiologických informacích a znalosti citlivosti cílových bakterií na úrovni farmy nebo na místní/regionální úrovni. Při použití </w:t>
      </w:r>
      <w:r w:rsidR="00FA4F96">
        <w:rPr>
          <w:iCs/>
          <w:szCs w:val="22"/>
        </w:rPr>
        <w:t>veterinárního léčiv</w:t>
      </w:r>
      <w:r w:rsidR="00165D57">
        <w:rPr>
          <w:iCs/>
          <w:szCs w:val="22"/>
        </w:rPr>
        <w:t>ého</w:t>
      </w:r>
      <w:r w:rsidR="00FA4F96">
        <w:rPr>
          <w:iCs/>
          <w:szCs w:val="22"/>
        </w:rPr>
        <w:t xml:space="preserve"> </w:t>
      </w:r>
      <w:r w:rsidR="00F675C6">
        <w:rPr>
          <w:iCs/>
          <w:szCs w:val="22"/>
        </w:rPr>
        <w:t xml:space="preserve">přípravku je nutno vzít v úvahu oficiální, národní a místní pravidla </w:t>
      </w:r>
      <w:r w:rsidR="00BB76BF">
        <w:rPr>
          <w:iCs/>
          <w:szCs w:val="22"/>
        </w:rPr>
        <w:t xml:space="preserve">antibiotické </w:t>
      </w:r>
      <w:r w:rsidR="00F675C6">
        <w:rPr>
          <w:iCs/>
          <w:szCs w:val="22"/>
        </w:rPr>
        <w:t xml:space="preserve">politiky. </w:t>
      </w:r>
    </w:p>
    <w:p w14:paraId="1A2CF88C" w14:textId="77777777" w:rsidR="00EA6FA3" w:rsidRDefault="00EA6FA3">
      <w:pPr>
        <w:autoSpaceDE w:val="0"/>
        <w:autoSpaceDN w:val="0"/>
        <w:rPr>
          <w:iCs/>
          <w:szCs w:val="22"/>
        </w:rPr>
      </w:pPr>
    </w:p>
    <w:p w14:paraId="05CF2237" w14:textId="621905A3" w:rsidR="003E58B3" w:rsidRDefault="00F675C6">
      <w:pPr>
        <w:autoSpaceDE w:val="0"/>
        <w:autoSpaceDN w:val="0"/>
        <w:rPr>
          <w:szCs w:val="22"/>
        </w:rPr>
      </w:pPr>
      <w:r>
        <w:rPr>
          <w:szCs w:val="22"/>
        </w:rPr>
        <w:t xml:space="preserve">Jiný způsob použití </w:t>
      </w:r>
      <w:r w:rsidR="00165D57">
        <w:rPr>
          <w:iCs/>
          <w:szCs w:val="22"/>
        </w:rPr>
        <w:t xml:space="preserve">veterinárního léčivého </w:t>
      </w:r>
      <w:r>
        <w:rPr>
          <w:szCs w:val="22"/>
        </w:rPr>
        <w:t>přípravku, než je uveden v</w:t>
      </w:r>
      <w:r w:rsidR="00BD3192">
        <w:rPr>
          <w:szCs w:val="22"/>
        </w:rPr>
        <w:t> </w:t>
      </w:r>
      <w:r>
        <w:rPr>
          <w:szCs w:val="22"/>
        </w:rPr>
        <w:t xml:space="preserve">souhrnu údajů o přípravku, může zvýšit prevalenci bakterií rezistentních na </w:t>
      </w:r>
      <w:proofErr w:type="spellStart"/>
      <w:r>
        <w:rPr>
          <w:szCs w:val="22"/>
        </w:rPr>
        <w:t>tulathromycin</w:t>
      </w:r>
      <w:proofErr w:type="spellEnd"/>
      <w:r>
        <w:rPr>
          <w:szCs w:val="22"/>
        </w:rPr>
        <w:t xml:space="preserve"> a snížit účinnost terapie ostatními </w:t>
      </w:r>
      <w:proofErr w:type="spellStart"/>
      <w:r>
        <w:rPr>
          <w:szCs w:val="22"/>
        </w:rPr>
        <w:t>makrolidy</w:t>
      </w:r>
      <w:proofErr w:type="spellEnd"/>
      <w:r>
        <w:rPr>
          <w:szCs w:val="22"/>
        </w:rPr>
        <w:t xml:space="preserve">, </w:t>
      </w:r>
      <w:proofErr w:type="spellStart"/>
      <w:r>
        <w:rPr>
          <w:szCs w:val="22"/>
        </w:rPr>
        <w:t>linkosamidy</w:t>
      </w:r>
      <w:proofErr w:type="spellEnd"/>
      <w:r>
        <w:rPr>
          <w:szCs w:val="22"/>
        </w:rPr>
        <w:t xml:space="preserve"> a </w:t>
      </w:r>
      <w:proofErr w:type="spellStart"/>
      <w:r>
        <w:rPr>
          <w:szCs w:val="22"/>
        </w:rPr>
        <w:t>streptograminy</w:t>
      </w:r>
      <w:proofErr w:type="spellEnd"/>
      <w:r>
        <w:rPr>
          <w:szCs w:val="22"/>
        </w:rPr>
        <w:t xml:space="preserve"> skupiny B, z důvodu možné zkřížené rezistence (MLS</w:t>
      </w:r>
      <w:r>
        <w:rPr>
          <w:szCs w:val="22"/>
          <w:vertAlign w:val="subscript"/>
        </w:rPr>
        <w:t>B</w:t>
      </w:r>
      <w:r>
        <w:rPr>
          <w:szCs w:val="22"/>
        </w:rPr>
        <w:t xml:space="preserve"> rezistence).</w:t>
      </w:r>
    </w:p>
    <w:p w14:paraId="05CF2238" w14:textId="77777777" w:rsidR="003E58B3" w:rsidRDefault="003E58B3">
      <w:pPr>
        <w:autoSpaceDE w:val="0"/>
        <w:autoSpaceDN w:val="0"/>
        <w:rPr>
          <w:szCs w:val="22"/>
        </w:rPr>
      </w:pPr>
    </w:p>
    <w:p w14:paraId="05CF2239" w14:textId="74FA2F6E" w:rsidR="003E58B3" w:rsidRDefault="00F675C6">
      <w:pPr>
        <w:pStyle w:val="Retraitcorpsdetexte31"/>
        <w:ind w:left="0"/>
        <w:rPr>
          <w:sz w:val="22"/>
          <w:szCs w:val="22"/>
          <w:lang w:val="cs-CZ" w:eastAsia="en-US"/>
        </w:rPr>
      </w:pPr>
      <w:r>
        <w:rPr>
          <w:sz w:val="22"/>
          <w:szCs w:val="22"/>
          <w:lang w:val="cs-CZ" w:eastAsia="en-US"/>
        </w:rPr>
        <w:t xml:space="preserve">Vzhledem k tomu, že mnoho NSAID může vyvolávat gastrointestinální </w:t>
      </w:r>
      <w:r w:rsidR="00AA59E7">
        <w:rPr>
          <w:sz w:val="22"/>
          <w:szCs w:val="22"/>
          <w:lang w:val="cs-CZ" w:eastAsia="en-US"/>
        </w:rPr>
        <w:t>ulceraci</w:t>
      </w:r>
      <w:r>
        <w:rPr>
          <w:sz w:val="22"/>
          <w:szCs w:val="22"/>
          <w:lang w:val="cs-CZ" w:eastAsia="en-US"/>
        </w:rPr>
        <w:t>, zejména u staršího skotu a mladých telat, je třeba se vyhnout současnému použití tohoto</w:t>
      </w:r>
      <w:r w:rsidR="009953E8">
        <w:rPr>
          <w:sz w:val="22"/>
          <w:szCs w:val="22"/>
          <w:lang w:val="cs-CZ" w:eastAsia="en-US"/>
        </w:rPr>
        <w:t xml:space="preserve"> veterinárního léčivého</w:t>
      </w:r>
      <w:r>
        <w:rPr>
          <w:sz w:val="22"/>
          <w:szCs w:val="22"/>
          <w:lang w:val="cs-CZ" w:eastAsia="en-US"/>
        </w:rPr>
        <w:t xml:space="preserve"> přípravku s jinými protizánětlivými léky (NSAID) nebo steroidními protizánětlivými léky (např. kortikosteroidy) během prvních 24 hodin léčby. Souběžná léčba NSAID a steroidními protizánětlivými přípravky by poté měla být pečlivě monitorována. Použití</w:t>
      </w:r>
      <w:r w:rsidR="00C43818">
        <w:rPr>
          <w:sz w:val="22"/>
          <w:szCs w:val="22"/>
          <w:lang w:val="cs-CZ" w:eastAsia="en-US"/>
        </w:rPr>
        <w:t xml:space="preserve"> veterinárního léčivého</w:t>
      </w:r>
      <w:r>
        <w:rPr>
          <w:sz w:val="22"/>
          <w:szCs w:val="22"/>
          <w:lang w:val="cs-CZ" w:eastAsia="en-US"/>
        </w:rPr>
        <w:t xml:space="preserve"> přípravku (obsahujícího </w:t>
      </w:r>
      <w:proofErr w:type="spellStart"/>
      <w:r>
        <w:rPr>
          <w:sz w:val="22"/>
          <w:szCs w:val="22"/>
          <w:lang w:val="cs-CZ" w:eastAsia="en-US"/>
        </w:rPr>
        <w:t>ketoprofen</w:t>
      </w:r>
      <w:proofErr w:type="spellEnd"/>
      <w:r>
        <w:rPr>
          <w:sz w:val="22"/>
          <w:szCs w:val="22"/>
          <w:lang w:val="cs-CZ" w:eastAsia="en-US"/>
        </w:rPr>
        <w:t>) u starých zvířat nebo zvířat mladších než 6 týdnů by mělo vycházet z posouzení prospěchu a rizika příslušným veterinárním lékařem.</w:t>
      </w:r>
    </w:p>
    <w:p w14:paraId="05CF223A" w14:textId="77777777" w:rsidR="003E58B3" w:rsidRDefault="003E58B3">
      <w:pPr>
        <w:pStyle w:val="Retraitcorpsdetexte31"/>
        <w:ind w:left="0"/>
        <w:rPr>
          <w:sz w:val="22"/>
          <w:szCs w:val="22"/>
          <w:lang w:val="cs-CZ" w:eastAsia="en-US"/>
        </w:rPr>
      </w:pPr>
    </w:p>
    <w:p w14:paraId="05CF223B" w14:textId="77777777" w:rsidR="003E58B3" w:rsidRDefault="00F675C6">
      <w:pPr>
        <w:pStyle w:val="Retraitcorpsdetexte31"/>
        <w:ind w:left="0"/>
        <w:rPr>
          <w:sz w:val="22"/>
          <w:szCs w:val="22"/>
          <w:lang w:val="cs-CZ"/>
        </w:rPr>
      </w:pPr>
      <w:r>
        <w:rPr>
          <w:sz w:val="22"/>
          <w:szCs w:val="22"/>
          <w:lang w:val="cs-CZ"/>
        </w:rPr>
        <w:t>Nepoužívejte u zvířat, která jsou dehydratovaná či mají hypovolémii nebo hypotenzi vyžadující parenterální rehydrataci, neboť v těchto případech vzniká potenciální riziko renální toxicity.</w:t>
      </w:r>
    </w:p>
    <w:p w14:paraId="05CF223C" w14:textId="77777777" w:rsidR="003E58B3" w:rsidRDefault="003E58B3">
      <w:pPr>
        <w:pStyle w:val="Retraitcorpsdetexte31"/>
        <w:ind w:left="0"/>
        <w:rPr>
          <w:sz w:val="22"/>
          <w:szCs w:val="22"/>
          <w:lang w:val="cs-CZ"/>
        </w:rPr>
      </w:pPr>
    </w:p>
    <w:p w14:paraId="05CF223D" w14:textId="77777777" w:rsidR="003E58B3" w:rsidRDefault="00F675C6">
      <w:pPr>
        <w:jc w:val="both"/>
        <w:rPr>
          <w:spacing w:val="-2"/>
          <w:szCs w:val="22"/>
          <w:lang w:eastAsia="es-ES"/>
        </w:rPr>
      </w:pPr>
      <w:r>
        <w:rPr>
          <w:spacing w:val="-2"/>
          <w:szCs w:val="22"/>
          <w:lang w:eastAsia="es-ES"/>
        </w:rPr>
        <w:t xml:space="preserve">Nepodávejte </w:t>
      </w:r>
      <w:proofErr w:type="spellStart"/>
      <w:r>
        <w:rPr>
          <w:spacing w:val="-2"/>
          <w:szCs w:val="22"/>
          <w:lang w:eastAsia="es-ES"/>
        </w:rPr>
        <w:t>intraarteriálně</w:t>
      </w:r>
      <w:proofErr w:type="spellEnd"/>
      <w:r>
        <w:rPr>
          <w:spacing w:val="-2"/>
          <w:szCs w:val="22"/>
          <w:lang w:eastAsia="es-ES"/>
        </w:rPr>
        <w:t xml:space="preserve"> ani intravenózně.</w:t>
      </w:r>
    </w:p>
    <w:p w14:paraId="05CF223E" w14:textId="77777777" w:rsidR="003E58B3" w:rsidRDefault="003E58B3">
      <w:pPr>
        <w:pStyle w:val="Retraitcorpsdetexte31"/>
        <w:ind w:left="0"/>
        <w:rPr>
          <w:sz w:val="22"/>
          <w:szCs w:val="22"/>
          <w:lang w:val="cs-CZ"/>
        </w:rPr>
      </w:pPr>
    </w:p>
    <w:p w14:paraId="05CF223F" w14:textId="0982E330" w:rsidR="003E58B3" w:rsidRDefault="00F675C6">
      <w:pPr>
        <w:pStyle w:val="SPCheader2"/>
        <w:numPr>
          <w:ilvl w:val="0"/>
          <w:numId w:val="0"/>
        </w:numPr>
        <w:spacing w:before="0" w:after="0"/>
        <w:outlineLvl w:val="9"/>
        <w:rPr>
          <w:b w:val="0"/>
          <w:sz w:val="22"/>
          <w:szCs w:val="22"/>
          <w:u w:val="single"/>
          <w:lang w:val="cs-CZ"/>
        </w:rPr>
      </w:pPr>
      <w:r>
        <w:rPr>
          <w:b w:val="0"/>
          <w:sz w:val="22"/>
          <w:szCs w:val="22"/>
          <w:u w:val="single"/>
          <w:lang w:val="cs-CZ"/>
        </w:rPr>
        <w:t xml:space="preserve">Zvláštní opatření </w:t>
      </w:r>
      <w:r w:rsidR="008323EE">
        <w:rPr>
          <w:b w:val="0"/>
          <w:sz w:val="22"/>
          <w:szCs w:val="22"/>
          <w:u w:val="single"/>
          <w:lang w:val="cs-CZ"/>
        </w:rPr>
        <w:t xml:space="preserve">pro </w:t>
      </w:r>
      <w:r>
        <w:rPr>
          <w:b w:val="0"/>
          <w:sz w:val="22"/>
          <w:szCs w:val="22"/>
          <w:u w:val="single"/>
          <w:lang w:val="cs-CZ"/>
        </w:rPr>
        <w:t>osob</w:t>
      </w:r>
      <w:r w:rsidR="008323EE">
        <w:rPr>
          <w:b w:val="0"/>
          <w:sz w:val="22"/>
          <w:szCs w:val="22"/>
          <w:u w:val="single"/>
          <w:lang w:val="cs-CZ"/>
        </w:rPr>
        <w:t>u</w:t>
      </w:r>
      <w:r>
        <w:rPr>
          <w:b w:val="0"/>
          <w:sz w:val="22"/>
          <w:szCs w:val="22"/>
          <w:u w:val="single"/>
          <w:lang w:val="cs-CZ"/>
        </w:rPr>
        <w:t>, kter</w:t>
      </w:r>
      <w:r w:rsidR="00293711">
        <w:rPr>
          <w:b w:val="0"/>
          <w:sz w:val="22"/>
          <w:szCs w:val="22"/>
          <w:u w:val="single"/>
          <w:lang w:val="cs-CZ"/>
        </w:rPr>
        <w:t>á</w:t>
      </w:r>
      <w:r>
        <w:rPr>
          <w:b w:val="0"/>
          <w:sz w:val="22"/>
          <w:szCs w:val="22"/>
          <w:u w:val="single"/>
          <w:lang w:val="cs-CZ"/>
        </w:rPr>
        <w:t xml:space="preserve"> </w:t>
      </w:r>
      <w:r w:rsidR="00293711" w:rsidRPr="00293711">
        <w:rPr>
          <w:b w:val="0"/>
          <w:sz w:val="22"/>
          <w:szCs w:val="22"/>
          <w:u w:val="single"/>
          <w:lang w:val="cs-CZ"/>
        </w:rPr>
        <w:t>podává veterinární léčivý přípravek zvířatům:</w:t>
      </w:r>
    </w:p>
    <w:p w14:paraId="05CF2240" w14:textId="77777777" w:rsidR="003E58B3" w:rsidRDefault="003E58B3">
      <w:pPr>
        <w:pStyle w:val="SPCheader2"/>
        <w:numPr>
          <w:ilvl w:val="0"/>
          <w:numId w:val="0"/>
        </w:numPr>
        <w:spacing w:before="0" w:after="0"/>
        <w:outlineLvl w:val="9"/>
        <w:rPr>
          <w:b w:val="0"/>
          <w:sz w:val="22"/>
          <w:szCs w:val="22"/>
          <w:u w:val="single"/>
          <w:lang w:val="cs-CZ"/>
        </w:rPr>
      </w:pPr>
    </w:p>
    <w:p w14:paraId="05CF2241" w14:textId="77777777" w:rsidR="003E58B3" w:rsidRDefault="00F675C6" w:rsidP="00254D2D">
      <w:pPr>
        <w:numPr>
          <w:ilvl w:val="0"/>
          <w:numId w:val="15"/>
        </w:numPr>
        <w:tabs>
          <w:tab w:val="clear" w:pos="567"/>
        </w:tabs>
        <w:autoSpaceDE w:val="0"/>
        <w:autoSpaceDN w:val="0"/>
        <w:adjustRightInd w:val="0"/>
        <w:spacing w:line="240" w:lineRule="auto"/>
        <w:jc w:val="both"/>
        <w:rPr>
          <w:szCs w:val="22"/>
          <w:lang w:eastAsia="es-ES"/>
        </w:rPr>
      </w:pPr>
      <w:r>
        <w:rPr>
          <w:szCs w:val="22"/>
          <w:lang w:eastAsia="es-ES"/>
        </w:rPr>
        <w:t xml:space="preserve">Tento veterinární léčivý přípravek může způsobovat hypersenzitivitu (alergii). Lidé se známou přecitlivělostí na </w:t>
      </w:r>
      <w:proofErr w:type="spellStart"/>
      <w:r>
        <w:rPr>
          <w:szCs w:val="22"/>
          <w:lang w:eastAsia="es-ES"/>
        </w:rPr>
        <w:t>tulathromycin</w:t>
      </w:r>
      <w:proofErr w:type="spellEnd"/>
      <w:r>
        <w:rPr>
          <w:szCs w:val="22"/>
          <w:lang w:eastAsia="es-ES"/>
        </w:rPr>
        <w:t xml:space="preserve">, </w:t>
      </w:r>
      <w:proofErr w:type="spellStart"/>
      <w:r>
        <w:rPr>
          <w:szCs w:val="22"/>
          <w:lang w:eastAsia="es-ES"/>
        </w:rPr>
        <w:t>ketoprofen</w:t>
      </w:r>
      <w:proofErr w:type="spellEnd"/>
      <w:r>
        <w:rPr>
          <w:szCs w:val="22"/>
          <w:lang w:eastAsia="es-ES"/>
        </w:rPr>
        <w:t xml:space="preserve"> nebo nesteroidní protizánětlivé léky (NSAID) by se měli vyhnout kontaktu s veterinárním léčivým přípravkem. V případě náhodného potřísnění pokožky omyjte ihned pokožku mýdlem a vodou.</w:t>
      </w:r>
    </w:p>
    <w:p w14:paraId="05CF2242" w14:textId="5E298B51" w:rsidR="003E58B3" w:rsidRDefault="00F675C6" w:rsidP="00254D2D">
      <w:pPr>
        <w:numPr>
          <w:ilvl w:val="0"/>
          <w:numId w:val="15"/>
        </w:numPr>
        <w:tabs>
          <w:tab w:val="clear" w:pos="567"/>
        </w:tabs>
        <w:autoSpaceDE w:val="0"/>
        <w:autoSpaceDN w:val="0"/>
        <w:adjustRightInd w:val="0"/>
        <w:spacing w:line="240" w:lineRule="auto"/>
        <w:jc w:val="both"/>
        <w:rPr>
          <w:szCs w:val="22"/>
          <w:lang w:eastAsia="es-ES"/>
        </w:rPr>
      </w:pPr>
      <w:r>
        <w:rPr>
          <w:szCs w:val="22"/>
        </w:rPr>
        <w:t>Tento veterinární léčivý přípravek může způsobit nežádoucí účinky při dermální expozici a</w:t>
      </w:r>
      <w:r w:rsidR="00F9796B">
        <w:rPr>
          <w:szCs w:val="22"/>
        </w:rPr>
        <w:t> </w:t>
      </w:r>
      <w:proofErr w:type="spellStart"/>
      <w:r>
        <w:rPr>
          <w:szCs w:val="22"/>
        </w:rPr>
        <w:t>samopodání</w:t>
      </w:r>
      <w:proofErr w:type="spellEnd"/>
      <w:r>
        <w:rPr>
          <w:szCs w:val="22"/>
        </w:rPr>
        <w:t xml:space="preserve"> injekce. </w:t>
      </w:r>
      <w:r>
        <w:rPr>
          <w:szCs w:val="22"/>
          <w:lang w:eastAsia="es-ES"/>
        </w:rPr>
        <w:t xml:space="preserve">Zabraňte kontaktu s kůží a náhodnému </w:t>
      </w:r>
      <w:r>
        <w:rPr>
          <w:szCs w:val="22"/>
        </w:rPr>
        <w:t>sebepoškození injekčně aplikovaným přípravkem</w:t>
      </w:r>
      <w:r>
        <w:rPr>
          <w:szCs w:val="22"/>
          <w:lang w:eastAsia="es-ES"/>
        </w:rPr>
        <w:t xml:space="preserve">. V případě náhodného </w:t>
      </w:r>
      <w:r w:rsidR="005C5EE0" w:rsidRPr="005C5EE0">
        <w:rPr>
          <w:szCs w:val="22"/>
          <w:lang w:eastAsia="es-ES"/>
        </w:rPr>
        <w:t xml:space="preserve">sebepoškození injekčně podaným přípravkem </w:t>
      </w:r>
      <w:r>
        <w:rPr>
          <w:szCs w:val="22"/>
          <w:lang w:eastAsia="es-ES"/>
        </w:rPr>
        <w:t>vyhledejte ihned lékařskou pomoc a ukažte příbalovou informaci nebo etiketu praktickému lékaři.</w:t>
      </w:r>
    </w:p>
    <w:p w14:paraId="05CF2243" w14:textId="7AD27B36" w:rsidR="003E58B3" w:rsidRDefault="00F675C6" w:rsidP="00254D2D">
      <w:pPr>
        <w:numPr>
          <w:ilvl w:val="0"/>
          <w:numId w:val="15"/>
        </w:numPr>
        <w:tabs>
          <w:tab w:val="clear" w:pos="567"/>
        </w:tabs>
        <w:autoSpaceDE w:val="0"/>
        <w:autoSpaceDN w:val="0"/>
        <w:adjustRightInd w:val="0"/>
        <w:spacing w:line="240" w:lineRule="auto"/>
        <w:jc w:val="both"/>
        <w:rPr>
          <w:szCs w:val="22"/>
          <w:lang w:eastAsia="es-ES"/>
        </w:rPr>
      </w:pPr>
      <w:bookmarkStart w:id="2" w:name="_Hlk29908691"/>
      <w:r>
        <w:rPr>
          <w:szCs w:val="22"/>
          <w:lang w:eastAsia="es-ES"/>
        </w:rPr>
        <w:t xml:space="preserve">NSAID, jako je </w:t>
      </w:r>
      <w:proofErr w:type="spellStart"/>
      <w:r>
        <w:rPr>
          <w:szCs w:val="22"/>
          <w:lang w:eastAsia="es-ES"/>
        </w:rPr>
        <w:t>ketoprofen</w:t>
      </w:r>
      <w:proofErr w:type="spellEnd"/>
      <w:r>
        <w:rPr>
          <w:szCs w:val="22"/>
          <w:lang w:eastAsia="es-ES"/>
        </w:rPr>
        <w:t>, mohou mít vliv na plodnost a být škodlivé pro nenarozené dítě. Těhotné ženy, ženy, které mají v úmyslu otěhotnět, a muži, kteří plánují mít děti, by měli při zacházení s</w:t>
      </w:r>
      <w:r w:rsidR="00553761">
        <w:rPr>
          <w:szCs w:val="22"/>
          <w:lang w:eastAsia="es-ES"/>
        </w:rPr>
        <w:t> </w:t>
      </w:r>
      <w:r>
        <w:rPr>
          <w:szCs w:val="22"/>
          <w:lang w:eastAsia="es-ES"/>
        </w:rPr>
        <w:t>tímto veterinárním léčivým přípravkem postupovat velmi opatrně.</w:t>
      </w:r>
    </w:p>
    <w:bookmarkEnd w:id="2"/>
    <w:p w14:paraId="22162FF7" w14:textId="1B3E662B" w:rsidR="00B740FC" w:rsidRDefault="00F675C6" w:rsidP="00254D2D">
      <w:pPr>
        <w:numPr>
          <w:ilvl w:val="0"/>
          <w:numId w:val="15"/>
        </w:numPr>
        <w:tabs>
          <w:tab w:val="clear" w:pos="567"/>
        </w:tabs>
        <w:autoSpaceDE w:val="0"/>
        <w:autoSpaceDN w:val="0"/>
        <w:adjustRightInd w:val="0"/>
        <w:spacing w:line="240" w:lineRule="auto"/>
        <w:jc w:val="both"/>
        <w:rPr>
          <w:szCs w:val="22"/>
        </w:rPr>
      </w:pPr>
      <w:r>
        <w:rPr>
          <w:szCs w:val="22"/>
          <w:lang w:eastAsia="es-ES"/>
        </w:rPr>
        <w:t>Tento veterinární léčivý přípravek dráždí oči. Zabraňte kontaktu s očima. V případě náhodného kontaktu s očima je ihned vypláchněte čistou vodou. Pokud podráždění přetrvává, vyhledejte lékařskou pomoc a ukažte příbalovou informaci praktickému lékaři.</w:t>
      </w:r>
    </w:p>
    <w:p w14:paraId="1F96199B" w14:textId="5F4CAEF0" w:rsidR="000C479C" w:rsidRPr="009E63BD" w:rsidRDefault="00F675C6" w:rsidP="00254D2D">
      <w:pPr>
        <w:numPr>
          <w:ilvl w:val="0"/>
          <w:numId w:val="15"/>
        </w:numPr>
        <w:tabs>
          <w:tab w:val="clear" w:pos="567"/>
        </w:tabs>
        <w:autoSpaceDE w:val="0"/>
        <w:autoSpaceDN w:val="0"/>
        <w:adjustRightInd w:val="0"/>
        <w:spacing w:line="240" w:lineRule="auto"/>
        <w:jc w:val="both"/>
        <w:rPr>
          <w:szCs w:val="22"/>
          <w:lang w:val="it-IT"/>
        </w:rPr>
      </w:pPr>
      <w:r w:rsidRPr="00A872B6">
        <w:rPr>
          <w:szCs w:val="22"/>
          <w:lang w:eastAsia="es-ES"/>
        </w:rPr>
        <w:t>Po použití si umyjte ruce.</w:t>
      </w:r>
    </w:p>
    <w:p w14:paraId="1BE0138B" w14:textId="77777777" w:rsidR="000C479C" w:rsidRDefault="000C479C" w:rsidP="000C479C">
      <w:pPr>
        <w:tabs>
          <w:tab w:val="clear" w:pos="567"/>
        </w:tabs>
        <w:autoSpaceDE w:val="0"/>
        <w:autoSpaceDN w:val="0"/>
        <w:adjustRightInd w:val="0"/>
        <w:spacing w:line="240" w:lineRule="auto"/>
        <w:rPr>
          <w:szCs w:val="22"/>
          <w:lang w:val="it-IT"/>
        </w:rPr>
      </w:pPr>
    </w:p>
    <w:p w14:paraId="1129C714" w14:textId="77777777" w:rsidR="000C479C" w:rsidRDefault="00B818C2" w:rsidP="00254D2D">
      <w:pPr>
        <w:keepNext/>
        <w:tabs>
          <w:tab w:val="clear" w:pos="567"/>
        </w:tabs>
        <w:autoSpaceDE w:val="0"/>
        <w:autoSpaceDN w:val="0"/>
        <w:adjustRightInd w:val="0"/>
        <w:spacing w:line="240" w:lineRule="auto"/>
        <w:rPr>
          <w:szCs w:val="22"/>
          <w:u w:val="single"/>
        </w:rPr>
      </w:pPr>
      <w:r w:rsidRPr="000C479C">
        <w:rPr>
          <w:szCs w:val="22"/>
          <w:u w:val="single"/>
        </w:rPr>
        <w:t>Zvláštní opatření pro ochranu životního prostředí:</w:t>
      </w:r>
    </w:p>
    <w:p w14:paraId="10F1FC63" w14:textId="77777777" w:rsidR="009E63BD" w:rsidRDefault="009E63BD" w:rsidP="00254D2D">
      <w:pPr>
        <w:keepNext/>
        <w:tabs>
          <w:tab w:val="clear" w:pos="567"/>
        </w:tabs>
        <w:autoSpaceDE w:val="0"/>
        <w:autoSpaceDN w:val="0"/>
        <w:adjustRightInd w:val="0"/>
        <w:spacing w:line="240" w:lineRule="auto"/>
      </w:pPr>
    </w:p>
    <w:p w14:paraId="1966F0A9" w14:textId="1CD776B7" w:rsidR="00B818C2" w:rsidRPr="000C479C" w:rsidRDefault="00B818C2" w:rsidP="000C479C">
      <w:pPr>
        <w:tabs>
          <w:tab w:val="clear" w:pos="567"/>
        </w:tabs>
        <w:autoSpaceDE w:val="0"/>
        <w:autoSpaceDN w:val="0"/>
        <w:adjustRightInd w:val="0"/>
        <w:spacing w:line="240" w:lineRule="auto"/>
        <w:rPr>
          <w:szCs w:val="22"/>
          <w:lang w:val="it-IT"/>
        </w:rPr>
      </w:pPr>
      <w:r w:rsidRPr="00B41D57">
        <w:t>Neuplatňuje se.</w:t>
      </w:r>
    </w:p>
    <w:p w14:paraId="05CF2246" w14:textId="77777777" w:rsidR="003E58B3" w:rsidRDefault="003E58B3">
      <w:pPr>
        <w:tabs>
          <w:tab w:val="clear" w:pos="567"/>
        </w:tabs>
        <w:spacing w:line="240" w:lineRule="auto"/>
        <w:rPr>
          <w:szCs w:val="22"/>
          <w:lang w:val="it-IT"/>
        </w:rPr>
      </w:pPr>
    </w:p>
    <w:p w14:paraId="05CF2247" w14:textId="77777777" w:rsidR="003E58B3" w:rsidRDefault="00F675C6" w:rsidP="00254D2D">
      <w:pPr>
        <w:pStyle w:val="Style1"/>
        <w:keepNext/>
        <w:ind w:left="0" w:firstLine="0"/>
      </w:pPr>
      <w:r>
        <w:lastRenderedPageBreak/>
        <w:t>3.6</w:t>
      </w:r>
      <w:r>
        <w:tab/>
        <w:t>Nežádoucí účinky</w:t>
      </w:r>
    </w:p>
    <w:p w14:paraId="05CF2248" w14:textId="77777777" w:rsidR="003E58B3" w:rsidRDefault="003E58B3" w:rsidP="00254D2D">
      <w:pPr>
        <w:keepNext/>
        <w:tabs>
          <w:tab w:val="clear" w:pos="567"/>
        </w:tabs>
        <w:spacing w:line="240" w:lineRule="auto"/>
        <w:rPr>
          <w:szCs w:val="22"/>
        </w:rPr>
      </w:pPr>
    </w:p>
    <w:p w14:paraId="6A25D4AF" w14:textId="77777777" w:rsidR="00A8070F" w:rsidRPr="00A8070F" w:rsidRDefault="00A8070F" w:rsidP="00254D2D">
      <w:pPr>
        <w:keepNext/>
        <w:rPr>
          <w:szCs w:val="22"/>
        </w:rPr>
      </w:pPr>
      <w:r w:rsidRPr="00A8070F">
        <w:rPr>
          <w:szCs w:val="22"/>
        </w:rPr>
        <w:t>Skot:</w:t>
      </w:r>
    </w:p>
    <w:p w14:paraId="0A938A04" w14:textId="77777777" w:rsidR="00296D4D" w:rsidRPr="00A8070F" w:rsidRDefault="00296D4D" w:rsidP="00254D2D">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A8070F" w:rsidRPr="00A8070F" w14:paraId="26014148" w14:textId="77777777" w:rsidTr="00657379">
        <w:tc>
          <w:tcPr>
            <w:tcW w:w="1957" w:type="pct"/>
          </w:tcPr>
          <w:p w14:paraId="38DBFDAD" w14:textId="77777777" w:rsidR="00A8070F" w:rsidRPr="00A8070F" w:rsidRDefault="00A8070F" w:rsidP="00A8070F">
            <w:pPr>
              <w:spacing w:before="60" w:after="60"/>
              <w:rPr>
                <w:szCs w:val="22"/>
              </w:rPr>
            </w:pPr>
            <w:r w:rsidRPr="00A8070F">
              <w:t>Velmi časté</w:t>
            </w:r>
          </w:p>
          <w:p w14:paraId="6A9FA4D2" w14:textId="77777777" w:rsidR="00A8070F" w:rsidRPr="00A8070F" w:rsidRDefault="00A8070F" w:rsidP="00A8070F">
            <w:pPr>
              <w:spacing w:before="60" w:after="60"/>
              <w:rPr>
                <w:szCs w:val="22"/>
              </w:rPr>
            </w:pPr>
            <w:r w:rsidRPr="00A8070F">
              <w:t>(&gt; 1 zvíře / 10 ošetřených zvířat):</w:t>
            </w:r>
          </w:p>
        </w:tc>
        <w:tc>
          <w:tcPr>
            <w:tcW w:w="3043" w:type="pct"/>
            <w:hideMark/>
          </w:tcPr>
          <w:p w14:paraId="0982F75E" w14:textId="77777777" w:rsidR="00A8070F" w:rsidRPr="00A8070F" w:rsidRDefault="00A8070F" w:rsidP="00A8070F">
            <w:pPr>
              <w:spacing w:before="60" w:after="60"/>
              <w:rPr>
                <w:szCs w:val="22"/>
                <w:vertAlign w:val="superscript"/>
              </w:rPr>
            </w:pPr>
            <w:r w:rsidRPr="00A8070F">
              <w:rPr>
                <w:szCs w:val="22"/>
              </w:rPr>
              <w:t>bolest v místě injekčního podání</w:t>
            </w:r>
            <w:r w:rsidRPr="00A8070F">
              <w:rPr>
                <w:szCs w:val="22"/>
                <w:vertAlign w:val="superscript"/>
              </w:rPr>
              <w:t>1</w:t>
            </w:r>
          </w:p>
          <w:p w14:paraId="005873EB" w14:textId="1B34DFBB" w:rsidR="00A8070F" w:rsidRPr="00A8070F" w:rsidRDefault="0044507D" w:rsidP="00A8070F">
            <w:pPr>
              <w:spacing w:before="60" w:after="60"/>
              <w:rPr>
                <w:szCs w:val="22"/>
                <w:vertAlign w:val="superscript"/>
              </w:rPr>
            </w:pPr>
            <w:r>
              <w:rPr>
                <w:szCs w:val="22"/>
              </w:rPr>
              <w:t>zduření</w:t>
            </w:r>
            <w:r>
              <w:rPr>
                <w:szCs w:val="22"/>
                <w:lang w:val="en-US"/>
              </w:rPr>
              <w:t>/</w:t>
            </w:r>
            <w:r w:rsidR="00A8070F" w:rsidRPr="00A8070F">
              <w:rPr>
                <w:szCs w:val="22"/>
              </w:rPr>
              <w:t>otok v místě injekčního podání</w:t>
            </w:r>
            <w:r w:rsidR="00A8070F" w:rsidRPr="00A8070F">
              <w:rPr>
                <w:szCs w:val="22"/>
                <w:vertAlign w:val="superscript"/>
              </w:rPr>
              <w:t>1,2</w:t>
            </w:r>
          </w:p>
          <w:p w14:paraId="5C63BCA3" w14:textId="77777777" w:rsidR="00A8070F" w:rsidRPr="00A8070F" w:rsidRDefault="00A8070F" w:rsidP="00A8070F">
            <w:pPr>
              <w:spacing w:before="60" w:after="60"/>
              <w:rPr>
                <w:szCs w:val="22"/>
              </w:rPr>
            </w:pPr>
            <w:r w:rsidRPr="00A8070F">
              <w:rPr>
                <w:szCs w:val="22"/>
              </w:rPr>
              <w:t>reakce v místě injekčního podání</w:t>
            </w:r>
            <w:r w:rsidRPr="00A8070F">
              <w:rPr>
                <w:szCs w:val="22"/>
                <w:vertAlign w:val="superscript"/>
              </w:rPr>
              <w:t>2</w:t>
            </w:r>
          </w:p>
          <w:p w14:paraId="310E7958" w14:textId="27F38D53" w:rsidR="008555E2" w:rsidRDefault="0047095C" w:rsidP="00A8070F">
            <w:pPr>
              <w:spacing w:before="60" w:after="60"/>
              <w:rPr>
                <w:szCs w:val="22"/>
              </w:rPr>
            </w:pPr>
            <w:r>
              <w:rPr>
                <w:szCs w:val="22"/>
              </w:rPr>
              <w:t>otok</w:t>
            </w:r>
            <w:r w:rsidR="008555E2" w:rsidRPr="00A8070F">
              <w:rPr>
                <w:szCs w:val="22"/>
              </w:rPr>
              <w:t xml:space="preserve"> v místě injekčního podání</w:t>
            </w:r>
            <w:r w:rsidR="008555E2" w:rsidRPr="00A8070F">
              <w:rPr>
                <w:szCs w:val="22"/>
                <w:vertAlign w:val="superscript"/>
              </w:rPr>
              <w:t>2</w:t>
            </w:r>
          </w:p>
          <w:p w14:paraId="794890E1" w14:textId="7719BA56" w:rsidR="00A8070F" w:rsidRPr="00A8070F" w:rsidRDefault="00A8070F" w:rsidP="00A8070F">
            <w:pPr>
              <w:spacing w:before="60" w:after="60"/>
              <w:rPr>
                <w:szCs w:val="22"/>
                <w:vertAlign w:val="superscript"/>
              </w:rPr>
            </w:pPr>
            <w:r w:rsidRPr="00A8070F">
              <w:rPr>
                <w:szCs w:val="22"/>
              </w:rPr>
              <w:t>fibróza v místě injekčního podání</w:t>
            </w:r>
            <w:r w:rsidRPr="00A8070F">
              <w:rPr>
                <w:szCs w:val="22"/>
                <w:vertAlign w:val="superscript"/>
              </w:rPr>
              <w:t>2</w:t>
            </w:r>
          </w:p>
          <w:p w14:paraId="6FEB03E4" w14:textId="77777777" w:rsidR="00A8070F" w:rsidRPr="00A8070F" w:rsidRDefault="00A8070F" w:rsidP="00A8070F">
            <w:pPr>
              <w:spacing w:before="60" w:after="60"/>
              <w:rPr>
                <w:szCs w:val="22"/>
                <w:vertAlign w:val="superscript"/>
              </w:rPr>
            </w:pPr>
            <w:r w:rsidRPr="00A8070F">
              <w:rPr>
                <w:szCs w:val="22"/>
              </w:rPr>
              <w:t>krvácení v místě injekčního podání</w:t>
            </w:r>
            <w:r w:rsidRPr="00A8070F">
              <w:rPr>
                <w:szCs w:val="22"/>
                <w:vertAlign w:val="superscript"/>
              </w:rPr>
              <w:t>2</w:t>
            </w:r>
          </w:p>
        </w:tc>
      </w:tr>
      <w:tr w:rsidR="00A8070F" w:rsidRPr="00A8070F" w14:paraId="0F57BC78" w14:textId="77777777" w:rsidTr="00657379">
        <w:tc>
          <w:tcPr>
            <w:tcW w:w="1957" w:type="pct"/>
          </w:tcPr>
          <w:p w14:paraId="19323FF3" w14:textId="77777777" w:rsidR="00A8070F" w:rsidRPr="00A8070F" w:rsidRDefault="00A8070F" w:rsidP="00A8070F">
            <w:pPr>
              <w:spacing w:before="60" w:after="60"/>
              <w:rPr>
                <w:szCs w:val="22"/>
              </w:rPr>
            </w:pPr>
            <w:r w:rsidRPr="00A8070F">
              <w:t>Velmi vzácné</w:t>
            </w:r>
          </w:p>
          <w:p w14:paraId="37CC0A1F" w14:textId="77777777" w:rsidR="00A8070F" w:rsidRPr="00A8070F" w:rsidRDefault="00A8070F" w:rsidP="00A8070F">
            <w:pPr>
              <w:spacing w:before="60" w:after="60"/>
              <w:rPr>
                <w:szCs w:val="22"/>
              </w:rPr>
            </w:pPr>
            <w:proofErr w:type="gramStart"/>
            <w:r w:rsidRPr="00A8070F">
              <w:t>(&lt; 1</w:t>
            </w:r>
            <w:proofErr w:type="gramEnd"/>
            <w:r w:rsidRPr="00A8070F">
              <w:t> zvíře / 10 000 ošetřených zvířat, včetně ojedinělých hlášení):</w:t>
            </w:r>
          </w:p>
        </w:tc>
        <w:tc>
          <w:tcPr>
            <w:tcW w:w="3043" w:type="pct"/>
            <w:hideMark/>
          </w:tcPr>
          <w:p w14:paraId="29AD0D9F" w14:textId="43E236EB" w:rsidR="00A8070F" w:rsidRPr="00A8070F" w:rsidRDefault="00A8070F" w:rsidP="00A8070F">
            <w:pPr>
              <w:spacing w:before="60" w:after="60"/>
              <w:rPr>
                <w:szCs w:val="22"/>
              </w:rPr>
            </w:pPr>
            <w:r w:rsidRPr="00A8070F">
              <w:rPr>
                <w:szCs w:val="22"/>
              </w:rPr>
              <w:t>po</w:t>
            </w:r>
            <w:r w:rsidR="006D649A">
              <w:rPr>
                <w:szCs w:val="22"/>
              </w:rPr>
              <w:t>ruchy</w:t>
            </w:r>
            <w:r w:rsidRPr="00A8070F">
              <w:rPr>
                <w:szCs w:val="22"/>
              </w:rPr>
              <w:t xml:space="preserve"> trávicího traktu</w:t>
            </w:r>
          </w:p>
          <w:p w14:paraId="6EF055BD" w14:textId="5861B128" w:rsidR="00A8070F" w:rsidRPr="00A8070F" w:rsidRDefault="004C22AB" w:rsidP="00A8070F">
            <w:pPr>
              <w:spacing w:before="60" w:after="60"/>
              <w:rPr>
                <w:szCs w:val="22"/>
              </w:rPr>
            </w:pPr>
            <w:r>
              <w:rPr>
                <w:szCs w:val="22"/>
              </w:rPr>
              <w:t>poruchy ledvin</w:t>
            </w:r>
          </w:p>
          <w:p w14:paraId="151630B8" w14:textId="17ED36C4" w:rsidR="00A8070F" w:rsidRPr="00A8070F" w:rsidRDefault="00A8070F" w:rsidP="00A8070F">
            <w:pPr>
              <w:spacing w:before="60" w:after="60"/>
              <w:rPr>
                <w:iCs/>
                <w:szCs w:val="22"/>
              </w:rPr>
            </w:pPr>
            <w:r w:rsidRPr="00A8070F">
              <w:rPr>
                <w:iCs/>
                <w:szCs w:val="22"/>
              </w:rPr>
              <w:t>hypersenzitivní reakce (např. anafylaxe, dušnost, kolaps)</w:t>
            </w:r>
            <w:r w:rsidRPr="00A8070F">
              <w:rPr>
                <w:iCs/>
                <w:szCs w:val="22"/>
                <w:vertAlign w:val="superscript"/>
              </w:rPr>
              <w:t>3</w:t>
            </w:r>
          </w:p>
        </w:tc>
      </w:tr>
    </w:tbl>
    <w:p w14:paraId="33E5EEDB" w14:textId="77777777" w:rsidR="00A8070F" w:rsidRPr="00A8070F" w:rsidRDefault="00A8070F" w:rsidP="00A8070F">
      <w:pPr>
        <w:tabs>
          <w:tab w:val="clear" w:pos="567"/>
        </w:tabs>
        <w:spacing w:line="240" w:lineRule="auto"/>
        <w:rPr>
          <w:szCs w:val="22"/>
        </w:rPr>
      </w:pPr>
    </w:p>
    <w:p w14:paraId="1709284B" w14:textId="77777777" w:rsidR="00A8070F" w:rsidRPr="00A8070F" w:rsidRDefault="00A8070F" w:rsidP="00A8070F">
      <w:pPr>
        <w:tabs>
          <w:tab w:val="clear" w:pos="567"/>
        </w:tabs>
        <w:spacing w:line="240" w:lineRule="auto"/>
        <w:rPr>
          <w:szCs w:val="22"/>
        </w:rPr>
      </w:pPr>
      <w:r w:rsidRPr="00254D2D">
        <w:rPr>
          <w:szCs w:val="22"/>
          <w:vertAlign w:val="superscript"/>
        </w:rPr>
        <w:t>1</w:t>
      </w:r>
      <w:r w:rsidRPr="00A8070F">
        <w:rPr>
          <w:szCs w:val="22"/>
        </w:rPr>
        <w:t xml:space="preserve"> Může přetrvávat po dobu 32 dní po aplikaci.</w:t>
      </w:r>
    </w:p>
    <w:p w14:paraId="555B8BD4" w14:textId="77777777" w:rsidR="00A8070F" w:rsidRPr="00A8070F" w:rsidRDefault="00A8070F" w:rsidP="00A8070F">
      <w:pPr>
        <w:tabs>
          <w:tab w:val="clear" w:pos="567"/>
        </w:tabs>
        <w:spacing w:line="240" w:lineRule="auto"/>
        <w:rPr>
          <w:szCs w:val="22"/>
        </w:rPr>
      </w:pPr>
      <w:r w:rsidRPr="00254D2D">
        <w:rPr>
          <w:szCs w:val="22"/>
          <w:vertAlign w:val="superscript"/>
        </w:rPr>
        <w:t>2</w:t>
      </w:r>
      <w:r w:rsidRPr="00A8070F">
        <w:rPr>
          <w:szCs w:val="22"/>
        </w:rPr>
        <w:t xml:space="preserve"> </w:t>
      </w:r>
      <w:proofErr w:type="spellStart"/>
      <w:r w:rsidRPr="00A8070F">
        <w:rPr>
          <w:szCs w:val="22"/>
        </w:rPr>
        <w:t>Patomorfologické</w:t>
      </w:r>
      <w:proofErr w:type="spellEnd"/>
      <w:r w:rsidRPr="00A8070F">
        <w:rPr>
          <w:szCs w:val="22"/>
        </w:rPr>
        <w:t xml:space="preserve"> reakce v místě injekčního podání jsou přítomny přibližně po dobu 32 dní po aplikaci.</w:t>
      </w:r>
    </w:p>
    <w:p w14:paraId="341021E7" w14:textId="4938B7A2" w:rsidR="00A8070F" w:rsidRPr="00A8070F" w:rsidRDefault="00A8070F" w:rsidP="00A8070F">
      <w:pPr>
        <w:tabs>
          <w:tab w:val="clear" w:pos="567"/>
        </w:tabs>
        <w:spacing w:line="240" w:lineRule="auto"/>
        <w:rPr>
          <w:szCs w:val="22"/>
        </w:rPr>
      </w:pPr>
      <w:r w:rsidRPr="00254D2D">
        <w:rPr>
          <w:szCs w:val="22"/>
          <w:vertAlign w:val="superscript"/>
        </w:rPr>
        <w:t xml:space="preserve">3 </w:t>
      </w:r>
      <w:r w:rsidRPr="00A8070F">
        <w:rPr>
          <w:szCs w:val="22"/>
        </w:rPr>
        <w:t xml:space="preserve">V případě takové alergické nebo anafylaktické reakce by měla být </w:t>
      </w:r>
      <w:r w:rsidR="00551D65">
        <w:rPr>
          <w:szCs w:val="22"/>
        </w:rPr>
        <w:t>ihned</w:t>
      </w:r>
      <w:r w:rsidRPr="00A8070F">
        <w:rPr>
          <w:szCs w:val="22"/>
        </w:rPr>
        <w:t xml:space="preserve"> podána vhodná symptomatická léčba.</w:t>
      </w:r>
    </w:p>
    <w:p w14:paraId="69F1653F" w14:textId="77777777" w:rsidR="00A8070F" w:rsidRPr="00A8070F" w:rsidRDefault="00A8070F" w:rsidP="00A8070F">
      <w:pPr>
        <w:tabs>
          <w:tab w:val="clear" w:pos="567"/>
        </w:tabs>
        <w:spacing w:line="240" w:lineRule="auto"/>
        <w:rPr>
          <w:szCs w:val="22"/>
        </w:rPr>
      </w:pPr>
    </w:p>
    <w:p w14:paraId="6CC602EB" w14:textId="77777777" w:rsidR="00A8070F" w:rsidRPr="00A8070F" w:rsidRDefault="00A8070F" w:rsidP="00A8070F">
      <w:bookmarkStart w:id="3" w:name="_Hlk66891708"/>
      <w:r w:rsidRPr="00A8070F">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bodě 16 příbalové informace.</w:t>
      </w:r>
    </w:p>
    <w:bookmarkEnd w:id="3"/>
    <w:p w14:paraId="05CF2252" w14:textId="77777777" w:rsidR="003E58B3" w:rsidRDefault="003E58B3">
      <w:pPr>
        <w:tabs>
          <w:tab w:val="clear" w:pos="567"/>
        </w:tabs>
        <w:spacing w:line="240" w:lineRule="auto"/>
        <w:rPr>
          <w:szCs w:val="22"/>
        </w:rPr>
      </w:pPr>
    </w:p>
    <w:p w14:paraId="05CF2253" w14:textId="77777777" w:rsidR="003E58B3" w:rsidRDefault="00F675C6">
      <w:pPr>
        <w:pStyle w:val="Style1"/>
      </w:pPr>
      <w:r>
        <w:t>3.7</w:t>
      </w:r>
      <w:r>
        <w:tab/>
        <w:t>Použití v průběhu březosti, laktace nebo snášky</w:t>
      </w:r>
    </w:p>
    <w:p w14:paraId="05CF2254" w14:textId="1A465721" w:rsidR="003E58B3" w:rsidRDefault="003E58B3">
      <w:pPr>
        <w:tabs>
          <w:tab w:val="clear" w:pos="567"/>
        </w:tabs>
        <w:spacing w:line="240" w:lineRule="auto"/>
        <w:rPr>
          <w:rFonts w:eastAsia="TimesNewRomanPSMT"/>
          <w:szCs w:val="22"/>
          <w:lang w:eastAsia="en-GB"/>
        </w:rPr>
      </w:pPr>
    </w:p>
    <w:p w14:paraId="095AF14F" w14:textId="7B64BD5A" w:rsidR="00CC076B" w:rsidRPr="00254D2D" w:rsidRDefault="00CC076B" w:rsidP="00CC076B">
      <w:pPr>
        <w:tabs>
          <w:tab w:val="clear" w:pos="567"/>
        </w:tabs>
        <w:spacing w:line="240" w:lineRule="auto"/>
        <w:rPr>
          <w:szCs w:val="22"/>
          <w:u w:val="single"/>
        </w:rPr>
      </w:pPr>
      <w:r w:rsidRPr="00CF0F7C">
        <w:rPr>
          <w:u w:val="single"/>
        </w:rPr>
        <w:t>Březost</w:t>
      </w:r>
      <w:r w:rsidRPr="00254D2D">
        <w:rPr>
          <w:u w:val="single"/>
        </w:rPr>
        <w:t xml:space="preserve"> </w:t>
      </w:r>
      <w:r w:rsidRPr="00CF0F7C">
        <w:rPr>
          <w:szCs w:val="22"/>
          <w:u w:val="single"/>
        </w:rPr>
        <w:t>a laktace</w:t>
      </w:r>
      <w:r w:rsidRPr="00254D2D">
        <w:rPr>
          <w:u w:val="single"/>
        </w:rPr>
        <w:t>:</w:t>
      </w:r>
    </w:p>
    <w:p w14:paraId="17894CFB" w14:textId="77777777" w:rsidR="00CC076B" w:rsidRDefault="00CC076B">
      <w:pPr>
        <w:tabs>
          <w:tab w:val="clear" w:pos="567"/>
        </w:tabs>
        <w:spacing w:line="240" w:lineRule="auto"/>
        <w:rPr>
          <w:rFonts w:eastAsia="TimesNewRomanPSMT"/>
          <w:szCs w:val="22"/>
          <w:lang w:eastAsia="en-GB"/>
        </w:rPr>
      </w:pPr>
    </w:p>
    <w:p w14:paraId="05CF2255" w14:textId="3652974B" w:rsidR="003E58B3" w:rsidRDefault="00F675C6">
      <w:pPr>
        <w:tabs>
          <w:tab w:val="clear" w:pos="567"/>
        </w:tabs>
        <w:spacing w:line="240" w:lineRule="auto"/>
        <w:rPr>
          <w:rFonts w:eastAsia="TimesNewRomanPSMT"/>
          <w:szCs w:val="22"/>
          <w:lang w:eastAsia="en-GB"/>
        </w:rPr>
      </w:pPr>
      <w:r>
        <w:rPr>
          <w:rFonts w:eastAsia="TimesNewRomanPSMT"/>
          <w:szCs w:val="22"/>
          <w:lang w:eastAsia="en-GB"/>
        </w:rPr>
        <w:t xml:space="preserve">Laboratorní studie s </w:t>
      </w:r>
      <w:proofErr w:type="spellStart"/>
      <w:r>
        <w:rPr>
          <w:rFonts w:eastAsia="TimesNewRomanPSMT"/>
          <w:szCs w:val="22"/>
          <w:lang w:eastAsia="en-GB"/>
        </w:rPr>
        <w:t>tulathromycinem</w:t>
      </w:r>
      <w:proofErr w:type="spellEnd"/>
      <w:r>
        <w:rPr>
          <w:rFonts w:eastAsia="TimesNewRomanPSMT"/>
          <w:szCs w:val="22"/>
          <w:lang w:eastAsia="en-GB"/>
        </w:rPr>
        <w:t xml:space="preserve"> u potkanů a králíků nepodaly důkaz o teratogenním, </w:t>
      </w:r>
      <w:proofErr w:type="spellStart"/>
      <w:r>
        <w:rPr>
          <w:rFonts w:eastAsia="TimesNewRomanPSMT"/>
          <w:szCs w:val="22"/>
          <w:lang w:eastAsia="en-GB"/>
        </w:rPr>
        <w:t>fetotoxickém</w:t>
      </w:r>
      <w:proofErr w:type="spellEnd"/>
      <w:r>
        <w:rPr>
          <w:rFonts w:eastAsia="TimesNewRomanPSMT"/>
          <w:szCs w:val="22"/>
          <w:lang w:eastAsia="en-GB"/>
        </w:rPr>
        <w:t xml:space="preserve"> účinku nebo </w:t>
      </w:r>
      <w:proofErr w:type="spellStart"/>
      <w:r>
        <w:rPr>
          <w:rFonts w:eastAsia="TimesNewRomanPSMT"/>
          <w:szCs w:val="22"/>
          <w:lang w:eastAsia="en-GB"/>
        </w:rPr>
        <w:t>maternální</w:t>
      </w:r>
      <w:proofErr w:type="spellEnd"/>
      <w:r>
        <w:rPr>
          <w:rFonts w:eastAsia="TimesNewRomanPSMT"/>
          <w:szCs w:val="22"/>
          <w:lang w:eastAsia="en-GB"/>
        </w:rPr>
        <w:t xml:space="preserve"> toxicitě. </w:t>
      </w:r>
      <w:r>
        <w:rPr>
          <w:szCs w:val="22"/>
          <w:lang w:eastAsia="en-GB"/>
        </w:rPr>
        <w:t xml:space="preserve">Studie s </w:t>
      </w:r>
      <w:proofErr w:type="spellStart"/>
      <w:r>
        <w:rPr>
          <w:szCs w:val="22"/>
          <w:lang w:eastAsia="en-GB"/>
        </w:rPr>
        <w:t>ketoprofenem</w:t>
      </w:r>
      <w:proofErr w:type="spellEnd"/>
      <w:r>
        <w:rPr>
          <w:szCs w:val="22"/>
          <w:lang w:eastAsia="en-GB"/>
        </w:rPr>
        <w:t xml:space="preserve"> u laboratorních druhů (potkanů, myší a králíků) nepodaly důkaz o teratogenním účinku, nicméně byl pozorován vliv na fertilitu, </w:t>
      </w:r>
      <w:proofErr w:type="spellStart"/>
      <w:r>
        <w:rPr>
          <w:szCs w:val="22"/>
          <w:lang w:eastAsia="en-GB"/>
        </w:rPr>
        <w:t>maternální</w:t>
      </w:r>
      <w:proofErr w:type="spellEnd"/>
      <w:r>
        <w:rPr>
          <w:szCs w:val="22"/>
          <w:lang w:eastAsia="en-GB"/>
        </w:rPr>
        <w:t xml:space="preserve"> toxicitu a </w:t>
      </w:r>
      <w:proofErr w:type="spellStart"/>
      <w:r>
        <w:rPr>
          <w:szCs w:val="22"/>
          <w:lang w:eastAsia="en-GB"/>
        </w:rPr>
        <w:t>embryotoxicitu</w:t>
      </w:r>
      <w:proofErr w:type="spellEnd"/>
      <w:r>
        <w:rPr>
          <w:szCs w:val="22"/>
          <w:lang w:eastAsia="en-GB"/>
        </w:rPr>
        <w:t xml:space="preserve">. O skupině NSAID a jiných inhibitorech prostaglandinů je známo, že mají nepříznivé účinky na březost a/nebo vývoj embrya a plodu. </w:t>
      </w:r>
      <w:r>
        <w:rPr>
          <w:rFonts w:eastAsia="TimesNewRomanPSMT"/>
          <w:szCs w:val="22"/>
          <w:lang w:eastAsia="en-GB"/>
        </w:rPr>
        <w:t xml:space="preserve">Nebyla stanovena bezpečnost kombinace </w:t>
      </w:r>
      <w:proofErr w:type="spellStart"/>
      <w:r>
        <w:rPr>
          <w:rFonts w:eastAsia="TimesNewRomanPSMT"/>
          <w:szCs w:val="22"/>
          <w:lang w:eastAsia="en-GB"/>
        </w:rPr>
        <w:t>tulathromycinu</w:t>
      </w:r>
      <w:proofErr w:type="spellEnd"/>
      <w:r>
        <w:rPr>
          <w:rFonts w:eastAsia="TimesNewRomanPSMT"/>
          <w:szCs w:val="22"/>
          <w:lang w:eastAsia="en-GB"/>
        </w:rPr>
        <w:t xml:space="preserve"> a </w:t>
      </w:r>
      <w:proofErr w:type="spellStart"/>
      <w:r>
        <w:rPr>
          <w:rFonts w:eastAsia="TimesNewRomanPSMT"/>
          <w:szCs w:val="22"/>
          <w:lang w:eastAsia="en-GB"/>
        </w:rPr>
        <w:t>ketoprofenu</w:t>
      </w:r>
      <w:proofErr w:type="spellEnd"/>
      <w:r>
        <w:rPr>
          <w:rFonts w:eastAsia="TimesNewRomanPSMT"/>
          <w:szCs w:val="22"/>
          <w:lang w:eastAsia="en-GB"/>
        </w:rPr>
        <w:t xml:space="preserve"> pro použití u cílového druhu během březosti a</w:t>
      </w:r>
      <w:r w:rsidR="00DD74B2">
        <w:rPr>
          <w:rFonts w:eastAsia="TimesNewRomanPSMT"/>
          <w:szCs w:val="22"/>
          <w:lang w:eastAsia="en-GB"/>
        </w:rPr>
        <w:t> </w:t>
      </w:r>
      <w:r>
        <w:rPr>
          <w:rFonts w:eastAsia="TimesNewRomanPSMT"/>
          <w:szCs w:val="22"/>
          <w:lang w:eastAsia="en-GB"/>
        </w:rPr>
        <w:t>laktace. Použít pouze po zvážení terapeutického prospěchu a rizika příslušným veterinárním lékařem.</w:t>
      </w:r>
    </w:p>
    <w:p w14:paraId="05CF2256" w14:textId="77777777" w:rsidR="003E58B3" w:rsidRDefault="003E58B3">
      <w:pPr>
        <w:tabs>
          <w:tab w:val="clear" w:pos="567"/>
        </w:tabs>
        <w:spacing w:line="240" w:lineRule="auto"/>
        <w:rPr>
          <w:szCs w:val="22"/>
        </w:rPr>
      </w:pPr>
    </w:p>
    <w:p w14:paraId="05CF2257" w14:textId="77777777" w:rsidR="003E58B3" w:rsidRDefault="00F675C6">
      <w:pPr>
        <w:pStyle w:val="Style1"/>
      </w:pPr>
      <w:r>
        <w:t>3.8</w:t>
      </w:r>
      <w:r>
        <w:tab/>
        <w:t>Interakce s jinými léčivými přípravky a další formy interakce</w:t>
      </w:r>
    </w:p>
    <w:p w14:paraId="05CF2258" w14:textId="77777777" w:rsidR="003E58B3" w:rsidRDefault="003E58B3">
      <w:pPr>
        <w:tabs>
          <w:tab w:val="clear" w:pos="567"/>
        </w:tabs>
        <w:spacing w:line="240" w:lineRule="auto"/>
        <w:rPr>
          <w:szCs w:val="22"/>
        </w:rPr>
      </w:pPr>
    </w:p>
    <w:p w14:paraId="05CF2259" w14:textId="77777777" w:rsidR="003E58B3" w:rsidRDefault="00F675C6">
      <w:pPr>
        <w:tabs>
          <w:tab w:val="clear" w:pos="567"/>
        </w:tabs>
        <w:spacing w:line="240" w:lineRule="auto"/>
        <w:rPr>
          <w:szCs w:val="22"/>
        </w:rPr>
      </w:pPr>
      <w:r>
        <w:rPr>
          <w:szCs w:val="22"/>
        </w:rPr>
        <w:t xml:space="preserve">Nepoužívejte současně s jinými diuretiky, </w:t>
      </w:r>
      <w:proofErr w:type="spellStart"/>
      <w:r>
        <w:rPr>
          <w:szCs w:val="22"/>
        </w:rPr>
        <w:t>nefrotoxickými</w:t>
      </w:r>
      <w:proofErr w:type="spellEnd"/>
      <w:r>
        <w:rPr>
          <w:szCs w:val="22"/>
        </w:rPr>
        <w:t xml:space="preserve"> veterinárními léčivými přípravky nebo antikoagulanty.</w:t>
      </w:r>
    </w:p>
    <w:p w14:paraId="05CF225A" w14:textId="77777777" w:rsidR="003E58B3" w:rsidRDefault="003E58B3">
      <w:pPr>
        <w:tabs>
          <w:tab w:val="clear" w:pos="567"/>
        </w:tabs>
        <w:spacing w:line="240" w:lineRule="auto"/>
        <w:rPr>
          <w:szCs w:val="22"/>
        </w:rPr>
      </w:pPr>
    </w:p>
    <w:p w14:paraId="05CF225B" w14:textId="77777777" w:rsidR="003E58B3" w:rsidRDefault="00F675C6">
      <w:pPr>
        <w:pStyle w:val="Style1"/>
      </w:pPr>
      <w:r>
        <w:t>3.9</w:t>
      </w:r>
      <w:r>
        <w:tab/>
        <w:t>Cesty podání a dávkování</w:t>
      </w:r>
    </w:p>
    <w:p w14:paraId="05CF225C" w14:textId="77777777" w:rsidR="003E58B3" w:rsidRDefault="003E58B3">
      <w:pPr>
        <w:tabs>
          <w:tab w:val="clear" w:pos="567"/>
        </w:tabs>
        <w:spacing w:line="240" w:lineRule="auto"/>
        <w:rPr>
          <w:szCs w:val="22"/>
        </w:rPr>
      </w:pPr>
    </w:p>
    <w:p w14:paraId="05CF225D" w14:textId="77777777" w:rsidR="003E58B3" w:rsidRPr="000A6CC8" w:rsidRDefault="00F675C6">
      <w:pPr>
        <w:keepNext/>
        <w:tabs>
          <w:tab w:val="clear" w:pos="567"/>
        </w:tabs>
        <w:suppressAutoHyphens/>
        <w:spacing w:line="240" w:lineRule="auto"/>
        <w:ind w:left="567" w:hanging="567"/>
        <w:rPr>
          <w:szCs w:val="22"/>
          <w:lang w:eastAsia="zh-CN"/>
        </w:rPr>
      </w:pPr>
      <w:r w:rsidRPr="000A6CC8">
        <w:rPr>
          <w:szCs w:val="22"/>
          <w:lang w:eastAsia="zh-CN"/>
        </w:rPr>
        <w:t>Subkutánní podání.</w:t>
      </w:r>
    </w:p>
    <w:p w14:paraId="05CF225E" w14:textId="77777777" w:rsidR="003E58B3" w:rsidRPr="000A6CC8" w:rsidRDefault="00F675C6">
      <w:pPr>
        <w:tabs>
          <w:tab w:val="clear" w:pos="567"/>
        </w:tabs>
        <w:suppressAutoHyphens/>
        <w:spacing w:line="240" w:lineRule="auto"/>
        <w:rPr>
          <w:szCs w:val="22"/>
          <w:lang w:eastAsia="zh-CN"/>
        </w:rPr>
      </w:pPr>
      <w:r w:rsidRPr="000A6CC8">
        <w:rPr>
          <w:color w:val="000000"/>
          <w:szCs w:val="22"/>
          <w:lang w:eastAsia="zh-CN"/>
        </w:rPr>
        <w:t xml:space="preserve">Jednorázové subkutánní podání 2,5 mg </w:t>
      </w:r>
      <w:proofErr w:type="spellStart"/>
      <w:r w:rsidRPr="000A6CC8">
        <w:rPr>
          <w:color w:val="000000"/>
          <w:szCs w:val="22"/>
          <w:lang w:eastAsia="zh-CN"/>
        </w:rPr>
        <w:t>tulathromycinu</w:t>
      </w:r>
      <w:proofErr w:type="spellEnd"/>
      <w:r w:rsidRPr="000A6CC8">
        <w:rPr>
          <w:color w:val="000000"/>
          <w:szCs w:val="22"/>
          <w:lang w:eastAsia="zh-CN"/>
        </w:rPr>
        <w:t xml:space="preserve">/kg </w:t>
      </w:r>
      <w:r w:rsidRPr="00254D2D">
        <w:rPr>
          <w:szCs w:val="22"/>
          <w:lang w:eastAsia="cs-CZ"/>
        </w:rPr>
        <w:t xml:space="preserve">živé </w:t>
      </w:r>
      <w:r w:rsidRPr="000A6CC8">
        <w:rPr>
          <w:color w:val="000000"/>
          <w:szCs w:val="22"/>
          <w:lang w:eastAsia="zh-CN"/>
        </w:rPr>
        <w:t xml:space="preserve">hmotnosti a 3 mg </w:t>
      </w:r>
      <w:proofErr w:type="spellStart"/>
      <w:r w:rsidRPr="000A6CC8">
        <w:rPr>
          <w:color w:val="000000"/>
          <w:szCs w:val="22"/>
          <w:lang w:eastAsia="zh-CN"/>
        </w:rPr>
        <w:t>ketoprofenu</w:t>
      </w:r>
      <w:proofErr w:type="spellEnd"/>
      <w:r w:rsidRPr="000A6CC8">
        <w:rPr>
          <w:color w:val="000000"/>
          <w:szCs w:val="22"/>
          <w:lang w:eastAsia="zh-CN"/>
        </w:rPr>
        <w:t xml:space="preserve">/kg </w:t>
      </w:r>
      <w:r w:rsidRPr="00254D2D">
        <w:rPr>
          <w:szCs w:val="22"/>
          <w:lang w:eastAsia="cs-CZ"/>
        </w:rPr>
        <w:t xml:space="preserve">živé </w:t>
      </w:r>
      <w:r w:rsidRPr="000A6CC8">
        <w:rPr>
          <w:color w:val="000000"/>
          <w:szCs w:val="22"/>
          <w:lang w:eastAsia="zh-CN"/>
        </w:rPr>
        <w:t xml:space="preserve">hmotnosti (ekvivalent 1 ml/40 kg </w:t>
      </w:r>
      <w:r w:rsidRPr="00254D2D">
        <w:rPr>
          <w:szCs w:val="22"/>
          <w:lang w:eastAsia="cs-CZ"/>
        </w:rPr>
        <w:t xml:space="preserve">živé </w:t>
      </w:r>
      <w:r w:rsidRPr="000A6CC8">
        <w:rPr>
          <w:color w:val="000000"/>
          <w:szCs w:val="22"/>
          <w:lang w:eastAsia="zh-CN"/>
        </w:rPr>
        <w:t xml:space="preserve">hmotnosti). Při léčbě skotu nad 400 kg </w:t>
      </w:r>
      <w:r w:rsidRPr="00254D2D">
        <w:rPr>
          <w:szCs w:val="22"/>
          <w:lang w:eastAsia="cs-CZ"/>
        </w:rPr>
        <w:t xml:space="preserve">živé </w:t>
      </w:r>
      <w:r w:rsidRPr="000A6CC8">
        <w:rPr>
          <w:color w:val="000000"/>
          <w:szCs w:val="22"/>
          <w:lang w:eastAsia="zh-CN"/>
        </w:rPr>
        <w:t xml:space="preserve">hmotnosti rozdělte dávku tak, aby na jedno místo nebylo aplikováno více než 10 ml. </w:t>
      </w:r>
      <w:r w:rsidRPr="00FE4C54">
        <w:rPr>
          <w:szCs w:val="22"/>
          <w:lang w:eastAsia="zh-CN"/>
        </w:rPr>
        <w:t xml:space="preserve">K zajištění správného dávkování má být </w:t>
      </w:r>
      <w:r w:rsidRPr="00254D2D">
        <w:rPr>
          <w:szCs w:val="22"/>
          <w:lang w:eastAsia="cs-CZ"/>
        </w:rPr>
        <w:t xml:space="preserve">živá </w:t>
      </w:r>
      <w:r w:rsidRPr="000A6CC8">
        <w:rPr>
          <w:szCs w:val="22"/>
          <w:lang w:eastAsia="zh-CN"/>
        </w:rPr>
        <w:t>hmotnost stanovena co nejpřesněji, aby se</w:t>
      </w:r>
      <w:r w:rsidRPr="000A6CC8">
        <w:rPr>
          <w:b/>
          <w:bCs/>
          <w:szCs w:val="22"/>
          <w:lang w:eastAsia="zh-CN"/>
        </w:rPr>
        <w:t xml:space="preserve"> </w:t>
      </w:r>
      <w:r w:rsidRPr="000A6CC8">
        <w:rPr>
          <w:szCs w:val="22"/>
          <w:lang w:eastAsia="zh-CN"/>
        </w:rPr>
        <w:t xml:space="preserve">předešlo </w:t>
      </w:r>
      <w:proofErr w:type="spellStart"/>
      <w:r w:rsidRPr="000A6CC8">
        <w:rPr>
          <w:szCs w:val="22"/>
          <w:lang w:eastAsia="zh-CN"/>
        </w:rPr>
        <w:t>poddávkování</w:t>
      </w:r>
      <w:proofErr w:type="spellEnd"/>
      <w:r w:rsidRPr="000A6CC8">
        <w:rPr>
          <w:szCs w:val="22"/>
          <w:lang w:eastAsia="zh-CN"/>
        </w:rPr>
        <w:t>.</w:t>
      </w:r>
    </w:p>
    <w:p w14:paraId="05CF225F" w14:textId="77777777" w:rsidR="003E58B3" w:rsidRDefault="003E58B3">
      <w:pPr>
        <w:tabs>
          <w:tab w:val="clear" w:pos="567"/>
        </w:tabs>
        <w:spacing w:line="240" w:lineRule="auto"/>
        <w:rPr>
          <w:szCs w:val="22"/>
        </w:rPr>
      </w:pPr>
    </w:p>
    <w:p w14:paraId="05CF2260" w14:textId="77777777" w:rsidR="003E58B3" w:rsidRDefault="00F675C6">
      <w:pPr>
        <w:tabs>
          <w:tab w:val="clear" w:pos="567"/>
        </w:tabs>
        <w:spacing w:line="240" w:lineRule="auto"/>
        <w:rPr>
          <w:szCs w:val="22"/>
        </w:rPr>
      </w:pPr>
      <w:r>
        <w:rPr>
          <w:szCs w:val="22"/>
        </w:rPr>
        <w:lastRenderedPageBreak/>
        <w:t xml:space="preserve">Při jakémkoliv respiračním onemocnění se doporučuje léčit zvířata v počátečních stádiích onemocnění a zhodnotit odpověď na léčbu za 48 hodin po podání. Pokud klinické příznaky respiračního onemocnění přetrvávají nebo se zhoršují nebo dojde k </w:t>
      </w:r>
      <w:r>
        <w:rPr>
          <w:rFonts w:ascii="TimesNewRomanPSMT" w:hAnsi="TimesNewRomanPSMT" w:cs="TimesNewRomanPSMT"/>
          <w:szCs w:val="22"/>
          <w:lang w:eastAsia="cs-CZ"/>
        </w:rPr>
        <w:t>recidivě</w:t>
      </w:r>
      <w:r>
        <w:rPr>
          <w:szCs w:val="22"/>
        </w:rPr>
        <w:t>, měla by být léčba změněna s použitím jiného antibiotika a je třeba s léčbou pokračovat až do vymizení klinických příznaků. Pokud zvýšená tělesná teplota přetrvává 24 hodin po začátku léčby, musí příslušný veterinární lékař posoudit nutnost další antipyretické léčby.</w:t>
      </w:r>
    </w:p>
    <w:p w14:paraId="05CF2261" w14:textId="77777777" w:rsidR="003E58B3" w:rsidRDefault="003E58B3">
      <w:pPr>
        <w:tabs>
          <w:tab w:val="clear" w:pos="567"/>
        </w:tabs>
        <w:spacing w:line="240" w:lineRule="auto"/>
        <w:rPr>
          <w:szCs w:val="22"/>
        </w:rPr>
      </w:pPr>
    </w:p>
    <w:p w14:paraId="05CF2262" w14:textId="77777777" w:rsidR="003E58B3" w:rsidRDefault="00F675C6">
      <w:pPr>
        <w:tabs>
          <w:tab w:val="clear" w:pos="567"/>
        </w:tabs>
        <w:spacing w:line="240" w:lineRule="auto"/>
        <w:rPr>
          <w:szCs w:val="22"/>
        </w:rPr>
      </w:pPr>
      <w:r>
        <w:rPr>
          <w:szCs w:val="22"/>
        </w:rPr>
        <w:t>Uzávěr lze bezpečně propíchnout maximálně 20krát. Při současné léčbě skupiny zvířat se doporučuje zavést do uzávěru injekční lahvičky aspirační jehlu nebo použít dávkovací injekční automat, aby se předešlo nadměrnému propichování uzávěru. Po skončení ošetření aspirační jehlu odstraňte.</w:t>
      </w:r>
    </w:p>
    <w:p w14:paraId="05CF2263" w14:textId="77777777" w:rsidR="003E58B3" w:rsidRDefault="003E58B3">
      <w:pPr>
        <w:tabs>
          <w:tab w:val="clear" w:pos="567"/>
        </w:tabs>
        <w:spacing w:line="240" w:lineRule="auto"/>
        <w:rPr>
          <w:szCs w:val="22"/>
        </w:rPr>
      </w:pPr>
    </w:p>
    <w:p w14:paraId="05CF2264" w14:textId="77777777" w:rsidR="003E58B3" w:rsidRDefault="00F675C6">
      <w:pPr>
        <w:pStyle w:val="Style1"/>
      </w:pPr>
      <w:r>
        <w:t>3.10</w:t>
      </w:r>
      <w:r>
        <w:tab/>
        <w:t xml:space="preserve">Příznaky předávkování (a kde je relevantní, první pomoc a </w:t>
      </w:r>
      <w:proofErr w:type="spellStart"/>
      <w:r>
        <w:t>antidota</w:t>
      </w:r>
      <w:proofErr w:type="spellEnd"/>
      <w:r>
        <w:t xml:space="preserve">) </w:t>
      </w:r>
    </w:p>
    <w:p w14:paraId="05CF2265" w14:textId="77777777" w:rsidR="003E58B3" w:rsidRDefault="003E58B3">
      <w:pPr>
        <w:tabs>
          <w:tab w:val="clear" w:pos="567"/>
        </w:tabs>
        <w:spacing w:line="240" w:lineRule="auto"/>
        <w:rPr>
          <w:szCs w:val="22"/>
        </w:rPr>
      </w:pPr>
    </w:p>
    <w:p w14:paraId="05CF2266" w14:textId="4CE4C650" w:rsidR="003E58B3" w:rsidRDefault="00F675C6">
      <w:pPr>
        <w:tabs>
          <w:tab w:val="clear" w:pos="567"/>
        </w:tabs>
        <w:spacing w:line="240" w:lineRule="auto"/>
        <w:rPr>
          <w:szCs w:val="22"/>
        </w:rPr>
      </w:pPr>
      <w:r>
        <w:rPr>
          <w:szCs w:val="22"/>
        </w:rPr>
        <w:t>Po podání 3násobku a 5násobku doporučené dávky byly pozorovány přechodné známky bolestivosti v</w:t>
      </w:r>
      <w:r w:rsidR="00A1444E">
        <w:rPr>
          <w:szCs w:val="22"/>
        </w:rPr>
        <w:t> </w:t>
      </w:r>
      <w:r>
        <w:rPr>
          <w:szCs w:val="22"/>
        </w:rPr>
        <w:t xml:space="preserve">místě injekčního podání a/nebo otok, které v některých případech přetrvávaly až do 32. dne.  Navíc byly pozorovány přechodné příznaky spojené s </w:t>
      </w:r>
      <w:proofErr w:type="spellStart"/>
      <w:r>
        <w:rPr>
          <w:szCs w:val="22"/>
        </w:rPr>
        <w:t>diskomfortem</w:t>
      </w:r>
      <w:proofErr w:type="spellEnd"/>
      <w:r>
        <w:rPr>
          <w:szCs w:val="22"/>
        </w:rPr>
        <w:t xml:space="preserve"> v místě injekčního podání (bolestivost), které zahrnovaly neklid, třesení hlavou, hrabání nohou po zemi a krátkodobé snížení příjmu krmiva. Po podání 3násobku a 5násobku doporučené dávky byly pozorovány mikroskopické slizniční eroze v</w:t>
      </w:r>
      <w:r w:rsidR="00A1444E">
        <w:rPr>
          <w:szCs w:val="22"/>
        </w:rPr>
        <w:t> </w:t>
      </w:r>
      <w:r>
        <w:rPr>
          <w:szCs w:val="22"/>
        </w:rPr>
        <w:t>pyloru slezu. Opakované podání může vést k žaludeční toxicitě. U skotu, který dostal 5násobek až 6násobek doporučené dávky, byla pozorována mírná degenerace myokardu.</w:t>
      </w:r>
    </w:p>
    <w:p w14:paraId="05CF2267" w14:textId="77777777" w:rsidR="003E58B3" w:rsidRDefault="003E58B3">
      <w:pPr>
        <w:tabs>
          <w:tab w:val="clear" w:pos="567"/>
        </w:tabs>
        <w:spacing w:line="240" w:lineRule="auto"/>
        <w:rPr>
          <w:szCs w:val="22"/>
        </w:rPr>
      </w:pPr>
    </w:p>
    <w:p w14:paraId="05CF2268" w14:textId="77777777" w:rsidR="003E58B3" w:rsidRDefault="00F675C6">
      <w:pPr>
        <w:pStyle w:val="Style1"/>
      </w:pPr>
      <w:r>
        <w:t>3.11</w:t>
      </w:r>
      <w:r>
        <w:tab/>
        <w:t xml:space="preserve">Zvláštní omezení pro použití a zvláštní podmínky pro použití, včetně omezení používání antimikrobních a </w:t>
      </w:r>
      <w:proofErr w:type="spellStart"/>
      <w:r>
        <w:t>antiparazitárních</w:t>
      </w:r>
      <w:proofErr w:type="spellEnd"/>
      <w:r>
        <w:t xml:space="preserve"> veterinárních léčivých přípravků, za účelem snížení rizika rozvoje rezistence</w:t>
      </w:r>
    </w:p>
    <w:p w14:paraId="05CF2269" w14:textId="7E8F0D4B" w:rsidR="003E58B3" w:rsidRDefault="003E58B3">
      <w:pPr>
        <w:tabs>
          <w:tab w:val="clear" w:pos="567"/>
        </w:tabs>
        <w:spacing w:line="240" w:lineRule="auto"/>
        <w:rPr>
          <w:szCs w:val="22"/>
        </w:rPr>
      </w:pPr>
    </w:p>
    <w:p w14:paraId="50FDF240" w14:textId="4DCFFB33" w:rsidR="00051DF4" w:rsidRDefault="00051DF4">
      <w:pPr>
        <w:tabs>
          <w:tab w:val="clear" w:pos="567"/>
        </w:tabs>
        <w:spacing w:line="240" w:lineRule="auto"/>
      </w:pPr>
      <w:r w:rsidRPr="00B41D57">
        <w:t>Neuplatňuje se.</w:t>
      </w:r>
    </w:p>
    <w:p w14:paraId="3EE4A5F3" w14:textId="77777777" w:rsidR="00051DF4" w:rsidRDefault="00051DF4">
      <w:pPr>
        <w:tabs>
          <w:tab w:val="clear" w:pos="567"/>
        </w:tabs>
        <w:spacing w:line="240" w:lineRule="auto"/>
        <w:rPr>
          <w:szCs w:val="22"/>
        </w:rPr>
      </w:pPr>
    </w:p>
    <w:p w14:paraId="05CF226A" w14:textId="77777777" w:rsidR="003E58B3" w:rsidRDefault="00F675C6">
      <w:pPr>
        <w:pStyle w:val="Style1"/>
      </w:pPr>
      <w:r>
        <w:t>3.12</w:t>
      </w:r>
      <w:r>
        <w:tab/>
        <w:t>Ochranné lhůty</w:t>
      </w:r>
    </w:p>
    <w:p w14:paraId="05CF226B" w14:textId="77777777" w:rsidR="003E58B3" w:rsidRDefault="003E58B3">
      <w:pPr>
        <w:rPr>
          <w:szCs w:val="22"/>
        </w:rPr>
      </w:pPr>
    </w:p>
    <w:p w14:paraId="05CF226C" w14:textId="77777777" w:rsidR="003E58B3" w:rsidRDefault="00F675C6">
      <w:pPr>
        <w:rPr>
          <w:szCs w:val="22"/>
        </w:rPr>
      </w:pPr>
      <w:r>
        <w:rPr>
          <w:szCs w:val="22"/>
        </w:rPr>
        <w:t>Maso: 50 dnů</w:t>
      </w:r>
    </w:p>
    <w:p w14:paraId="05CF226D" w14:textId="77777777" w:rsidR="003E58B3" w:rsidRDefault="00F675C6">
      <w:pPr>
        <w:tabs>
          <w:tab w:val="clear" w:pos="567"/>
        </w:tabs>
        <w:spacing w:line="240" w:lineRule="auto"/>
        <w:rPr>
          <w:szCs w:val="22"/>
        </w:rPr>
      </w:pPr>
      <w:r>
        <w:rPr>
          <w:szCs w:val="22"/>
        </w:rPr>
        <w:t>Nepoužívat u skotu, jehož mléko je určeno pro lidskou spotřebu. Nepoužívat během 2 měsíců před očekávaným porodem u březích zvířat určených pro produkci mléka pro lidskou spotřebu.</w:t>
      </w:r>
    </w:p>
    <w:p w14:paraId="05CF226E" w14:textId="7BDDF09E" w:rsidR="003E58B3" w:rsidRDefault="003E58B3">
      <w:pPr>
        <w:tabs>
          <w:tab w:val="clear" w:pos="567"/>
        </w:tabs>
        <w:spacing w:line="240" w:lineRule="auto"/>
        <w:rPr>
          <w:szCs w:val="22"/>
        </w:rPr>
      </w:pPr>
    </w:p>
    <w:p w14:paraId="0C64D0F1" w14:textId="77777777" w:rsidR="000D008A" w:rsidRDefault="000D008A">
      <w:pPr>
        <w:tabs>
          <w:tab w:val="clear" w:pos="567"/>
        </w:tabs>
        <w:spacing w:line="240" w:lineRule="auto"/>
        <w:rPr>
          <w:szCs w:val="22"/>
        </w:rPr>
      </w:pPr>
    </w:p>
    <w:p w14:paraId="05CF226F" w14:textId="2558E5FA" w:rsidR="003E58B3" w:rsidRDefault="00F675C6" w:rsidP="00254D2D">
      <w:pPr>
        <w:pStyle w:val="Style1"/>
        <w:keepNext/>
      </w:pPr>
      <w:r>
        <w:t>4.</w:t>
      </w:r>
      <w:r>
        <w:tab/>
        <w:t>FARMAKOLOGICKÉ</w:t>
      </w:r>
      <w:r w:rsidR="00236FFD">
        <w:t xml:space="preserve"> </w:t>
      </w:r>
      <w:r>
        <w:t>INFORMACE</w:t>
      </w:r>
    </w:p>
    <w:p w14:paraId="05CF2270" w14:textId="77777777" w:rsidR="003E58B3" w:rsidRDefault="003E58B3" w:rsidP="00254D2D">
      <w:pPr>
        <w:keepNext/>
        <w:tabs>
          <w:tab w:val="clear" w:pos="567"/>
        </w:tabs>
        <w:spacing w:line="240" w:lineRule="auto"/>
        <w:rPr>
          <w:szCs w:val="22"/>
        </w:rPr>
      </w:pPr>
    </w:p>
    <w:p w14:paraId="05CF2273" w14:textId="41EDAD8B" w:rsidR="003E58B3" w:rsidRPr="008D73F0" w:rsidRDefault="00F675C6" w:rsidP="00254D2D">
      <w:pPr>
        <w:pStyle w:val="Style1"/>
        <w:rPr>
          <w:bCs/>
        </w:rPr>
      </w:pPr>
      <w:r>
        <w:t>4.1</w:t>
      </w:r>
      <w:r>
        <w:tab/>
      </w:r>
      <w:proofErr w:type="spellStart"/>
      <w:r>
        <w:t>ATCvet</w:t>
      </w:r>
      <w:proofErr w:type="spellEnd"/>
      <w:r>
        <w:t xml:space="preserve"> kód: </w:t>
      </w:r>
      <w:r w:rsidRPr="00254D2D">
        <w:rPr>
          <w:b w:val="0"/>
          <w:bCs/>
        </w:rPr>
        <w:t>QJ01FA99</w:t>
      </w:r>
    </w:p>
    <w:p w14:paraId="05CF2274" w14:textId="77777777" w:rsidR="003E58B3" w:rsidRDefault="003E58B3">
      <w:pPr>
        <w:tabs>
          <w:tab w:val="clear" w:pos="567"/>
        </w:tabs>
        <w:spacing w:line="240" w:lineRule="auto"/>
        <w:rPr>
          <w:szCs w:val="22"/>
        </w:rPr>
      </w:pPr>
    </w:p>
    <w:p w14:paraId="05CF2275" w14:textId="46C1B16E" w:rsidR="003E58B3" w:rsidRDefault="00F675C6">
      <w:pPr>
        <w:pStyle w:val="Style1"/>
      </w:pPr>
      <w:r>
        <w:t>4.2</w:t>
      </w:r>
      <w:r>
        <w:tab/>
        <w:t>Farmakodynamika</w:t>
      </w:r>
    </w:p>
    <w:p w14:paraId="05CF2276" w14:textId="77777777" w:rsidR="003E58B3" w:rsidRDefault="003E58B3">
      <w:pPr>
        <w:rPr>
          <w:szCs w:val="22"/>
        </w:rPr>
      </w:pPr>
    </w:p>
    <w:p w14:paraId="05CF2277" w14:textId="77777777" w:rsidR="003E58B3" w:rsidRDefault="00F675C6">
      <w:pPr>
        <w:rPr>
          <w:szCs w:val="22"/>
        </w:rPr>
      </w:pPr>
      <w:proofErr w:type="spellStart"/>
      <w:r>
        <w:rPr>
          <w:szCs w:val="22"/>
        </w:rPr>
        <w:t>Tulathromycin</w:t>
      </w:r>
      <w:proofErr w:type="spellEnd"/>
      <w:r>
        <w:rPr>
          <w:szCs w:val="22"/>
        </w:rPr>
        <w:t xml:space="preserve"> je </w:t>
      </w:r>
      <w:proofErr w:type="spellStart"/>
      <w:r>
        <w:rPr>
          <w:szCs w:val="22"/>
        </w:rPr>
        <w:t>semi</w:t>
      </w:r>
      <w:proofErr w:type="spellEnd"/>
      <w:r>
        <w:rPr>
          <w:szCs w:val="22"/>
        </w:rPr>
        <w:t xml:space="preserve">-syntetická </w:t>
      </w:r>
      <w:proofErr w:type="spellStart"/>
      <w:r>
        <w:rPr>
          <w:szCs w:val="22"/>
        </w:rPr>
        <w:t>makrolidová</w:t>
      </w:r>
      <w:proofErr w:type="spellEnd"/>
      <w:r>
        <w:rPr>
          <w:szCs w:val="22"/>
        </w:rPr>
        <w:t xml:space="preserve"> antimikrobiální látka, která pochází z fermentačního produktu. Odlišuje se od mnohých jiných </w:t>
      </w:r>
      <w:proofErr w:type="spellStart"/>
      <w:r>
        <w:rPr>
          <w:szCs w:val="22"/>
        </w:rPr>
        <w:t>makrolidů</w:t>
      </w:r>
      <w:proofErr w:type="spellEnd"/>
      <w:r>
        <w:rPr>
          <w:szCs w:val="22"/>
        </w:rPr>
        <w:t xml:space="preserve"> tím, že má dlouhotrvající účinek, který je částečně způsoben jeho třemi aminovými skupinami; proto je chemické označení podskupiny této látky </w:t>
      </w:r>
      <w:proofErr w:type="spellStart"/>
      <w:r>
        <w:rPr>
          <w:szCs w:val="22"/>
        </w:rPr>
        <w:t>triamilid</w:t>
      </w:r>
      <w:proofErr w:type="spellEnd"/>
      <w:r>
        <w:rPr>
          <w:szCs w:val="22"/>
        </w:rPr>
        <w:t>.</w:t>
      </w:r>
    </w:p>
    <w:p w14:paraId="05CF2278" w14:textId="77777777" w:rsidR="003E58B3" w:rsidRDefault="003E58B3">
      <w:pPr>
        <w:rPr>
          <w:szCs w:val="22"/>
        </w:rPr>
      </w:pPr>
    </w:p>
    <w:p w14:paraId="05CF2279" w14:textId="77777777" w:rsidR="003E58B3" w:rsidRDefault="00F675C6">
      <w:pPr>
        <w:rPr>
          <w:szCs w:val="22"/>
        </w:rPr>
      </w:pPr>
      <w:proofErr w:type="spellStart"/>
      <w:r>
        <w:rPr>
          <w:szCs w:val="22"/>
        </w:rPr>
        <w:t>Makrolidy</w:t>
      </w:r>
      <w:proofErr w:type="spellEnd"/>
      <w:r>
        <w:rPr>
          <w:szCs w:val="22"/>
        </w:rPr>
        <w:t xml:space="preserve"> jsou bakteriostaticky působící antibiotika, která inhibují nepostradatelnou biosyntézu bílkovin díky schopnosti selektivně se vázat na bakteriální ribozomální RNA. Působí tak, že stimulují disociaci </w:t>
      </w:r>
      <w:proofErr w:type="spellStart"/>
      <w:r>
        <w:rPr>
          <w:szCs w:val="22"/>
        </w:rPr>
        <w:t>peptidyl-tRNA</w:t>
      </w:r>
      <w:proofErr w:type="spellEnd"/>
      <w:r>
        <w:rPr>
          <w:szCs w:val="22"/>
        </w:rPr>
        <w:t xml:space="preserve"> z ribozomu během procesu translokace.</w:t>
      </w:r>
    </w:p>
    <w:p w14:paraId="05CF227A" w14:textId="77777777" w:rsidR="003E58B3" w:rsidRDefault="003E58B3">
      <w:pPr>
        <w:rPr>
          <w:szCs w:val="22"/>
        </w:rPr>
      </w:pPr>
    </w:p>
    <w:p w14:paraId="05CF227B" w14:textId="0FC0A128" w:rsidR="003E58B3" w:rsidRDefault="00F675C6">
      <w:pPr>
        <w:rPr>
          <w:szCs w:val="22"/>
        </w:rPr>
      </w:pPr>
      <w:proofErr w:type="spellStart"/>
      <w:r>
        <w:rPr>
          <w:szCs w:val="22"/>
        </w:rPr>
        <w:t>Tulathromycin</w:t>
      </w:r>
      <w:proofErr w:type="spellEnd"/>
      <w:r>
        <w:rPr>
          <w:szCs w:val="22"/>
        </w:rPr>
        <w:t xml:space="preserve"> má </w:t>
      </w:r>
      <w:r>
        <w:rPr>
          <w:i/>
          <w:iCs/>
          <w:szCs w:val="22"/>
        </w:rPr>
        <w:t>in vitro</w:t>
      </w:r>
      <w:r>
        <w:rPr>
          <w:szCs w:val="22"/>
        </w:rPr>
        <w:t xml:space="preserve"> účinnost proti mikroorganismům </w:t>
      </w:r>
      <w:proofErr w:type="spellStart"/>
      <w:r>
        <w:rPr>
          <w:i/>
          <w:iCs/>
          <w:szCs w:val="22"/>
        </w:rPr>
        <w:t>Mannheimia</w:t>
      </w:r>
      <w:proofErr w:type="spellEnd"/>
      <w:r>
        <w:rPr>
          <w:i/>
          <w:iCs/>
          <w:szCs w:val="22"/>
        </w:rPr>
        <w:t xml:space="preserve"> </w:t>
      </w:r>
      <w:proofErr w:type="spellStart"/>
      <w:r>
        <w:rPr>
          <w:i/>
          <w:iCs/>
          <w:szCs w:val="22"/>
        </w:rPr>
        <w:t>haemolytica</w:t>
      </w:r>
      <w:proofErr w:type="spellEnd"/>
      <w:r>
        <w:rPr>
          <w:szCs w:val="22"/>
        </w:rPr>
        <w:t xml:space="preserve">, </w:t>
      </w:r>
      <w:proofErr w:type="spellStart"/>
      <w:r>
        <w:rPr>
          <w:i/>
          <w:iCs/>
          <w:szCs w:val="22"/>
        </w:rPr>
        <w:t>Pasteurella</w:t>
      </w:r>
      <w:proofErr w:type="spellEnd"/>
      <w:r>
        <w:rPr>
          <w:i/>
          <w:iCs/>
          <w:szCs w:val="22"/>
        </w:rPr>
        <w:t xml:space="preserve"> </w:t>
      </w:r>
      <w:proofErr w:type="spellStart"/>
      <w:r>
        <w:rPr>
          <w:i/>
          <w:iCs/>
          <w:szCs w:val="22"/>
        </w:rPr>
        <w:t>multocida</w:t>
      </w:r>
      <w:proofErr w:type="spellEnd"/>
      <w:r>
        <w:rPr>
          <w:szCs w:val="22"/>
        </w:rPr>
        <w:t xml:space="preserve">, </w:t>
      </w:r>
      <w:proofErr w:type="spellStart"/>
      <w:r>
        <w:rPr>
          <w:i/>
          <w:iCs/>
          <w:szCs w:val="22"/>
        </w:rPr>
        <w:t>Histophilus</w:t>
      </w:r>
      <w:proofErr w:type="spellEnd"/>
      <w:r>
        <w:rPr>
          <w:i/>
          <w:iCs/>
          <w:szCs w:val="22"/>
        </w:rPr>
        <w:t xml:space="preserve"> </w:t>
      </w:r>
      <w:proofErr w:type="spellStart"/>
      <w:r>
        <w:rPr>
          <w:i/>
          <w:iCs/>
          <w:szCs w:val="22"/>
        </w:rPr>
        <w:t>somni</w:t>
      </w:r>
      <w:proofErr w:type="spellEnd"/>
      <w:r>
        <w:rPr>
          <w:szCs w:val="22"/>
        </w:rPr>
        <w:t xml:space="preserve"> a </w:t>
      </w:r>
      <w:proofErr w:type="spellStart"/>
      <w:r>
        <w:rPr>
          <w:i/>
          <w:iCs/>
          <w:szCs w:val="22"/>
        </w:rPr>
        <w:t>Mycoplasma</w:t>
      </w:r>
      <w:proofErr w:type="spellEnd"/>
      <w:r>
        <w:rPr>
          <w:i/>
          <w:iCs/>
          <w:szCs w:val="22"/>
        </w:rPr>
        <w:t xml:space="preserve"> </w:t>
      </w:r>
      <w:proofErr w:type="spellStart"/>
      <w:r>
        <w:rPr>
          <w:i/>
          <w:iCs/>
          <w:szCs w:val="22"/>
        </w:rPr>
        <w:t>bovis</w:t>
      </w:r>
      <w:proofErr w:type="spellEnd"/>
      <w:r>
        <w:rPr>
          <w:szCs w:val="22"/>
        </w:rPr>
        <w:t>, což jsou bakteriální patogeny nejčastěji spojené s</w:t>
      </w:r>
      <w:r w:rsidR="00543783">
        <w:rPr>
          <w:szCs w:val="22"/>
        </w:rPr>
        <w:t> </w:t>
      </w:r>
      <w:r>
        <w:rPr>
          <w:szCs w:val="22"/>
        </w:rPr>
        <w:t xml:space="preserve">respiračními onemocněními skotu. Zvýšené hodnoty minimální inhibiční koncentrace (MIC) byly zjištěny u některých izolátů </w:t>
      </w:r>
      <w:proofErr w:type="spellStart"/>
      <w:r>
        <w:rPr>
          <w:i/>
          <w:iCs/>
          <w:szCs w:val="22"/>
        </w:rPr>
        <w:t>Histophilus</w:t>
      </w:r>
      <w:proofErr w:type="spellEnd"/>
      <w:r>
        <w:rPr>
          <w:i/>
          <w:iCs/>
          <w:szCs w:val="22"/>
        </w:rPr>
        <w:t xml:space="preserve"> </w:t>
      </w:r>
      <w:proofErr w:type="spellStart"/>
      <w:r>
        <w:rPr>
          <w:i/>
          <w:iCs/>
          <w:szCs w:val="22"/>
        </w:rPr>
        <w:t>somni</w:t>
      </w:r>
      <w:proofErr w:type="spellEnd"/>
      <w:r>
        <w:rPr>
          <w:szCs w:val="22"/>
        </w:rPr>
        <w:t>.</w:t>
      </w:r>
    </w:p>
    <w:p w14:paraId="05CF227C" w14:textId="77777777" w:rsidR="003E58B3" w:rsidRDefault="003E58B3">
      <w:pPr>
        <w:rPr>
          <w:szCs w:val="22"/>
        </w:rPr>
      </w:pPr>
    </w:p>
    <w:p w14:paraId="05CF227D" w14:textId="77777777" w:rsidR="003E58B3" w:rsidRDefault="00F675C6">
      <w:pPr>
        <w:rPr>
          <w:szCs w:val="22"/>
        </w:rPr>
      </w:pPr>
      <w:proofErr w:type="spellStart"/>
      <w:r>
        <w:rPr>
          <w:spacing w:val="-2"/>
          <w:szCs w:val="22"/>
        </w:rPr>
        <w:t>Clinical</w:t>
      </w:r>
      <w:proofErr w:type="spellEnd"/>
      <w:r>
        <w:rPr>
          <w:spacing w:val="-2"/>
          <w:szCs w:val="22"/>
        </w:rPr>
        <w:t xml:space="preserve"> and </w:t>
      </w:r>
      <w:proofErr w:type="spellStart"/>
      <w:r>
        <w:rPr>
          <w:spacing w:val="-2"/>
          <w:szCs w:val="22"/>
        </w:rPr>
        <w:t>Laboratory</w:t>
      </w:r>
      <w:proofErr w:type="spellEnd"/>
      <w:r>
        <w:rPr>
          <w:spacing w:val="-2"/>
          <w:szCs w:val="22"/>
        </w:rPr>
        <w:t xml:space="preserve"> </w:t>
      </w:r>
      <w:proofErr w:type="spellStart"/>
      <w:r>
        <w:rPr>
          <w:spacing w:val="-2"/>
          <w:szCs w:val="22"/>
        </w:rPr>
        <w:t>Standards</w:t>
      </w:r>
      <w:proofErr w:type="spellEnd"/>
      <w:r>
        <w:rPr>
          <w:spacing w:val="-2"/>
          <w:szCs w:val="22"/>
        </w:rPr>
        <w:t xml:space="preserve"> Institute (CLSI) stanovil hraniční hodnoty minimální inhibiční koncentrace (MIC) </w:t>
      </w:r>
      <w:proofErr w:type="spellStart"/>
      <w:r>
        <w:rPr>
          <w:spacing w:val="-2"/>
          <w:szCs w:val="22"/>
        </w:rPr>
        <w:t>tulathromycinu</w:t>
      </w:r>
      <w:proofErr w:type="spellEnd"/>
      <w:r>
        <w:rPr>
          <w:spacing w:val="-2"/>
          <w:szCs w:val="22"/>
        </w:rPr>
        <w:t xml:space="preserve"> proti </w:t>
      </w:r>
      <w:r>
        <w:rPr>
          <w:i/>
          <w:iCs/>
          <w:spacing w:val="-2"/>
          <w:szCs w:val="22"/>
        </w:rPr>
        <w:t xml:space="preserve">M. </w:t>
      </w:r>
      <w:proofErr w:type="spellStart"/>
      <w:r>
        <w:rPr>
          <w:i/>
          <w:iCs/>
          <w:spacing w:val="-2"/>
          <w:szCs w:val="22"/>
        </w:rPr>
        <w:t>haemolytica</w:t>
      </w:r>
      <w:proofErr w:type="spellEnd"/>
      <w:r>
        <w:rPr>
          <w:spacing w:val="-2"/>
          <w:szCs w:val="22"/>
        </w:rPr>
        <w:t xml:space="preserve">, </w:t>
      </w:r>
      <w:r>
        <w:rPr>
          <w:i/>
          <w:iCs/>
          <w:spacing w:val="-2"/>
          <w:szCs w:val="22"/>
        </w:rPr>
        <w:t xml:space="preserve">P. </w:t>
      </w:r>
      <w:proofErr w:type="spellStart"/>
      <w:r>
        <w:rPr>
          <w:i/>
          <w:iCs/>
          <w:spacing w:val="-2"/>
          <w:szCs w:val="22"/>
        </w:rPr>
        <w:t>multocida</w:t>
      </w:r>
      <w:proofErr w:type="spellEnd"/>
      <w:r>
        <w:rPr>
          <w:spacing w:val="-2"/>
          <w:szCs w:val="22"/>
        </w:rPr>
        <w:t xml:space="preserve"> a </w:t>
      </w:r>
      <w:r>
        <w:rPr>
          <w:i/>
          <w:iCs/>
          <w:spacing w:val="-2"/>
          <w:szCs w:val="22"/>
        </w:rPr>
        <w:t xml:space="preserve">H. </w:t>
      </w:r>
      <w:proofErr w:type="spellStart"/>
      <w:r>
        <w:rPr>
          <w:i/>
          <w:iCs/>
          <w:spacing w:val="-2"/>
          <w:szCs w:val="22"/>
        </w:rPr>
        <w:t>somni</w:t>
      </w:r>
      <w:proofErr w:type="spellEnd"/>
      <w:r>
        <w:rPr>
          <w:spacing w:val="-2"/>
          <w:szCs w:val="22"/>
        </w:rPr>
        <w:t xml:space="preserve"> bovinního respiratorního původu takto: ≤ 16 </w:t>
      </w:r>
      <w:proofErr w:type="spellStart"/>
      <w:r>
        <w:rPr>
          <w:spacing w:val="-2"/>
          <w:szCs w:val="22"/>
        </w:rPr>
        <w:t>μg</w:t>
      </w:r>
      <w:proofErr w:type="spellEnd"/>
      <w:r>
        <w:rPr>
          <w:spacing w:val="-2"/>
          <w:szCs w:val="22"/>
        </w:rPr>
        <w:t xml:space="preserve">/ml citlivé a ≥ 64 </w:t>
      </w:r>
      <w:proofErr w:type="spellStart"/>
      <w:r>
        <w:rPr>
          <w:spacing w:val="-2"/>
          <w:szCs w:val="22"/>
        </w:rPr>
        <w:t>μg</w:t>
      </w:r>
      <w:proofErr w:type="spellEnd"/>
      <w:r>
        <w:rPr>
          <w:spacing w:val="-2"/>
          <w:szCs w:val="22"/>
        </w:rPr>
        <w:t xml:space="preserve">/ml rezistentní. CLSI také zveřejnil hraniční </w:t>
      </w:r>
      <w:r>
        <w:rPr>
          <w:spacing w:val="-2"/>
          <w:szCs w:val="22"/>
        </w:rPr>
        <w:lastRenderedPageBreak/>
        <w:t xml:space="preserve">hodnoty pro </w:t>
      </w:r>
      <w:proofErr w:type="spellStart"/>
      <w:r>
        <w:rPr>
          <w:spacing w:val="-2"/>
          <w:szCs w:val="22"/>
        </w:rPr>
        <w:t>tulathromycin</w:t>
      </w:r>
      <w:proofErr w:type="spellEnd"/>
      <w:r>
        <w:rPr>
          <w:spacing w:val="-2"/>
          <w:szCs w:val="22"/>
        </w:rPr>
        <w:t xml:space="preserve"> založené na diskové difúzní metodě (CLSI dokument VET08, 4th </w:t>
      </w:r>
      <w:proofErr w:type="spellStart"/>
      <w:r>
        <w:rPr>
          <w:spacing w:val="-2"/>
          <w:szCs w:val="22"/>
        </w:rPr>
        <w:t>ed</w:t>
      </w:r>
      <w:proofErr w:type="spellEnd"/>
      <w:r>
        <w:rPr>
          <w:spacing w:val="-2"/>
          <w:szCs w:val="22"/>
        </w:rPr>
        <w:t xml:space="preserve">, 2018). EUCAST ani CLSI nevytvořily standardní metody pro testování účinnosti antibakteriálních látek proti veterinárním druhům bakterií rodu </w:t>
      </w:r>
      <w:proofErr w:type="spellStart"/>
      <w:r>
        <w:rPr>
          <w:i/>
          <w:iCs/>
          <w:spacing w:val="-2"/>
          <w:szCs w:val="22"/>
        </w:rPr>
        <w:t>Mycoplasma</w:t>
      </w:r>
      <w:proofErr w:type="spellEnd"/>
      <w:r>
        <w:rPr>
          <w:spacing w:val="-2"/>
          <w:szCs w:val="22"/>
        </w:rPr>
        <w:t>, a proto nebyla stanovena žádná interpretační kritéria.</w:t>
      </w:r>
    </w:p>
    <w:p w14:paraId="05CF227E" w14:textId="77777777" w:rsidR="003E58B3" w:rsidRDefault="003E58B3">
      <w:pPr>
        <w:rPr>
          <w:szCs w:val="22"/>
        </w:rPr>
      </w:pPr>
    </w:p>
    <w:p w14:paraId="05CF227F" w14:textId="77777777" w:rsidR="003E58B3" w:rsidRDefault="00F675C6">
      <w:pPr>
        <w:rPr>
          <w:szCs w:val="22"/>
        </w:rPr>
      </w:pPr>
      <w:r>
        <w:rPr>
          <w:szCs w:val="22"/>
        </w:rPr>
        <w:t xml:space="preserve">Rezistence na </w:t>
      </w:r>
      <w:proofErr w:type="spellStart"/>
      <w:r>
        <w:rPr>
          <w:szCs w:val="22"/>
        </w:rPr>
        <w:t>makrolidy</w:t>
      </w:r>
      <w:proofErr w:type="spellEnd"/>
      <w:r>
        <w:rPr>
          <w:szCs w:val="22"/>
        </w:rPr>
        <w:t xml:space="preserve"> se může vyvinout mutacemi genů, které kódují ribozomální RNA (</w:t>
      </w:r>
      <w:proofErr w:type="spellStart"/>
      <w:r>
        <w:rPr>
          <w:szCs w:val="22"/>
        </w:rPr>
        <w:t>rRNA</w:t>
      </w:r>
      <w:proofErr w:type="spellEnd"/>
      <w:r>
        <w:rPr>
          <w:szCs w:val="22"/>
        </w:rPr>
        <w:t xml:space="preserve">) nebo některé ribozomální proteiny, enzymatickou modifikací (metylace) cílového místa na </w:t>
      </w:r>
      <w:proofErr w:type="gramStart"/>
      <w:r>
        <w:rPr>
          <w:szCs w:val="22"/>
        </w:rPr>
        <w:t>23S</w:t>
      </w:r>
      <w:proofErr w:type="gramEnd"/>
      <w:r>
        <w:rPr>
          <w:szCs w:val="22"/>
        </w:rPr>
        <w:t xml:space="preserve"> </w:t>
      </w:r>
      <w:proofErr w:type="spellStart"/>
      <w:r>
        <w:rPr>
          <w:szCs w:val="22"/>
        </w:rPr>
        <w:t>rRNA</w:t>
      </w:r>
      <w:proofErr w:type="spellEnd"/>
      <w:r>
        <w:rPr>
          <w:szCs w:val="22"/>
        </w:rPr>
        <w:t xml:space="preserve">, čímž obvykle vzniká zkřížená rezistence s </w:t>
      </w:r>
      <w:proofErr w:type="spellStart"/>
      <w:r>
        <w:rPr>
          <w:szCs w:val="22"/>
        </w:rPr>
        <w:t>linkosamidy</w:t>
      </w:r>
      <w:proofErr w:type="spellEnd"/>
      <w:r>
        <w:rPr>
          <w:szCs w:val="22"/>
        </w:rPr>
        <w:t xml:space="preserve"> a </w:t>
      </w:r>
      <w:proofErr w:type="spellStart"/>
      <w:r>
        <w:rPr>
          <w:szCs w:val="22"/>
        </w:rPr>
        <w:t>streptograminy</w:t>
      </w:r>
      <w:proofErr w:type="spellEnd"/>
      <w:r>
        <w:rPr>
          <w:szCs w:val="22"/>
        </w:rPr>
        <w:t xml:space="preserve"> skupiny B (MLS</w:t>
      </w:r>
      <w:r>
        <w:rPr>
          <w:szCs w:val="22"/>
          <w:vertAlign w:val="subscript"/>
        </w:rPr>
        <w:t>B</w:t>
      </w:r>
      <w:r>
        <w:rPr>
          <w:szCs w:val="22"/>
        </w:rPr>
        <w:t xml:space="preserve"> rezistence), enzymatickou inaktivací nebo </w:t>
      </w:r>
      <w:proofErr w:type="spellStart"/>
      <w:r>
        <w:rPr>
          <w:szCs w:val="22"/>
        </w:rPr>
        <w:t>efluxem</w:t>
      </w:r>
      <w:proofErr w:type="spellEnd"/>
      <w:r>
        <w:rPr>
          <w:szCs w:val="22"/>
        </w:rPr>
        <w:t xml:space="preserve"> </w:t>
      </w:r>
      <w:proofErr w:type="spellStart"/>
      <w:r>
        <w:rPr>
          <w:szCs w:val="22"/>
        </w:rPr>
        <w:t>makrolidů</w:t>
      </w:r>
      <w:proofErr w:type="spellEnd"/>
      <w:r>
        <w:rPr>
          <w:szCs w:val="22"/>
        </w:rPr>
        <w:t>. MLS</w:t>
      </w:r>
      <w:r>
        <w:rPr>
          <w:szCs w:val="22"/>
          <w:vertAlign w:val="subscript"/>
        </w:rPr>
        <w:t>B</w:t>
      </w:r>
      <w:r>
        <w:rPr>
          <w:szCs w:val="22"/>
        </w:rPr>
        <w:t xml:space="preserve"> rezistence může být konstitutivní nebo indukovaná. Rezistence patogenů způsobujících respirační onemocnění skotu (BRD)</w:t>
      </w:r>
      <w:r>
        <w:rPr>
          <w:i/>
          <w:iCs/>
          <w:szCs w:val="24"/>
        </w:rPr>
        <w:t xml:space="preserve"> </w:t>
      </w:r>
      <w:r>
        <w:rPr>
          <w:szCs w:val="22"/>
        </w:rPr>
        <w:t xml:space="preserve">může být chromozomální nebo kódovaná </w:t>
      </w:r>
      <w:proofErr w:type="spellStart"/>
      <w:r>
        <w:rPr>
          <w:szCs w:val="22"/>
        </w:rPr>
        <w:t>plazmidem</w:t>
      </w:r>
      <w:proofErr w:type="spellEnd"/>
      <w:r>
        <w:rPr>
          <w:szCs w:val="22"/>
        </w:rPr>
        <w:t xml:space="preserve"> a může být přenosná, pokud je její mechanismus spojen s </w:t>
      </w:r>
      <w:proofErr w:type="spellStart"/>
      <w:r>
        <w:rPr>
          <w:szCs w:val="22"/>
        </w:rPr>
        <w:t>transpozony</w:t>
      </w:r>
      <w:proofErr w:type="spellEnd"/>
      <w:r>
        <w:rPr>
          <w:szCs w:val="22"/>
        </w:rPr>
        <w:t xml:space="preserve">, </w:t>
      </w:r>
      <w:proofErr w:type="spellStart"/>
      <w:r>
        <w:rPr>
          <w:szCs w:val="22"/>
        </w:rPr>
        <w:t>plazmidy</w:t>
      </w:r>
      <w:proofErr w:type="spellEnd"/>
      <w:r>
        <w:rPr>
          <w:szCs w:val="22"/>
        </w:rPr>
        <w:t xml:space="preserve">, </w:t>
      </w:r>
      <w:proofErr w:type="spellStart"/>
      <w:r>
        <w:rPr>
          <w:szCs w:val="22"/>
        </w:rPr>
        <w:t>integrativními</w:t>
      </w:r>
      <w:proofErr w:type="spellEnd"/>
      <w:r>
        <w:rPr>
          <w:szCs w:val="22"/>
        </w:rPr>
        <w:t xml:space="preserve"> a </w:t>
      </w:r>
      <w:proofErr w:type="spellStart"/>
      <w:r>
        <w:rPr>
          <w:szCs w:val="22"/>
        </w:rPr>
        <w:t>konjugativními</w:t>
      </w:r>
      <w:proofErr w:type="spellEnd"/>
      <w:r>
        <w:rPr>
          <w:szCs w:val="22"/>
        </w:rPr>
        <w:t xml:space="preserve"> elementy. Navíc plasticitu genomu </w:t>
      </w:r>
      <w:proofErr w:type="spellStart"/>
      <w:r>
        <w:rPr>
          <w:i/>
          <w:iCs/>
          <w:szCs w:val="22"/>
        </w:rPr>
        <w:t>Mycoplasma</w:t>
      </w:r>
      <w:proofErr w:type="spellEnd"/>
      <w:r>
        <w:rPr>
          <w:szCs w:val="22"/>
        </w:rPr>
        <w:t xml:space="preserve"> zvyšuje horizontální transfer velkých fragmentů chromozomů.</w:t>
      </w:r>
    </w:p>
    <w:p w14:paraId="05CF2280" w14:textId="77777777" w:rsidR="003E58B3" w:rsidRDefault="003E58B3">
      <w:pPr>
        <w:jc w:val="both"/>
        <w:rPr>
          <w:szCs w:val="22"/>
        </w:rPr>
      </w:pPr>
    </w:p>
    <w:p w14:paraId="05CF2281" w14:textId="77777777" w:rsidR="003E58B3" w:rsidRDefault="00F675C6">
      <w:pPr>
        <w:rPr>
          <w:szCs w:val="22"/>
        </w:rPr>
      </w:pPr>
      <w:r>
        <w:rPr>
          <w:szCs w:val="22"/>
        </w:rPr>
        <w:t xml:space="preserve">Kromě antimikrobiálních vlastností vykazoval </w:t>
      </w:r>
      <w:proofErr w:type="spellStart"/>
      <w:r>
        <w:rPr>
          <w:szCs w:val="22"/>
        </w:rPr>
        <w:t>tulathromycin</w:t>
      </w:r>
      <w:proofErr w:type="spellEnd"/>
      <w:r>
        <w:rPr>
          <w:szCs w:val="22"/>
        </w:rPr>
        <w:t xml:space="preserve"> v pokusných studiích také </w:t>
      </w:r>
      <w:proofErr w:type="spellStart"/>
      <w:r>
        <w:rPr>
          <w:szCs w:val="22"/>
        </w:rPr>
        <w:t>imunomodulační</w:t>
      </w:r>
      <w:proofErr w:type="spellEnd"/>
      <w:r>
        <w:rPr>
          <w:szCs w:val="22"/>
        </w:rPr>
        <w:t xml:space="preserve"> a protizánětlivý účinek. </w:t>
      </w:r>
      <w:proofErr w:type="spellStart"/>
      <w:r>
        <w:rPr>
          <w:szCs w:val="22"/>
        </w:rPr>
        <w:t>Tulathromycin</w:t>
      </w:r>
      <w:proofErr w:type="spellEnd"/>
      <w:r>
        <w:rPr>
          <w:szCs w:val="22"/>
        </w:rPr>
        <w:t xml:space="preserve"> spouští </w:t>
      </w:r>
      <w:proofErr w:type="spellStart"/>
      <w:r>
        <w:rPr>
          <w:szCs w:val="22"/>
        </w:rPr>
        <w:t>apoptózu</w:t>
      </w:r>
      <w:proofErr w:type="spellEnd"/>
      <w:r>
        <w:rPr>
          <w:szCs w:val="22"/>
        </w:rPr>
        <w:t xml:space="preserve"> (programovanou buněčnou smrt) v </w:t>
      </w:r>
      <w:proofErr w:type="spellStart"/>
      <w:r>
        <w:rPr>
          <w:szCs w:val="22"/>
        </w:rPr>
        <w:t>polymorfonukleárních</w:t>
      </w:r>
      <w:proofErr w:type="spellEnd"/>
      <w:r>
        <w:rPr>
          <w:szCs w:val="22"/>
        </w:rPr>
        <w:t xml:space="preserve"> buňkách (PMN; </w:t>
      </w:r>
      <w:proofErr w:type="spellStart"/>
      <w:r>
        <w:rPr>
          <w:szCs w:val="22"/>
        </w:rPr>
        <w:t>neutrofily</w:t>
      </w:r>
      <w:proofErr w:type="spellEnd"/>
      <w:r>
        <w:rPr>
          <w:szCs w:val="22"/>
        </w:rPr>
        <w:t xml:space="preserve">) skotu a odstranění </w:t>
      </w:r>
      <w:proofErr w:type="spellStart"/>
      <w:r>
        <w:rPr>
          <w:szCs w:val="22"/>
        </w:rPr>
        <w:t>apoptotických</w:t>
      </w:r>
      <w:proofErr w:type="spellEnd"/>
      <w:r>
        <w:rPr>
          <w:szCs w:val="22"/>
        </w:rPr>
        <w:t xml:space="preserve"> buněk </w:t>
      </w:r>
      <w:proofErr w:type="spellStart"/>
      <w:r>
        <w:rPr>
          <w:szCs w:val="22"/>
        </w:rPr>
        <w:t>markrofágy</w:t>
      </w:r>
      <w:proofErr w:type="spellEnd"/>
      <w:r>
        <w:rPr>
          <w:szCs w:val="22"/>
        </w:rPr>
        <w:t xml:space="preserve">. Snižuje tvorbu prozánětlivých mediátorů </w:t>
      </w:r>
      <w:proofErr w:type="spellStart"/>
      <w:r>
        <w:rPr>
          <w:szCs w:val="22"/>
        </w:rPr>
        <w:t>leukotrienu</w:t>
      </w:r>
      <w:proofErr w:type="spellEnd"/>
      <w:r>
        <w:rPr>
          <w:szCs w:val="22"/>
        </w:rPr>
        <w:t xml:space="preserve"> B4 a CXCL-8 a indukuje tvorbu protizánětlivého lipidu </w:t>
      </w:r>
      <w:proofErr w:type="spellStart"/>
      <w:r>
        <w:rPr>
          <w:szCs w:val="22"/>
        </w:rPr>
        <w:t>lipoxinu</w:t>
      </w:r>
      <w:proofErr w:type="spellEnd"/>
      <w:r>
        <w:rPr>
          <w:szCs w:val="22"/>
        </w:rPr>
        <w:t xml:space="preserve"> A4 podporujícího hojení zánětu.</w:t>
      </w:r>
    </w:p>
    <w:p w14:paraId="05CF2282" w14:textId="77777777" w:rsidR="003E58B3" w:rsidRDefault="003E58B3">
      <w:pPr>
        <w:jc w:val="both"/>
        <w:rPr>
          <w:szCs w:val="22"/>
        </w:rPr>
      </w:pPr>
    </w:p>
    <w:p w14:paraId="05CF2283" w14:textId="77777777" w:rsidR="003E58B3" w:rsidRDefault="00F675C6">
      <w:pPr>
        <w:rPr>
          <w:szCs w:val="22"/>
        </w:rPr>
      </w:pPr>
      <w:proofErr w:type="spellStart"/>
      <w:r>
        <w:rPr>
          <w:szCs w:val="22"/>
        </w:rPr>
        <w:t>Ketoprofen</w:t>
      </w:r>
      <w:proofErr w:type="spellEnd"/>
      <w:r>
        <w:rPr>
          <w:szCs w:val="22"/>
        </w:rPr>
        <w:t xml:space="preserve"> je látka, která patří do skupiny nesteroidních protizánětlivých léčiv (NSAID). </w:t>
      </w:r>
      <w:proofErr w:type="spellStart"/>
      <w:r>
        <w:rPr>
          <w:szCs w:val="22"/>
        </w:rPr>
        <w:t>Ketoprofen</w:t>
      </w:r>
      <w:proofErr w:type="spellEnd"/>
      <w:r>
        <w:rPr>
          <w:szCs w:val="22"/>
        </w:rPr>
        <w:t xml:space="preserve"> má protizánětlivé, analgetické a antipyretické vlastnosti. Nejsou známy všechny charakteristiky mechanismu jeho účinku. </w:t>
      </w:r>
      <w:proofErr w:type="spellStart"/>
      <w:r>
        <w:rPr>
          <w:szCs w:val="22"/>
        </w:rPr>
        <w:t>Ketoprofen</w:t>
      </w:r>
      <w:proofErr w:type="spellEnd"/>
      <w:r>
        <w:rPr>
          <w:szCs w:val="22"/>
        </w:rPr>
        <w:t xml:space="preserve"> částečně účinkuje inhibicí syntézy prostaglandinů a </w:t>
      </w:r>
      <w:proofErr w:type="spellStart"/>
      <w:r>
        <w:rPr>
          <w:szCs w:val="22"/>
        </w:rPr>
        <w:t>leukotrienů</w:t>
      </w:r>
      <w:proofErr w:type="spellEnd"/>
      <w:r>
        <w:rPr>
          <w:szCs w:val="22"/>
        </w:rPr>
        <w:t xml:space="preserve">, neboť působí na enzymy </w:t>
      </w:r>
      <w:proofErr w:type="spellStart"/>
      <w:r>
        <w:rPr>
          <w:szCs w:val="22"/>
        </w:rPr>
        <w:t>cyklooxygenázu</w:t>
      </w:r>
      <w:proofErr w:type="spellEnd"/>
      <w:r>
        <w:rPr>
          <w:szCs w:val="22"/>
        </w:rPr>
        <w:t xml:space="preserve"> a </w:t>
      </w:r>
      <w:proofErr w:type="spellStart"/>
      <w:r>
        <w:rPr>
          <w:szCs w:val="22"/>
        </w:rPr>
        <w:t>lipoxygenázu</w:t>
      </w:r>
      <w:proofErr w:type="spellEnd"/>
      <w:r>
        <w:rPr>
          <w:szCs w:val="22"/>
        </w:rPr>
        <w:t xml:space="preserve"> Tvorba bradykininu je také inhibována. </w:t>
      </w:r>
      <w:proofErr w:type="spellStart"/>
      <w:r>
        <w:rPr>
          <w:szCs w:val="22"/>
        </w:rPr>
        <w:t>Ketoprofen</w:t>
      </w:r>
      <w:proofErr w:type="spellEnd"/>
      <w:r>
        <w:rPr>
          <w:szCs w:val="22"/>
        </w:rPr>
        <w:t xml:space="preserve"> inhibuje agregaci trombocytů.</w:t>
      </w:r>
    </w:p>
    <w:p w14:paraId="05CF2284" w14:textId="77777777" w:rsidR="003E58B3" w:rsidRDefault="003E58B3">
      <w:pPr>
        <w:tabs>
          <w:tab w:val="clear" w:pos="567"/>
        </w:tabs>
        <w:spacing w:line="240" w:lineRule="auto"/>
        <w:rPr>
          <w:szCs w:val="22"/>
        </w:rPr>
      </w:pPr>
    </w:p>
    <w:p w14:paraId="05CF2285" w14:textId="6A2B9F3C" w:rsidR="003E58B3" w:rsidRDefault="00F675C6">
      <w:pPr>
        <w:pStyle w:val="Style1"/>
      </w:pPr>
      <w:r>
        <w:t>4.3</w:t>
      </w:r>
      <w:r>
        <w:tab/>
        <w:t>Farmakokinetika</w:t>
      </w:r>
    </w:p>
    <w:p w14:paraId="05CF2286" w14:textId="77777777" w:rsidR="003E58B3" w:rsidRDefault="003E58B3">
      <w:pPr>
        <w:pStyle w:val="SPCheader2"/>
        <w:numPr>
          <w:ilvl w:val="0"/>
          <w:numId w:val="0"/>
        </w:numPr>
        <w:spacing w:before="0" w:after="0"/>
        <w:outlineLvl w:val="9"/>
        <w:rPr>
          <w:b w:val="0"/>
          <w:bCs/>
          <w:sz w:val="22"/>
          <w:szCs w:val="22"/>
          <w:lang w:val="cs-CZ"/>
        </w:rPr>
      </w:pPr>
    </w:p>
    <w:p w14:paraId="05CF2287" w14:textId="2688AD38" w:rsidR="003E58B3" w:rsidRDefault="00F675C6">
      <w:pPr>
        <w:rPr>
          <w:szCs w:val="22"/>
        </w:rPr>
      </w:pPr>
      <w:r>
        <w:rPr>
          <w:szCs w:val="22"/>
        </w:rPr>
        <w:t xml:space="preserve">Po subkutánním podání kombinované formulace, při dávce 2,5 mg </w:t>
      </w:r>
      <w:proofErr w:type="spellStart"/>
      <w:r>
        <w:rPr>
          <w:szCs w:val="22"/>
        </w:rPr>
        <w:t>tulathromycinu</w:t>
      </w:r>
      <w:proofErr w:type="spellEnd"/>
      <w:r>
        <w:rPr>
          <w:szCs w:val="22"/>
        </w:rPr>
        <w:t>/kg živé hmotnosti, byla maximální koncentrace (</w:t>
      </w:r>
      <w:proofErr w:type="spellStart"/>
      <w:r>
        <w:rPr>
          <w:szCs w:val="22"/>
        </w:rPr>
        <w:t>C</w:t>
      </w:r>
      <w:r>
        <w:rPr>
          <w:szCs w:val="22"/>
          <w:vertAlign w:val="subscript"/>
        </w:rPr>
        <w:t>max</w:t>
      </w:r>
      <w:proofErr w:type="spellEnd"/>
      <w:r>
        <w:rPr>
          <w:szCs w:val="22"/>
        </w:rPr>
        <w:t>) v plazmě přibližně 0,4 </w:t>
      </w:r>
      <w:proofErr w:type="spellStart"/>
      <w:r>
        <w:rPr>
          <w:szCs w:val="22"/>
        </w:rPr>
        <w:t>μg</w:t>
      </w:r>
      <w:proofErr w:type="spellEnd"/>
      <w:r>
        <w:rPr>
          <w:szCs w:val="22"/>
        </w:rPr>
        <w:t>/ml, čehož bylo dosaženo přibližně za 3</w:t>
      </w:r>
      <w:r w:rsidR="00CF0F7C">
        <w:rPr>
          <w:szCs w:val="22"/>
        </w:rPr>
        <w:t> </w:t>
      </w:r>
      <w:r>
        <w:rPr>
          <w:szCs w:val="22"/>
        </w:rPr>
        <w:t>hodiny po podání dávky (</w:t>
      </w:r>
      <w:proofErr w:type="spellStart"/>
      <w:r>
        <w:rPr>
          <w:szCs w:val="22"/>
        </w:rPr>
        <w:t>T</w:t>
      </w:r>
      <w:r>
        <w:rPr>
          <w:szCs w:val="22"/>
          <w:vertAlign w:val="subscript"/>
        </w:rPr>
        <w:t>max</w:t>
      </w:r>
      <w:proofErr w:type="spellEnd"/>
      <w:r>
        <w:rPr>
          <w:szCs w:val="22"/>
        </w:rPr>
        <w:t>). Maximální koncentrace byly následovány pomalým poklesem systémových koncentrací se zjevným poločasem eliminace (t</w:t>
      </w:r>
      <w:r>
        <w:rPr>
          <w:szCs w:val="22"/>
          <w:vertAlign w:val="subscript"/>
        </w:rPr>
        <w:t>1/2</w:t>
      </w:r>
      <w:r>
        <w:rPr>
          <w:szCs w:val="22"/>
        </w:rPr>
        <w:t>) v plazmě 85 hodin.</w:t>
      </w:r>
    </w:p>
    <w:p w14:paraId="05CF2288" w14:textId="77777777" w:rsidR="003E58B3" w:rsidRDefault="003E58B3">
      <w:pPr>
        <w:rPr>
          <w:szCs w:val="22"/>
        </w:rPr>
      </w:pPr>
    </w:p>
    <w:p w14:paraId="05CF2289" w14:textId="5413E2BD" w:rsidR="003E58B3" w:rsidRDefault="00F675C6">
      <w:pPr>
        <w:rPr>
          <w:szCs w:val="22"/>
        </w:rPr>
      </w:pPr>
      <w:r>
        <w:rPr>
          <w:szCs w:val="22"/>
        </w:rPr>
        <w:t xml:space="preserve">Dále se prokázalo, že po subkutánním podání kombinace </w:t>
      </w:r>
      <w:proofErr w:type="spellStart"/>
      <w:r>
        <w:rPr>
          <w:szCs w:val="22"/>
        </w:rPr>
        <w:t>tulathromycin-ketoprofen</w:t>
      </w:r>
      <w:proofErr w:type="spellEnd"/>
      <w:r>
        <w:rPr>
          <w:szCs w:val="22"/>
        </w:rPr>
        <w:t xml:space="preserve"> byla AUC</w:t>
      </w:r>
      <w:r w:rsidR="0051785C" w:rsidRPr="0051785C">
        <w:rPr>
          <w:szCs w:val="22"/>
          <w:vertAlign w:val="subscript"/>
        </w:rPr>
        <w:t>(</w:t>
      </w:r>
      <w:proofErr w:type="gramStart"/>
      <w:r>
        <w:rPr>
          <w:szCs w:val="22"/>
          <w:vertAlign w:val="subscript"/>
        </w:rPr>
        <w:t>0-t</w:t>
      </w:r>
      <w:proofErr w:type="gramEnd"/>
      <w:r w:rsidR="0051785C">
        <w:rPr>
          <w:szCs w:val="22"/>
          <w:vertAlign w:val="subscript"/>
        </w:rPr>
        <w:t>)</w:t>
      </w:r>
      <w:r>
        <w:rPr>
          <w:szCs w:val="22"/>
        </w:rPr>
        <w:t xml:space="preserve"> </w:t>
      </w:r>
      <w:proofErr w:type="spellStart"/>
      <w:r>
        <w:rPr>
          <w:szCs w:val="22"/>
        </w:rPr>
        <w:t>tulathromycinu</w:t>
      </w:r>
      <w:proofErr w:type="spellEnd"/>
      <w:r>
        <w:rPr>
          <w:szCs w:val="22"/>
        </w:rPr>
        <w:t xml:space="preserve"> </w:t>
      </w:r>
      <w:proofErr w:type="spellStart"/>
      <w:r>
        <w:rPr>
          <w:szCs w:val="22"/>
        </w:rPr>
        <w:t>bioekvivalentní</w:t>
      </w:r>
      <w:proofErr w:type="spellEnd"/>
      <w:r>
        <w:rPr>
          <w:szCs w:val="22"/>
        </w:rPr>
        <w:t xml:space="preserve"> s</w:t>
      </w:r>
      <w:r w:rsidR="0051785C">
        <w:rPr>
          <w:szCs w:val="22"/>
        </w:rPr>
        <w:t> </w:t>
      </w:r>
      <w:r>
        <w:rPr>
          <w:szCs w:val="22"/>
        </w:rPr>
        <w:t>AUC</w:t>
      </w:r>
      <w:r w:rsidR="0051785C" w:rsidRPr="0051785C">
        <w:rPr>
          <w:szCs w:val="22"/>
          <w:vertAlign w:val="subscript"/>
        </w:rPr>
        <w:t>(</w:t>
      </w:r>
      <w:r>
        <w:rPr>
          <w:szCs w:val="22"/>
          <w:vertAlign w:val="subscript"/>
        </w:rPr>
        <w:t>0-t</w:t>
      </w:r>
      <w:r w:rsidR="0051785C">
        <w:rPr>
          <w:szCs w:val="22"/>
          <w:vertAlign w:val="subscript"/>
        </w:rPr>
        <w:t>)</w:t>
      </w:r>
      <w:r>
        <w:rPr>
          <w:szCs w:val="22"/>
        </w:rPr>
        <w:t xml:space="preserve"> po subkutánním podání </w:t>
      </w:r>
      <w:proofErr w:type="spellStart"/>
      <w:r>
        <w:rPr>
          <w:szCs w:val="22"/>
        </w:rPr>
        <w:t>tulathromycinu</w:t>
      </w:r>
      <w:proofErr w:type="spellEnd"/>
      <w:r>
        <w:rPr>
          <w:szCs w:val="22"/>
        </w:rPr>
        <w:t xml:space="preserve"> 100 mg/ml pro skot. Kombinace měla mírně nižší </w:t>
      </w:r>
      <w:proofErr w:type="spellStart"/>
      <w:r>
        <w:rPr>
          <w:szCs w:val="22"/>
        </w:rPr>
        <w:t>C</w:t>
      </w:r>
      <w:r>
        <w:rPr>
          <w:szCs w:val="22"/>
          <w:vertAlign w:val="subscript"/>
        </w:rPr>
        <w:t>max</w:t>
      </w:r>
      <w:proofErr w:type="spellEnd"/>
      <w:r>
        <w:rPr>
          <w:szCs w:val="22"/>
        </w:rPr>
        <w:t xml:space="preserve"> </w:t>
      </w:r>
      <w:proofErr w:type="spellStart"/>
      <w:r>
        <w:rPr>
          <w:szCs w:val="22"/>
        </w:rPr>
        <w:t>tulathromycinu</w:t>
      </w:r>
      <w:proofErr w:type="spellEnd"/>
      <w:r>
        <w:rPr>
          <w:szCs w:val="22"/>
        </w:rPr>
        <w:t xml:space="preserve"> a oproti samostatnému podání obou látek byla mírně snížena rychlost absorpce.</w:t>
      </w:r>
    </w:p>
    <w:p w14:paraId="05CF228A" w14:textId="77777777" w:rsidR="003E58B3" w:rsidRDefault="003E58B3">
      <w:pPr>
        <w:rPr>
          <w:szCs w:val="22"/>
        </w:rPr>
      </w:pPr>
    </w:p>
    <w:p w14:paraId="05CF228B" w14:textId="19EE4B13" w:rsidR="003E58B3" w:rsidRDefault="00F675C6">
      <w:pPr>
        <w:rPr>
          <w:szCs w:val="22"/>
        </w:rPr>
      </w:pPr>
      <w:r>
        <w:rPr>
          <w:szCs w:val="22"/>
        </w:rPr>
        <w:t xml:space="preserve">Co se týče </w:t>
      </w:r>
      <w:proofErr w:type="spellStart"/>
      <w:r>
        <w:rPr>
          <w:szCs w:val="22"/>
        </w:rPr>
        <w:t>ketoprofenu</w:t>
      </w:r>
      <w:proofErr w:type="spellEnd"/>
      <w:r>
        <w:rPr>
          <w:szCs w:val="22"/>
        </w:rPr>
        <w:t xml:space="preserve">, po podání kombinovaného přípravku, při 3 mg </w:t>
      </w:r>
      <w:proofErr w:type="spellStart"/>
      <w:r>
        <w:rPr>
          <w:szCs w:val="22"/>
        </w:rPr>
        <w:t>ketoprofenu</w:t>
      </w:r>
      <w:proofErr w:type="spellEnd"/>
      <w:r>
        <w:rPr>
          <w:szCs w:val="22"/>
        </w:rPr>
        <w:t xml:space="preserve">/kg živé hmotnosti, se farmakokinetika </w:t>
      </w:r>
      <w:proofErr w:type="spellStart"/>
      <w:r>
        <w:rPr>
          <w:szCs w:val="22"/>
        </w:rPr>
        <w:t>ketoprofenu</w:t>
      </w:r>
      <w:proofErr w:type="spellEnd"/>
      <w:r>
        <w:rPr>
          <w:szCs w:val="22"/>
        </w:rPr>
        <w:t xml:space="preserve"> řídí tzv. flip-flop kinetikou. Průměrná hodnota </w:t>
      </w:r>
      <w:proofErr w:type="spellStart"/>
      <w:r>
        <w:rPr>
          <w:szCs w:val="22"/>
        </w:rPr>
        <w:t>C</w:t>
      </w:r>
      <w:r>
        <w:rPr>
          <w:szCs w:val="22"/>
          <w:vertAlign w:val="subscript"/>
        </w:rPr>
        <w:t>max</w:t>
      </w:r>
      <w:proofErr w:type="spellEnd"/>
      <w:r>
        <w:rPr>
          <w:szCs w:val="22"/>
        </w:rPr>
        <w:t xml:space="preserve"> v plazmě byla 2</w:t>
      </w:r>
      <w:r w:rsidR="003B5119">
        <w:rPr>
          <w:szCs w:val="22"/>
        </w:rPr>
        <w:t> </w:t>
      </w:r>
      <w:proofErr w:type="spellStart"/>
      <w:r>
        <w:rPr>
          <w:szCs w:val="22"/>
        </w:rPr>
        <w:t>μg</w:t>
      </w:r>
      <w:proofErr w:type="spellEnd"/>
      <w:r>
        <w:rPr>
          <w:szCs w:val="22"/>
        </w:rPr>
        <w:t xml:space="preserve">/ml, což bylo v průměru dosaženo za 4 hodiny. Terminální poločas </w:t>
      </w:r>
      <w:proofErr w:type="spellStart"/>
      <w:r>
        <w:rPr>
          <w:szCs w:val="22"/>
        </w:rPr>
        <w:t>ketoprofenu</w:t>
      </w:r>
      <w:proofErr w:type="spellEnd"/>
      <w:r>
        <w:rPr>
          <w:szCs w:val="22"/>
        </w:rPr>
        <w:t xml:space="preserve"> určuje především pomalá absorpce a je odhadován na 6,8 hodiny.</w:t>
      </w:r>
    </w:p>
    <w:p w14:paraId="05CF228C" w14:textId="77777777" w:rsidR="003E58B3" w:rsidRDefault="003E58B3">
      <w:pPr>
        <w:rPr>
          <w:szCs w:val="22"/>
        </w:rPr>
      </w:pPr>
    </w:p>
    <w:p w14:paraId="05CF228D" w14:textId="65C2C648" w:rsidR="003E58B3" w:rsidRDefault="00F675C6">
      <w:pPr>
        <w:rPr>
          <w:szCs w:val="22"/>
        </w:rPr>
      </w:pPr>
      <w:r>
        <w:rPr>
          <w:szCs w:val="22"/>
        </w:rPr>
        <w:t xml:space="preserve">Dále bylo po subkutánním podání kombinace </w:t>
      </w:r>
      <w:proofErr w:type="spellStart"/>
      <w:r>
        <w:rPr>
          <w:szCs w:val="22"/>
        </w:rPr>
        <w:t>tulathromycin-ketoprofen</w:t>
      </w:r>
      <w:proofErr w:type="spellEnd"/>
      <w:r>
        <w:rPr>
          <w:szCs w:val="22"/>
        </w:rPr>
        <w:t xml:space="preserve"> pozorováno zpoždění absorpce, s nižší maximální koncentrací </w:t>
      </w:r>
      <w:proofErr w:type="spellStart"/>
      <w:r>
        <w:rPr>
          <w:szCs w:val="22"/>
        </w:rPr>
        <w:t>ketoprofenu</w:t>
      </w:r>
      <w:proofErr w:type="spellEnd"/>
      <w:r>
        <w:rPr>
          <w:szCs w:val="22"/>
        </w:rPr>
        <w:t xml:space="preserve"> a delším poločasem eliminace ve srovnání s</w:t>
      </w:r>
      <w:r w:rsidR="003B5119">
        <w:rPr>
          <w:szCs w:val="22"/>
        </w:rPr>
        <w:t> </w:t>
      </w:r>
      <w:r>
        <w:rPr>
          <w:szCs w:val="22"/>
        </w:rPr>
        <w:t xml:space="preserve">podáním látky samotné. </w:t>
      </w:r>
    </w:p>
    <w:p w14:paraId="05CF228E" w14:textId="77777777" w:rsidR="003E58B3" w:rsidRDefault="003E58B3">
      <w:pPr>
        <w:rPr>
          <w:szCs w:val="22"/>
        </w:rPr>
      </w:pPr>
    </w:p>
    <w:p w14:paraId="05CF228F" w14:textId="77777777" w:rsidR="003E58B3" w:rsidRDefault="00F675C6">
      <w:pPr>
        <w:rPr>
          <w:szCs w:val="22"/>
        </w:rPr>
      </w:pPr>
      <w:proofErr w:type="spellStart"/>
      <w:r>
        <w:rPr>
          <w:szCs w:val="22"/>
        </w:rPr>
        <w:t>Ketoprofen</w:t>
      </w:r>
      <w:proofErr w:type="spellEnd"/>
      <w:r>
        <w:rPr>
          <w:szCs w:val="22"/>
        </w:rPr>
        <w:t xml:space="preserve"> v kombinovaném přípravku je racemická směs dvou </w:t>
      </w:r>
      <w:proofErr w:type="spellStart"/>
      <w:r>
        <w:rPr>
          <w:szCs w:val="22"/>
        </w:rPr>
        <w:t>enantiomerů</w:t>
      </w:r>
      <w:proofErr w:type="spellEnd"/>
      <w:r>
        <w:rPr>
          <w:szCs w:val="22"/>
        </w:rPr>
        <w:t xml:space="preserve">, </w:t>
      </w:r>
      <w:proofErr w:type="gramStart"/>
      <w:r>
        <w:rPr>
          <w:szCs w:val="22"/>
        </w:rPr>
        <w:t>S(</w:t>
      </w:r>
      <w:proofErr w:type="gramEnd"/>
      <w:r>
        <w:rPr>
          <w:szCs w:val="22"/>
        </w:rPr>
        <w:t xml:space="preserve">+) a R(-).  Podle údajů získaných na modelech </w:t>
      </w:r>
      <w:r>
        <w:rPr>
          <w:i/>
          <w:szCs w:val="22"/>
        </w:rPr>
        <w:t>in vitro</w:t>
      </w:r>
      <w:r>
        <w:rPr>
          <w:szCs w:val="22"/>
        </w:rPr>
        <w:t xml:space="preserve"> je </w:t>
      </w:r>
      <w:proofErr w:type="gramStart"/>
      <w:r>
        <w:rPr>
          <w:szCs w:val="22"/>
        </w:rPr>
        <w:t>S(</w:t>
      </w:r>
      <w:proofErr w:type="gramEnd"/>
      <w:r>
        <w:rPr>
          <w:szCs w:val="22"/>
        </w:rPr>
        <w:t xml:space="preserve">+) </w:t>
      </w:r>
      <w:proofErr w:type="spellStart"/>
      <w:r>
        <w:rPr>
          <w:szCs w:val="22"/>
        </w:rPr>
        <w:t>enantiomer</w:t>
      </w:r>
      <w:proofErr w:type="spellEnd"/>
      <w:r>
        <w:rPr>
          <w:szCs w:val="22"/>
        </w:rPr>
        <w:t xml:space="preserve"> 250krát silnější než R(-) </w:t>
      </w:r>
      <w:proofErr w:type="spellStart"/>
      <w:r>
        <w:rPr>
          <w:szCs w:val="22"/>
        </w:rPr>
        <w:t>enantiomer</w:t>
      </w:r>
      <w:proofErr w:type="spellEnd"/>
      <w:r>
        <w:rPr>
          <w:szCs w:val="22"/>
        </w:rPr>
        <w:t>.  Uvádí se, že po intravenózním podání R-</w:t>
      </w:r>
      <w:proofErr w:type="spellStart"/>
      <w:r>
        <w:rPr>
          <w:szCs w:val="22"/>
        </w:rPr>
        <w:t>ketoprofenu</w:t>
      </w:r>
      <w:proofErr w:type="spellEnd"/>
      <w:r>
        <w:rPr>
          <w:szCs w:val="22"/>
        </w:rPr>
        <w:t xml:space="preserve"> u skotu činí inverze R-</w:t>
      </w:r>
      <w:proofErr w:type="spellStart"/>
      <w:r>
        <w:rPr>
          <w:szCs w:val="22"/>
        </w:rPr>
        <w:t>ketoprofenu</w:t>
      </w:r>
      <w:proofErr w:type="spellEnd"/>
      <w:r>
        <w:rPr>
          <w:szCs w:val="22"/>
        </w:rPr>
        <w:t xml:space="preserve"> na S-</w:t>
      </w:r>
      <w:proofErr w:type="spellStart"/>
      <w:r>
        <w:rPr>
          <w:szCs w:val="22"/>
        </w:rPr>
        <w:t>ketoprofen</w:t>
      </w:r>
      <w:proofErr w:type="spellEnd"/>
      <w:r>
        <w:rPr>
          <w:szCs w:val="22"/>
        </w:rPr>
        <w:t xml:space="preserve"> </w:t>
      </w:r>
      <w:proofErr w:type="gramStart"/>
      <w:r>
        <w:rPr>
          <w:szCs w:val="22"/>
        </w:rPr>
        <w:t>31%</w:t>
      </w:r>
      <w:proofErr w:type="gramEnd"/>
      <w:r>
        <w:rPr>
          <w:szCs w:val="22"/>
        </w:rPr>
        <w:t>.</w:t>
      </w:r>
    </w:p>
    <w:p w14:paraId="05CF2290" w14:textId="11468CCA" w:rsidR="003E58B3" w:rsidRDefault="003E58B3">
      <w:pPr>
        <w:tabs>
          <w:tab w:val="clear" w:pos="567"/>
        </w:tabs>
        <w:spacing w:line="240" w:lineRule="auto"/>
        <w:rPr>
          <w:szCs w:val="22"/>
        </w:rPr>
      </w:pPr>
    </w:p>
    <w:p w14:paraId="5A93EBB6" w14:textId="77777777" w:rsidR="00A1444E" w:rsidRDefault="00A1444E">
      <w:pPr>
        <w:tabs>
          <w:tab w:val="clear" w:pos="567"/>
        </w:tabs>
        <w:spacing w:line="240" w:lineRule="auto"/>
        <w:rPr>
          <w:szCs w:val="22"/>
        </w:rPr>
      </w:pPr>
    </w:p>
    <w:p w14:paraId="05CF2295" w14:textId="77777777" w:rsidR="003E58B3" w:rsidRDefault="00F675C6" w:rsidP="00254D2D">
      <w:pPr>
        <w:pStyle w:val="Style1"/>
        <w:keepNext/>
      </w:pPr>
      <w:r>
        <w:lastRenderedPageBreak/>
        <w:t>5.</w:t>
      </w:r>
      <w:r>
        <w:tab/>
        <w:t>FARMACEUTICKÉ ÚDAJE</w:t>
      </w:r>
    </w:p>
    <w:p w14:paraId="05CF2296" w14:textId="77777777" w:rsidR="003E58B3" w:rsidRDefault="003E58B3" w:rsidP="00254D2D">
      <w:pPr>
        <w:keepNext/>
        <w:tabs>
          <w:tab w:val="clear" w:pos="567"/>
        </w:tabs>
        <w:spacing w:line="240" w:lineRule="auto"/>
        <w:rPr>
          <w:szCs w:val="22"/>
        </w:rPr>
      </w:pPr>
    </w:p>
    <w:p w14:paraId="05CF2297" w14:textId="77777777" w:rsidR="003E58B3" w:rsidRDefault="00F675C6" w:rsidP="00254D2D">
      <w:pPr>
        <w:pStyle w:val="Style1"/>
        <w:keepNext/>
      </w:pPr>
      <w:r>
        <w:t>5.1</w:t>
      </w:r>
      <w:r>
        <w:tab/>
        <w:t>Hlavní inkompatibility</w:t>
      </w:r>
    </w:p>
    <w:p w14:paraId="05CF2298" w14:textId="77777777" w:rsidR="003E58B3" w:rsidRDefault="003E58B3" w:rsidP="000A6CC8">
      <w:pPr>
        <w:pStyle w:val="SPCheader2"/>
        <w:numPr>
          <w:ilvl w:val="0"/>
          <w:numId w:val="0"/>
        </w:numPr>
        <w:spacing w:before="0" w:after="0"/>
        <w:ind w:left="11"/>
        <w:outlineLvl w:val="9"/>
        <w:rPr>
          <w:sz w:val="22"/>
          <w:szCs w:val="22"/>
          <w:lang w:val="cs-CZ"/>
        </w:rPr>
      </w:pPr>
    </w:p>
    <w:p w14:paraId="05CF2299" w14:textId="6397B878" w:rsidR="003E58B3" w:rsidRDefault="00F675C6">
      <w:pPr>
        <w:ind w:firstLine="11"/>
        <w:rPr>
          <w:szCs w:val="22"/>
        </w:rPr>
      </w:pPr>
      <w:r>
        <w:rPr>
          <w:szCs w:val="22"/>
        </w:rPr>
        <w:t>Studie kompatibility nejsou k dispozici, a proto tento veterinární léčivý přípravek nesmí být mísen s</w:t>
      </w:r>
      <w:r w:rsidR="00574C46">
        <w:rPr>
          <w:szCs w:val="22"/>
        </w:rPr>
        <w:t> </w:t>
      </w:r>
      <w:r>
        <w:rPr>
          <w:szCs w:val="22"/>
        </w:rPr>
        <w:t>žádnými dalšími veterinárními léčivými přípravky.</w:t>
      </w:r>
    </w:p>
    <w:p w14:paraId="05CF229A" w14:textId="77777777" w:rsidR="003E58B3" w:rsidRDefault="003E58B3">
      <w:pPr>
        <w:tabs>
          <w:tab w:val="clear" w:pos="567"/>
        </w:tabs>
        <w:spacing w:line="240" w:lineRule="auto"/>
        <w:rPr>
          <w:szCs w:val="22"/>
        </w:rPr>
      </w:pPr>
    </w:p>
    <w:p w14:paraId="05CF229B" w14:textId="77777777" w:rsidR="003E58B3" w:rsidRDefault="00F675C6">
      <w:pPr>
        <w:pStyle w:val="Style1"/>
      </w:pPr>
      <w:r>
        <w:t>5.2</w:t>
      </w:r>
      <w:r>
        <w:tab/>
        <w:t>Doba použitelnosti</w:t>
      </w:r>
    </w:p>
    <w:p w14:paraId="05CF229C" w14:textId="77777777" w:rsidR="003E58B3" w:rsidRDefault="003E58B3">
      <w:pPr>
        <w:pStyle w:val="SPCheader2"/>
        <w:numPr>
          <w:ilvl w:val="0"/>
          <w:numId w:val="0"/>
        </w:numPr>
        <w:spacing w:before="0" w:after="0"/>
        <w:ind w:left="11"/>
        <w:outlineLvl w:val="9"/>
        <w:rPr>
          <w:sz w:val="22"/>
          <w:szCs w:val="22"/>
          <w:lang w:val="cs-CZ"/>
        </w:rPr>
      </w:pPr>
    </w:p>
    <w:p w14:paraId="05CF229D" w14:textId="77777777" w:rsidR="003E58B3" w:rsidRDefault="00F675C6">
      <w:pPr>
        <w:ind w:firstLine="11"/>
        <w:rPr>
          <w:szCs w:val="22"/>
        </w:rPr>
      </w:pPr>
      <w:bookmarkStart w:id="4" w:name="_Hlk20901246"/>
      <w:r>
        <w:rPr>
          <w:szCs w:val="22"/>
        </w:rPr>
        <w:t xml:space="preserve">Doba použitelnosti veterinárního léčivého přípravku v neporušeném obalu: 2 roky. </w:t>
      </w:r>
    </w:p>
    <w:bookmarkEnd w:id="4"/>
    <w:p w14:paraId="05CF229E" w14:textId="77777777" w:rsidR="003E58B3" w:rsidRDefault="00F675C6">
      <w:pPr>
        <w:ind w:firstLine="11"/>
        <w:rPr>
          <w:szCs w:val="22"/>
        </w:rPr>
      </w:pPr>
      <w:r>
        <w:rPr>
          <w:szCs w:val="22"/>
        </w:rPr>
        <w:t>Doba použitelnosti po prvním otevření vnitřního obalu: 56 dnů.</w:t>
      </w:r>
    </w:p>
    <w:p w14:paraId="05CF229F" w14:textId="77777777" w:rsidR="003E58B3" w:rsidRDefault="003E58B3">
      <w:pPr>
        <w:tabs>
          <w:tab w:val="clear" w:pos="567"/>
        </w:tabs>
        <w:spacing w:line="240" w:lineRule="auto"/>
        <w:rPr>
          <w:szCs w:val="22"/>
        </w:rPr>
      </w:pPr>
    </w:p>
    <w:p w14:paraId="05CF22A0" w14:textId="77777777" w:rsidR="003E58B3" w:rsidRDefault="00F675C6">
      <w:pPr>
        <w:pStyle w:val="Style1"/>
      </w:pPr>
      <w:r>
        <w:t>5.3</w:t>
      </w:r>
      <w:r>
        <w:tab/>
        <w:t>Zvláštní opatření pro uchovávání</w:t>
      </w:r>
    </w:p>
    <w:p w14:paraId="05CF22A1" w14:textId="77777777" w:rsidR="003E58B3" w:rsidRDefault="003E58B3">
      <w:pPr>
        <w:tabs>
          <w:tab w:val="clear" w:pos="567"/>
        </w:tabs>
        <w:spacing w:line="240" w:lineRule="auto"/>
        <w:rPr>
          <w:szCs w:val="22"/>
        </w:rPr>
      </w:pPr>
    </w:p>
    <w:p w14:paraId="05CF22A2" w14:textId="77777777" w:rsidR="003E58B3" w:rsidRDefault="00F675C6">
      <w:pPr>
        <w:tabs>
          <w:tab w:val="clear" w:pos="567"/>
        </w:tabs>
        <w:spacing w:line="240" w:lineRule="auto"/>
        <w:rPr>
          <w:szCs w:val="22"/>
        </w:rPr>
      </w:pPr>
      <w:r>
        <w:rPr>
          <w:szCs w:val="22"/>
        </w:rPr>
        <w:t>Chraňte před mrazem.</w:t>
      </w:r>
    </w:p>
    <w:p w14:paraId="05CF22A3" w14:textId="77777777" w:rsidR="003E58B3" w:rsidRDefault="003E58B3">
      <w:pPr>
        <w:tabs>
          <w:tab w:val="clear" w:pos="567"/>
        </w:tabs>
        <w:spacing w:line="240" w:lineRule="auto"/>
        <w:rPr>
          <w:szCs w:val="22"/>
        </w:rPr>
      </w:pPr>
    </w:p>
    <w:p w14:paraId="05CF22A4" w14:textId="77777777" w:rsidR="003E58B3" w:rsidRDefault="00F675C6">
      <w:pPr>
        <w:pStyle w:val="Style1"/>
      </w:pPr>
      <w:r>
        <w:t>5.4</w:t>
      </w:r>
      <w:r>
        <w:tab/>
        <w:t>Druh a složení vnitřního obalu</w:t>
      </w:r>
    </w:p>
    <w:p w14:paraId="05CF22A5" w14:textId="77777777" w:rsidR="003E58B3" w:rsidRDefault="003E58B3">
      <w:pPr>
        <w:tabs>
          <w:tab w:val="clear" w:pos="567"/>
        </w:tabs>
        <w:spacing w:line="240" w:lineRule="auto"/>
        <w:rPr>
          <w:szCs w:val="22"/>
        </w:rPr>
      </w:pPr>
    </w:p>
    <w:p w14:paraId="05CF22A6" w14:textId="4E8CAEC8" w:rsidR="003E58B3" w:rsidRDefault="00F675C6">
      <w:pPr>
        <w:autoSpaceDE w:val="0"/>
        <w:autoSpaceDN w:val="0"/>
        <w:adjustRightInd w:val="0"/>
        <w:rPr>
          <w:szCs w:val="22"/>
          <w:lang w:eastAsia="en-GB"/>
        </w:rPr>
      </w:pPr>
      <w:r>
        <w:rPr>
          <w:szCs w:val="22"/>
          <w:lang w:eastAsia="en-GB"/>
        </w:rPr>
        <w:t xml:space="preserve">Jantarová skleněná injekční lahvička typu </w:t>
      </w:r>
      <w:proofErr w:type="gramStart"/>
      <w:r>
        <w:rPr>
          <w:szCs w:val="22"/>
          <w:lang w:eastAsia="en-GB"/>
        </w:rPr>
        <w:t>I</w:t>
      </w:r>
      <w:proofErr w:type="gramEnd"/>
      <w:r>
        <w:rPr>
          <w:szCs w:val="22"/>
          <w:lang w:eastAsia="en-GB"/>
        </w:rPr>
        <w:t xml:space="preserve"> se zátkou z </w:t>
      </w:r>
      <w:proofErr w:type="spellStart"/>
      <w:r>
        <w:rPr>
          <w:szCs w:val="22"/>
          <w:lang w:eastAsia="en-GB"/>
        </w:rPr>
        <w:t>chlorobutylové</w:t>
      </w:r>
      <w:proofErr w:type="spellEnd"/>
      <w:r>
        <w:rPr>
          <w:szCs w:val="22"/>
          <w:lang w:eastAsia="en-GB"/>
        </w:rPr>
        <w:t xml:space="preserve"> pryže pokrytou </w:t>
      </w:r>
      <w:proofErr w:type="spellStart"/>
      <w:r>
        <w:rPr>
          <w:szCs w:val="22"/>
          <w:lang w:eastAsia="en-GB"/>
        </w:rPr>
        <w:t>fluoropolymerem</w:t>
      </w:r>
      <w:proofErr w:type="spellEnd"/>
      <w:r>
        <w:rPr>
          <w:szCs w:val="22"/>
          <w:lang w:eastAsia="en-GB"/>
        </w:rPr>
        <w:t xml:space="preserve"> a hliníkov</w:t>
      </w:r>
      <w:r w:rsidR="006C54D0">
        <w:rPr>
          <w:szCs w:val="22"/>
          <w:lang w:eastAsia="en-GB"/>
        </w:rPr>
        <w:t xml:space="preserve">ým </w:t>
      </w:r>
      <w:proofErr w:type="spellStart"/>
      <w:r w:rsidR="006C54D0">
        <w:rPr>
          <w:szCs w:val="22"/>
          <w:lang w:eastAsia="en-GB"/>
        </w:rPr>
        <w:t>pertlem</w:t>
      </w:r>
      <w:proofErr w:type="spellEnd"/>
      <w:r>
        <w:rPr>
          <w:szCs w:val="22"/>
          <w:lang w:eastAsia="en-GB"/>
        </w:rPr>
        <w:t>.</w:t>
      </w:r>
    </w:p>
    <w:p w14:paraId="05CF22A7" w14:textId="77777777" w:rsidR="003E58B3" w:rsidRDefault="003E58B3">
      <w:pPr>
        <w:jc w:val="both"/>
        <w:rPr>
          <w:spacing w:val="-2"/>
          <w:szCs w:val="22"/>
          <w:u w:val="single"/>
          <w:lang w:eastAsia="en-GB"/>
        </w:rPr>
      </w:pPr>
    </w:p>
    <w:p w14:paraId="05CF22A8" w14:textId="77777777" w:rsidR="003E58B3" w:rsidRDefault="00F675C6">
      <w:pPr>
        <w:jc w:val="both"/>
        <w:rPr>
          <w:spacing w:val="-2"/>
          <w:szCs w:val="22"/>
          <w:u w:val="single"/>
          <w:lang w:eastAsia="en-GB"/>
        </w:rPr>
      </w:pPr>
      <w:r>
        <w:rPr>
          <w:spacing w:val="-2"/>
          <w:szCs w:val="22"/>
          <w:u w:val="single"/>
          <w:lang w:eastAsia="en-GB"/>
        </w:rPr>
        <w:t>Velikosti balení:</w:t>
      </w:r>
    </w:p>
    <w:p w14:paraId="05CF22A9" w14:textId="77777777" w:rsidR="003E58B3" w:rsidRDefault="00F675C6">
      <w:pPr>
        <w:jc w:val="both"/>
        <w:rPr>
          <w:spacing w:val="-2"/>
          <w:szCs w:val="22"/>
          <w:lang w:eastAsia="en-GB"/>
        </w:rPr>
      </w:pPr>
      <w:r>
        <w:rPr>
          <w:spacing w:val="-2"/>
          <w:szCs w:val="22"/>
          <w:lang w:eastAsia="en-GB"/>
        </w:rPr>
        <w:t>Kartónová krabička obsahující 1 injekční lahvičku o obsahu 50 ml</w:t>
      </w:r>
    </w:p>
    <w:p w14:paraId="05CF22AA" w14:textId="77777777" w:rsidR="003E58B3" w:rsidRDefault="00F675C6">
      <w:pPr>
        <w:jc w:val="both"/>
        <w:rPr>
          <w:spacing w:val="-2"/>
          <w:szCs w:val="22"/>
          <w:lang w:eastAsia="en-GB"/>
        </w:rPr>
      </w:pPr>
      <w:r>
        <w:rPr>
          <w:spacing w:val="-2"/>
          <w:szCs w:val="22"/>
          <w:lang w:eastAsia="en-GB"/>
        </w:rPr>
        <w:t>Kartónová krabička obsahující 1 injekční lahvičku o obsahu 100 ml</w:t>
      </w:r>
    </w:p>
    <w:p w14:paraId="05CF22AB" w14:textId="77777777" w:rsidR="003E58B3" w:rsidRDefault="00F675C6">
      <w:pPr>
        <w:jc w:val="both"/>
        <w:rPr>
          <w:spacing w:val="-2"/>
          <w:szCs w:val="22"/>
          <w:lang w:eastAsia="en-GB"/>
        </w:rPr>
      </w:pPr>
      <w:r>
        <w:rPr>
          <w:spacing w:val="-2"/>
          <w:szCs w:val="22"/>
          <w:lang w:eastAsia="en-GB"/>
        </w:rPr>
        <w:t>Kartónová krabička obsahující 1 injekční lahvičku o obsahu 250 ml</w:t>
      </w:r>
    </w:p>
    <w:p w14:paraId="05CF22AC" w14:textId="77777777" w:rsidR="003E58B3" w:rsidRDefault="003E58B3">
      <w:pPr>
        <w:rPr>
          <w:szCs w:val="22"/>
          <w:lang w:eastAsia="en-GB"/>
        </w:rPr>
      </w:pPr>
    </w:p>
    <w:p w14:paraId="05CF22AD" w14:textId="77777777" w:rsidR="003E58B3" w:rsidRDefault="00F675C6">
      <w:pPr>
        <w:rPr>
          <w:bCs/>
          <w:szCs w:val="22"/>
        </w:rPr>
      </w:pPr>
      <w:r>
        <w:rPr>
          <w:rFonts w:eastAsia="TimesNewRomanPSMT"/>
          <w:szCs w:val="22"/>
          <w:lang w:eastAsia="en-GB"/>
        </w:rPr>
        <w:t>Na trhu nemusí být všechny velikosti balení.</w:t>
      </w:r>
    </w:p>
    <w:p w14:paraId="05CF22AE" w14:textId="77777777" w:rsidR="003E58B3" w:rsidRDefault="003E58B3">
      <w:pPr>
        <w:tabs>
          <w:tab w:val="clear" w:pos="567"/>
        </w:tabs>
        <w:spacing w:line="240" w:lineRule="auto"/>
        <w:rPr>
          <w:szCs w:val="22"/>
        </w:rPr>
      </w:pPr>
    </w:p>
    <w:p w14:paraId="05CF22AF" w14:textId="317DEC6C" w:rsidR="003E58B3" w:rsidRDefault="00F675C6">
      <w:pPr>
        <w:pStyle w:val="Style1"/>
      </w:pPr>
      <w:r>
        <w:t>5.5</w:t>
      </w:r>
      <w:r>
        <w:tab/>
        <w:t>Zvláštní opatření pro likvidaci nepoužit</w:t>
      </w:r>
      <w:r w:rsidR="007C2CF6">
        <w:t>ých</w:t>
      </w:r>
      <w:r>
        <w:t xml:space="preserve"> veterinární</w:t>
      </w:r>
      <w:r w:rsidR="007C2CF6">
        <w:t>c</w:t>
      </w:r>
      <w:r>
        <w:t>h léčiv</w:t>
      </w:r>
      <w:r w:rsidR="00025093">
        <w:t>ých</w:t>
      </w:r>
      <w:r>
        <w:t xml:space="preserve"> přípravk</w:t>
      </w:r>
      <w:r w:rsidR="00025093">
        <w:t>ů</w:t>
      </w:r>
      <w:r>
        <w:t xml:space="preserve"> nebo odpad</w:t>
      </w:r>
      <w:r w:rsidR="00025093">
        <w:t>ů</w:t>
      </w:r>
      <w:r>
        <w:t>, kter</w:t>
      </w:r>
      <w:r w:rsidR="00025093">
        <w:t>é</w:t>
      </w:r>
      <w:r>
        <w:t xml:space="preserve"> pochází z </w:t>
      </w:r>
      <w:r w:rsidR="00025093">
        <w:t xml:space="preserve">těchto </w:t>
      </w:r>
      <w:r>
        <w:t>přípravk</w:t>
      </w:r>
      <w:r w:rsidR="00025093">
        <w:t>ů</w:t>
      </w:r>
    </w:p>
    <w:p w14:paraId="1AEB421C" w14:textId="77777777" w:rsidR="0042720B" w:rsidRDefault="0042720B">
      <w:pPr>
        <w:pStyle w:val="Style1"/>
      </w:pPr>
    </w:p>
    <w:p w14:paraId="3107E74A" w14:textId="77777777" w:rsidR="00DE76C0" w:rsidRPr="00B41D57" w:rsidRDefault="00DE76C0" w:rsidP="00DE76C0">
      <w:pPr>
        <w:rPr>
          <w:szCs w:val="22"/>
        </w:rPr>
      </w:pPr>
      <w:r w:rsidRPr="00B41D57">
        <w:t>Léčivé přípravky se nesmí likvidovat prostřednictvím odpadní vody či domovního odpadu.</w:t>
      </w:r>
    </w:p>
    <w:p w14:paraId="425D814C" w14:textId="12C6C56E" w:rsidR="002B33AC" w:rsidRDefault="002B33AC" w:rsidP="002B33AC">
      <w:pPr>
        <w:tabs>
          <w:tab w:val="clear" w:pos="567"/>
        </w:tabs>
        <w:spacing w:line="240" w:lineRule="auto"/>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5CF22B2" w14:textId="77777777" w:rsidR="003E58B3" w:rsidRDefault="003E58B3">
      <w:pPr>
        <w:tabs>
          <w:tab w:val="clear" w:pos="567"/>
        </w:tabs>
        <w:spacing w:line="240" w:lineRule="auto"/>
        <w:rPr>
          <w:szCs w:val="22"/>
        </w:rPr>
      </w:pPr>
    </w:p>
    <w:p w14:paraId="05CF22B3" w14:textId="77777777" w:rsidR="003E58B3" w:rsidRDefault="003E58B3">
      <w:pPr>
        <w:tabs>
          <w:tab w:val="clear" w:pos="567"/>
        </w:tabs>
        <w:spacing w:line="240" w:lineRule="auto"/>
        <w:rPr>
          <w:szCs w:val="22"/>
        </w:rPr>
      </w:pPr>
    </w:p>
    <w:p w14:paraId="05CF22B4" w14:textId="77777777" w:rsidR="003E58B3" w:rsidRDefault="00F675C6">
      <w:pPr>
        <w:pStyle w:val="Style1"/>
      </w:pPr>
      <w:r>
        <w:t>6.</w:t>
      </w:r>
      <w:r>
        <w:tab/>
        <w:t>JMÉNO DRŽITELE ROZHODNUTÍ O REGISTRACI</w:t>
      </w:r>
    </w:p>
    <w:p w14:paraId="05CF22B5" w14:textId="77777777" w:rsidR="003E58B3" w:rsidRDefault="003E58B3">
      <w:pPr>
        <w:tabs>
          <w:tab w:val="clear" w:pos="567"/>
        </w:tabs>
        <w:spacing w:line="240" w:lineRule="auto"/>
        <w:rPr>
          <w:szCs w:val="22"/>
        </w:rPr>
      </w:pPr>
    </w:p>
    <w:p w14:paraId="05CF22B6" w14:textId="77777777" w:rsidR="003E58B3" w:rsidRDefault="00F675C6">
      <w:pPr>
        <w:rPr>
          <w:noProof/>
          <w:szCs w:val="22"/>
        </w:rPr>
      </w:pPr>
      <w:r>
        <w:rPr>
          <w:noProof/>
          <w:szCs w:val="22"/>
        </w:rPr>
        <w:t>Zoetis Česká republika, s.r.o.</w:t>
      </w:r>
    </w:p>
    <w:p w14:paraId="05CF22BA" w14:textId="77777777" w:rsidR="003E58B3" w:rsidRDefault="003E58B3">
      <w:pPr>
        <w:tabs>
          <w:tab w:val="clear" w:pos="567"/>
        </w:tabs>
        <w:spacing w:line="240" w:lineRule="auto"/>
        <w:rPr>
          <w:szCs w:val="22"/>
        </w:rPr>
      </w:pPr>
    </w:p>
    <w:p w14:paraId="05CF22BB" w14:textId="77777777" w:rsidR="003E58B3" w:rsidRDefault="003E58B3">
      <w:pPr>
        <w:tabs>
          <w:tab w:val="clear" w:pos="567"/>
        </w:tabs>
        <w:spacing w:line="240" w:lineRule="auto"/>
        <w:rPr>
          <w:szCs w:val="22"/>
        </w:rPr>
      </w:pPr>
    </w:p>
    <w:p w14:paraId="05CF22BC" w14:textId="77777777" w:rsidR="003E58B3" w:rsidRDefault="00F675C6">
      <w:pPr>
        <w:pStyle w:val="Style1"/>
      </w:pPr>
      <w:r>
        <w:t>7.</w:t>
      </w:r>
      <w:r>
        <w:tab/>
        <w:t>REGISTRAČNÍ ČÍSLO(A)</w:t>
      </w:r>
    </w:p>
    <w:p w14:paraId="05CF22BD" w14:textId="77777777" w:rsidR="003E58B3" w:rsidRDefault="003E58B3">
      <w:pPr>
        <w:tabs>
          <w:tab w:val="clear" w:pos="567"/>
        </w:tabs>
        <w:spacing w:line="240" w:lineRule="auto"/>
        <w:rPr>
          <w:szCs w:val="22"/>
        </w:rPr>
      </w:pPr>
    </w:p>
    <w:p w14:paraId="05CF22BE" w14:textId="77777777" w:rsidR="003E58B3" w:rsidRDefault="00F675C6">
      <w:pPr>
        <w:tabs>
          <w:tab w:val="clear" w:pos="567"/>
        </w:tabs>
        <w:spacing w:line="240" w:lineRule="auto"/>
        <w:rPr>
          <w:szCs w:val="22"/>
        </w:rPr>
      </w:pPr>
      <w:r>
        <w:rPr>
          <w:szCs w:val="22"/>
        </w:rPr>
        <w:t>96/047/</w:t>
      </w:r>
      <w:proofErr w:type="gramStart"/>
      <w:r>
        <w:rPr>
          <w:szCs w:val="22"/>
        </w:rPr>
        <w:t>20-C</w:t>
      </w:r>
      <w:proofErr w:type="gramEnd"/>
    </w:p>
    <w:p w14:paraId="05CF22BF" w14:textId="32F38CB6" w:rsidR="003E58B3" w:rsidRDefault="003E58B3">
      <w:pPr>
        <w:tabs>
          <w:tab w:val="clear" w:pos="567"/>
        </w:tabs>
        <w:spacing w:line="240" w:lineRule="auto"/>
        <w:rPr>
          <w:szCs w:val="22"/>
        </w:rPr>
      </w:pPr>
    </w:p>
    <w:p w14:paraId="4469E268" w14:textId="77777777" w:rsidR="00D305B2" w:rsidRDefault="00D305B2">
      <w:pPr>
        <w:tabs>
          <w:tab w:val="clear" w:pos="567"/>
        </w:tabs>
        <w:spacing w:line="240" w:lineRule="auto"/>
        <w:rPr>
          <w:szCs w:val="22"/>
        </w:rPr>
      </w:pPr>
    </w:p>
    <w:p w14:paraId="05CF22C0" w14:textId="77777777" w:rsidR="003E58B3" w:rsidRDefault="00F675C6">
      <w:pPr>
        <w:pStyle w:val="Style1"/>
      </w:pPr>
      <w:r>
        <w:t>8.</w:t>
      </w:r>
      <w:r>
        <w:tab/>
        <w:t>DATUM PRVNÍ REGISTRACE</w:t>
      </w:r>
    </w:p>
    <w:p w14:paraId="05CF22C1" w14:textId="77777777" w:rsidR="003E58B3" w:rsidRDefault="003E58B3">
      <w:pPr>
        <w:tabs>
          <w:tab w:val="clear" w:pos="567"/>
        </w:tabs>
        <w:spacing w:line="240" w:lineRule="auto"/>
        <w:rPr>
          <w:szCs w:val="22"/>
        </w:rPr>
      </w:pPr>
    </w:p>
    <w:p w14:paraId="05CF22C2" w14:textId="7D077446" w:rsidR="003E58B3" w:rsidRDefault="00301A65">
      <w:pPr>
        <w:tabs>
          <w:tab w:val="clear" w:pos="567"/>
        </w:tabs>
        <w:spacing w:line="240" w:lineRule="auto"/>
        <w:rPr>
          <w:bCs/>
          <w:szCs w:val="22"/>
        </w:rPr>
      </w:pPr>
      <w:r>
        <w:t xml:space="preserve">Datum první registrace: </w:t>
      </w:r>
      <w:r w:rsidR="00F675C6">
        <w:rPr>
          <w:bCs/>
          <w:szCs w:val="22"/>
        </w:rPr>
        <w:t>10. 6. 2020</w:t>
      </w:r>
    </w:p>
    <w:p w14:paraId="05CF22C3" w14:textId="34E76C3E" w:rsidR="003E58B3" w:rsidRDefault="003E58B3">
      <w:pPr>
        <w:tabs>
          <w:tab w:val="clear" w:pos="567"/>
        </w:tabs>
        <w:spacing w:line="240" w:lineRule="auto"/>
        <w:rPr>
          <w:szCs w:val="22"/>
        </w:rPr>
      </w:pPr>
    </w:p>
    <w:p w14:paraId="2D3059D8" w14:textId="77777777" w:rsidR="00D305B2" w:rsidRDefault="00D305B2">
      <w:pPr>
        <w:tabs>
          <w:tab w:val="clear" w:pos="567"/>
        </w:tabs>
        <w:spacing w:line="240" w:lineRule="auto"/>
        <w:rPr>
          <w:szCs w:val="22"/>
        </w:rPr>
      </w:pPr>
    </w:p>
    <w:p w14:paraId="05CF22C4" w14:textId="77777777" w:rsidR="003E58B3" w:rsidRDefault="00F675C6">
      <w:pPr>
        <w:pStyle w:val="Style1"/>
      </w:pPr>
      <w:r>
        <w:t>9.</w:t>
      </w:r>
      <w:r>
        <w:tab/>
        <w:t>DATUM POSLEDNÍ AKTUALIZACE SOUHRNU ÚDAJŮ O PŘÍPRAVKU</w:t>
      </w:r>
    </w:p>
    <w:p w14:paraId="49441DB5" w14:textId="77777777" w:rsidR="0046041B" w:rsidRPr="00514CC0" w:rsidRDefault="0046041B" w:rsidP="0046041B">
      <w:pPr>
        <w:pStyle w:val="SPCheader1"/>
        <w:tabs>
          <w:tab w:val="clear" w:pos="720"/>
        </w:tabs>
        <w:spacing w:before="0" w:after="0"/>
        <w:ind w:left="567" w:hanging="567"/>
        <w:outlineLvl w:val="9"/>
        <w:rPr>
          <w:sz w:val="22"/>
          <w:szCs w:val="22"/>
        </w:rPr>
      </w:pPr>
    </w:p>
    <w:p w14:paraId="55348391" w14:textId="2823726F" w:rsidR="0046041B" w:rsidRPr="0017439C" w:rsidRDefault="00815C5C" w:rsidP="0046041B">
      <w:pPr>
        <w:rPr>
          <w:szCs w:val="22"/>
        </w:rPr>
      </w:pPr>
      <w:r>
        <w:rPr>
          <w:szCs w:val="22"/>
        </w:rPr>
        <w:t>Únor</w:t>
      </w:r>
      <w:bookmarkStart w:id="5" w:name="_GoBack"/>
      <w:bookmarkEnd w:id="5"/>
      <w:r>
        <w:rPr>
          <w:szCs w:val="22"/>
        </w:rPr>
        <w:t xml:space="preserve"> </w:t>
      </w:r>
      <w:r w:rsidR="00543744">
        <w:rPr>
          <w:szCs w:val="22"/>
        </w:rPr>
        <w:t>2023</w:t>
      </w:r>
    </w:p>
    <w:p w14:paraId="05CF22C7" w14:textId="741B6424" w:rsidR="003E58B3" w:rsidRDefault="003E58B3">
      <w:pPr>
        <w:tabs>
          <w:tab w:val="clear" w:pos="567"/>
        </w:tabs>
        <w:spacing w:line="240" w:lineRule="auto"/>
        <w:rPr>
          <w:szCs w:val="22"/>
        </w:rPr>
      </w:pPr>
    </w:p>
    <w:p w14:paraId="59DD9EAE" w14:textId="77777777" w:rsidR="000A37FD" w:rsidRDefault="000A37FD">
      <w:pPr>
        <w:tabs>
          <w:tab w:val="clear" w:pos="567"/>
        </w:tabs>
        <w:spacing w:line="240" w:lineRule="auto"/>
        <w:rPr>
          <w:szCs w:val="22"/>
        </w:rPr>
      </w:pPr>
    </w:p>
    <w:p w14:paraId="05CF22C8" w14:textId="77777777" w:rsidR="003E58B3" w:rsidRDefault="00F675C6">
      <w:pPr>
        <w:pStyle w:val="Style1"/>
      </w:pPr>
      <w:r>
        <w:lastRenderedPageBreak/>
        <w:t>10.</w:t>
      </w:r>
      <w:r>
        <w:tab/>
        <w:t>KLASIFIKACE VETERINÁRNÍCH LÉČIVÝCH PŘÍPRAVKŮ</w:t>
      </w:r>
    </w:p>
    <w:p w14:paraId="05CF22C9" w14:textId="77777777" w:rsidR="003E58B3" w:rsidRDefault="003E58B3">
      <w:pPr>
        <w:tabs>
          <w:tab w:val="clear" w:pos="567"/>
        </w:tabs>
        <w:spacing w:line="240" w:lineRule="auto"/>
        <w:rPr>
          <w:szCs w:val="22"/>
        </w:rPr>
      </w:pPr>
    </w:p>
    <w:p w14:paraId="6CBD21AE" w14:textId="77777777" w:rsidR="00F5031C" w:rsidRDefault="00F675C6" w:rsidP="002B780D">
      <w:pPr>
        <w:ind w:right="-318"/>
        <w:rPr>
          <w:szCs w:val="22"/>
        </w:rPr>
      </w:pPr>
      <w:bookmarkStart w:id="6" w:name="_Hlk2180253"/>
      <w:r>
        <w:rPr>
          <w:szCs w:val="22"/>
        </w:rPr>
        <w:t>Veterinární léčivý přípravek je vydáván pouze na předpis.</w:t>
      </w:r>
      <w:bookmarkEnd w:id="6"/>
      <w:r w:rsidR="002B780D">
        <w:rPr>
          <w:szCs w:val="22"/>
        </w:rPr>
        <w:t xml:space="preserve"> </w:t>
      </w:r>
      <w:bookmarkStart w:id="7" w:name="_Hlk73467306"/>
    </w:p>
    <w:p w14:paraId="26642AB3" w14:textId="77777777" w:rsidR="007023BF" w:rsidRDefault="007023BF" w:rsidP="002B780D">
      <w:pPr>
        <w:ind w:right="-318"/>
        <w:rPr>
          <w:szCs w:val="22"/>
        </w:rPr>
      </w:pPr>
    </w:p>
    <w:p w14:paraId="12B0DB3E" w14:textId="1B36F510" w:rsidR="002B780D" w:rsidRPr="00B41D57" w:rsidRDefault="002B780D" w:rsidP="002B780D">
      <w:pPr>
        <w:ind w:right="-318"/>
        <w:rPr>
          <w:szCs w:val="22"/>
        </w:rPr>
      </w:pPr>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bookmarkEnd w:id="7"/>
    <w:p w14:paraId="05CF22CA" w14:textId="25D79192" w:rsidR="003E58B3" w:rsidRDefault="003E58B3">
      <w:pPr>
        <w:tabs>
          <w:tab w:val="clear" w:pos="567"/>
        </w:tabs>
        <w:spacing w:line="240" w:lineRule="auto"/>
        <w:rPr>
          <w:szCs w:val="22"/>
        </w:rPr>
      </w:pPr>
    </w:p>
    <w:p w14:paraId="05CF22CD" w14:textId="77777777" w:rsidR="003E58B3" w:rsidRDefault="003E58B3">
      <w:pPr>
        <w:tabs>
          <w:tab w:val="clear" w:pos="567"/>
        </w:tabs>
        <w:spacing w:line="240" w:lineRule="auto"/>
        <w:rPr>
          <w:szCs w:val="22"/>
        </w:rPr>
      </w:pPr>
    </w:p>
    <w:sectPr w:rsidR="003E58B3">
      <w:headerReference w:type="default" r:id="rId9"/>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B478" w14:textId="77777777" w:rsidR="00116B9A" w:rsidRDefault="00116B9A">
      <w:pPr>
        <w:spacing w:line="240" w:lineRule="auto"/>
      </w:pPr>
      <w:r>
        <w:separator/>
      </w:r>
    </w:p>
  </w:endnote>
  <w:endnote w:type="continuationSeparator" w:id="0">
    <w:p w14:paraId="220EF558" w14:textId="77777777" w:rsidR="00116B9A" w:rsidRDefault="00116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24D4" w14:textId="77777777" w:rsidR="003E58B3" w:rsidRDefault="00F675C6">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22</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24D5" w14:textId="77777777" w:rsidR="003E58B3" w:rsidRDefault="00F675C6">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AFBBC" w14:textId="77777777" w:rsidR="00116B9A" w:rsidRDefault="00116B9A">
      <w:pPr>
        <w:spacing w:line="240" w:lineRule="auto"/>
      </w:pPr>
      <w:r>
        <w:separator/>
      </w:r>
    </w:p>
  </w:footnote>
  <w:footnote w:type="continuationSeparator" w:id="0">
    <w:p w14:paraId="5D3C6B40" w14:textId="77777777" w:rsidR="00116B9A" w:rsidRDefault="00116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9861" w14:textId="01631807" w:rsidR="00051DF4" w:rsidRDefault="00051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202645A"/>
    <w:lvl w:ilvl="0">
      <w:start w:val="1"/>
      <w:numFmt w:val="decimal"/>
      <w:lvlText w:val="%1."/>
      <w:lvlJc w:val="left"/>
      <w:pPr>
        <w:tabs>
          <w:tab w:val="num" w:pos="720"/>
        </w:tabs>
        <w:ind w:left="720" w:hanging="720"/>
      </w:pPr>
    </w:lvl>
    <w:lvl w:ilvl="1">
      <w:start w:val="1"/>
      <w:numFmt w:val="decimal"/>
      <w:pStyle w:val="SPCheader2"/>
      <w:lvlText w:val="%1.%2"/>
      <w:lvlJc w:val="left"/>
      <w:pPr>
        <w:tabs>
          <w:tab w:val="num" w:pos="1440"/>
        </w:tabs>
        <w:ind w:left="144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52C751D0"/>
    <w:multiLevelType w:val="hybridMultilevel"/>
    <w:tmpl w:val="606C759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E58B3"/>
    <w:rsid w:val="00022D90"/>
    <w:rsid w:val="00025093"/>
    <w:rsid w:val="00051DF4"/>
    <w:rsid w:val="000642E1"/>
    <w:rsid w:val="00064794"/>
    <w:rsid w:val="00090B9A"/>
    <w:rsid w:val="00092170"/>
    <w:rsid w:val="00094F0F"/>
    <w:rsid w:val="00095FB2"/>
    <w:rsid w:val="000A37FD"/>
    <w:rsid w:val="000A6CC8"/>
    <w:rsid w:val="000C479C"/>
    <w:rsid w:val="000D008A"/>
    <w:rsid w:val="000D4264"/>
    <w:rsid w:val="001031E8"/>
    <w:rsid w:val="00116B9A"/>
    <w:rsid w:val="00124A7B"/>
    <w:rsid w:val="00136489"/>
    <w:rsid w:val="00155227"/>
    <w:rsid w:val="00165D57"/>
    <w:rsid w:val="001A021A"/>
    <w:rsid w:val="001A1B30"/>
    <w:rsid w:val="001E6713"/>
    <w:rsid w:val="0020087B"/>
    <w:rsid w:val="0020613E"/>
    <w:rsid w:val="00207210"/>
    <w:rsid w:val="00234A5D"/>
    <w:rsid w:val="00235AE3"/>
    <w:rsid w:val="00236FFD"/>
    <w:rsid w:val="00254D2D"/>
    <w:rsid w:val="00262447"/>
    <w:rsid w:val="0027387C"/>
    <w:rsid w:val="00291337"/>
    <w:rsid w:val="00293711"/>
    <w:rsid w:val="00296D4D"/>
    <w:rsid w:val="002A7693"/>
    <w:rsid w:val="002B33AC"/>
    <w:rsid w:val="002B780D"/>
    <w:rsid w:val="00301A65"/>
    <w:rsid w:val="00303416"/>
    <w:rsid w:val="00321650"/>
    <w:rsid w:val="003233BA"/>
    <w:rsid w:val="00355951"/>
    <w:rsid w:val="00355D56"/>
    <w:rsid w:val="00357A42"/>
    <w:rsid w:val="003A1F6B"/>
    <w:rsid w:val="003B5119"/>
    <w:rsid w:val="003C6626"/>
    <w:rsid w:val="003E58B3"/>
    <w:rsid w:val="003F1E4E"/>
    <w:rsid w:val="00420203"/>
    <w:rsid w:val="00421856"/>
    <w:rsid w:val="0042720B"/>
    <w:rsid w:val="0044144B"/>
    <w:rsid w:val="00443A08"/>
    <w:rsid w:val="0044507D"/>
    <w:rsid w:val="0046041B"/>
    <w:rsid w:val="0047095C"/>
    <w:rsid w:val="0048301E"/>
    <w:rsid w:val="00486769"/>
    <w:rsid w:val="00493A47"/>
    <w:rsid w:val="004A4C00"/>
    <w:rsid w:val="004B79D2"/>
    <w:rsid w:val="004C22AB"/>
    <w:rsid w:val="004C2A93"/>
    <w:rsid w:val="0051394D"/>
    <w:rsid w:val="0051785C"/>
    <w:rsid w:val="00543744"/>
    <w:rsid w:val="00543783"/>
    <w:rsid w:val="00551D65"/>
    <w:rsid w:val="00553761"/>
    <w:rsid w:val="00574C46"/>
    <w:rsid w:val="00577029"/>
    <w:rsid w:val="00580975"/>
    <w:rsid w:val="00587CCA"/>
    <w:rsid w:val="005B5F8C"/>
    <w:rsid w:val="005C5EE0"/>
    <w:rsid w:val="005D7A51"/>
    <w:rsid w:val="005E3BF5"/>
    <w:rsid w:val="00621589"/>
    <w:rsid w:val="00633841"/>
    <w:rsid w:val="006416FC"/>
    <w:rsid w:val="006905B9"/>
    <w:rsid w:val="00692AF6"/>
    <w:rsid w:val="006A2383"/>
    <w:rsid w:val="006C54D0"/>
    <w:rsid w:val="006D02BD"/>
    <w:rsid w:val="006D2821"/>
    <w:rsid w:val="006D649A"/>
    <w:rsid w:val="006F0FFB"/>
    <w:rsid w:val="006F5797"/>
    <w:rsid w:val="007023BF"/>
    <w:rsid w:val="0073096A"/>
    <w:rsid w:val="00755670"/>
    <w:rsid w:val="0075713B"/>
    <w:rsid w:val="007636B6"/>
    <w:rsid w:val="00777153"/>
    <w:rsid w:val="00796329"/>
    <w:rsid w:val="007C2CF6"/>
    <w:rsid w:val="007F1287"/>
    <w:rsid w:val="007F5272"/>
    <w:rsid w:val="00801280"/>
    <w:rsid w:val="00815C5C"/>
    <w:rsid w:val="008323EE"/>
    <w:rsid w:val="00843E59"/>
    <w:rsid w:val="0085516F"/>
    <w:rsid w:val="008555E2"/>
    <w:rsid w:val="00885063"/>
    <w:rsid w:val="00893EB3"/>
    <w:rsid w:val="008B1315"/>
    <w:rsid w:val="008C2A92"/>
    <w:rsid w:val="008D73F0"/>
    <w:rsid w:val="008F572F"/>
    <w:rsid w:val="00920A7A"/>
    <w:rsid w:val="00940763"/>
    <w:rsid w:val="00974350"/>
    <w:rsid w:val="0098547D"/>
    <w:rsid w:val="00990830"/>
    <w:rsid w:val="009953E8"/>
    <w:rsid w:val="009A56FB"/>
    <w:rsid w:val="009C35C9"/>
    <w:rsid w:val="009D7367"/>
    <w:rsid w:val="009D743B"/>
    <w:rsid w:val="009E49FF"/>
    <w:rsid w:val="009E63BD"/>
    <w:rsid w:val="009E7279"/>
    <w:rsid w:val="00A1444E"/>
    <w:rsid w:val="00A46623"/>
    <w:rsid w:val="00A600C9"/>
    <w:rsid w:val="00A76765"/>
    <w:rsid w:val="00A80437"/>
    <w:rsid w:val="00A8070F"/>
    <w:rsid w:val="00A82951"/>
    <w:rsid w:val="00A84ABA"/>
    <w:rsid w:val="00A872B6"/>
    <w:rsid w:val="00AA59E7"/>
    <w:rsid w:val="00AB6610"/>
    <w:rsid w:val="00AF3D65"/>
    <w:rsid w:val="00B10C35"/>
    <w:rsid w:val="00B12433"/>
    <w:rsid w:val="00B138C6"/>
    <w:rsid w:val="00B45484"/>
    <w:rsid w:val="00B549C0"/>
    <w:rsid w:val="00B740FC"/>
    <w:rsid w:val="00B818C2"/>
    <w:rsid w:val="00B82DF6"/>
    <w:rsid w:val="00B9093B"/>
    <w:rsid w:val="00B92EBB"/>
    <w:rsid w:val="00B94FC6"/>
    <w:rsid w:val="00BA20B3"/>
    <w:rsid w:val="00BB76BF"/>
    <w:rsid w:val="00BD3192"/>
    <w:rsid w:val="00C27024"/>
    <w:rsid w:val="00C341AD"/>
    <w:rsid w:val="00C43818"/>
    <w:rsid w:val="00C737B7"/>
    <w:rsid w:val="00C73A48"/>
    <w:rsid w:val="00C97A9A"/>
    <w:rsid w:val="00CA50AD"/>
    <w:rsid w:val="00CC076B"/>
    <w:rsid w:val="00CD078F"/>
    <w:rsid w:val="00CF0F7C"/>
    <w:rsid w:val="00CF3913"/>
    <w:rsid w:val="00D13D97"/>
    <w:rsid w:val="00D1610D"/>
    <w:rsid w:val="00D2274F"/>
    <w:rsid w:val="00D305B2"/>
    <w:rsid w:val="00D50B69"/>
    <w:rsid w:val="00D766A3"/>
    <w:rsid w:val="00D93E4E"/>
    <w:rsid w:val="00DA035F"/>
    <w:rsid w:val="00DA61E2"/>
    <w:rsid w:val="00DD0D09"/>
    <w:rsid w:val="00DD74B2"/>
    <w:rsid w:val="00DE76A9"/>
    <w:rsid w:val="00DE76C0"/>
    <w:rsid w:val="00DF27F4"/>
    <w:rsid w:val="00E12A0A"/>
    <w:rsid w:val="00EA6FA3"/>
    <w:rsid w:val="00EC6B3A"/>
    <w:rsid w:val="00F35BFC"/>
    <w:rsid w:val="00F37EDF"/>
    <w:rsid w:val="00F5031C"/>
    <w:rsid w:val="00F675C6"/>
    <w:rsid w:val="00F85EFC"/>
    <w:rsid w:val="00F9796B"/>
    <w:rsid w:val="00FA4F96"/>
    <w:rsid w:val="00FE0639"/>
    <w:rsid w:val="00FE4C54"/>
    <w:rsid w:val="00FE56C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F21E6"/>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2"/>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3"/>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
      </w:numPr>
      <w:contextualSpacing/>
    </w:pPr>
  </w:style>
  <w:style w:type="paragraph" w:styleId="Seznamsodrkami2">
    <w:name w:val="List Bullet 2"/>
    <w:basedOn w:val="Normln"/>
    <w:semiHidden/>
    <w:unhideWhenUsed/>
    <w:pPr>
      <w:numPr>
        <w:numId w:val="5"/>
      </w:numPr>
      <w:contextualSpacing/>
    </w:pPr>
  </w:style>
  <w:style w:type="paragraph" w:styleId="Seznamsodrkami3">
    <w:name w:val="List Bullet 3"/>
    <w:basedOn w:val="Normln"/>
    <w:semiHidden/>
    <w:unhideWhenUsed/>
    <w:pPr>
      <w:numPr>
        <w:numId w:val="6"/>
      </w:numPr>
      <w:contextualSpacing/>
    </w:pPr>
  </w:style>
  <w:style w:type="paragraph" w:styleId="Seznamsodrkami4">
    <w:name w:val="List Bullet 4"/>
    <w:basedOn w:val="Normln"/>
    <w:semiHidden/>
    <w:unhideWhenUsed/>
    <w:pPr>
      <w:numPr>
        <w:numId w:val="7"/>
      </w:numPr>
      <w:contextualSpacing/>
    </w:pPr>
  </w:style>
  <w:style w:type="paragraph" w:styleId="Seznamsodrkami5">
    <w:name w:val="List Bullet 5"/>
    <w:basedOn w:val="Normln"/>
    <w:semiHidden/>
    <w:unhideWhenUsed/>
    <w:pPr>
      <w:numPr>
        <w:numId w:val="8"/>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9"/>
      </w:numPr>
      <w:contextualSpacing/>
    </w:pPr>
  </w:style>
  <w:style w:type="paragraph" w:styleId="slovanseznam2">
    <w:name w:val="List Number 2"/>
    <w:basedOn w:val="Normln"/>
    <w:semiHidden/>
    <w:unhideWhenUsed/>
    <w:pPr>
      <w:numPr>
        <w:numId w:val="10"/>
      </w:numPr>
      <w:contextualSpacing/>
    </w:pPr>
  </w:style>
  <w:style w:type="paragraph" w:styleId="slovanseznam3">
    <w:name w:val="List Number 3"/>
    <w:basedOn w:val="Normln"/>
    <w:semiHidden/>
    <w:unhideWhenUsed/>
    <w:pPr>
      <w:numPr>
        <w:numId w:val="11"/>
      </w:numPr>
      <w:contextualSpacing/>
    </w:pPr>
  </w:style>
  <w:style w:type="paragraph" w:styleId="slovanseznam4">
    <w:name w:val="List Number 4"/>
    <w:basedOn w:val="Normln"/>
    <w:semiHidden/>
    <w:unhideWhenUsed/>
    <w:pPr>
      <w:numPr>
        <w:numId w:val="12"/>
      </w:numPr>
      <w:contextualSpacing/>
    </w:pPr>
  </w:style>
  <w:style w:type="paragraph" w:styleId="slovanseznam5">
    <w:name w:val="List Number 5"/>
    <w:basedOn w:val="Normln"/>
    <w:semiHidden/>
    <w:unhideWhenUsed/>
    <w:pPr>
      <w:numPr>
        <w:numId w:val="13"/>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nadpis">
    <w:name w:val="Subtitle"/>
    <w:basedOn w:val="Normln"/>
    <w:next w:val="Normln"/>
    <w:link w:val="Podnadpis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uiPriority w:val="99"/>
    <w:rPr>
      <w:rFonts w:ascii="Helvetica" w:hAnsi="Helvetica"/>
      <w:lang w:eastAsia="en-US"/>
    </w:rPr>
  </w:style>
  <w:style w:type="character" w:customStyle="1" w:styleId="WW8Num2z0">
    <w:name w:val="WW8Num2z0"/>
    <w:rPr>
      <w:rFonts w:ascii="Symbol" w:hAnsi="Symbol" w:cs="Symbol"/>
    </w:rPr>
  </w:style>
  <w:style w:type="paragraph" w:customStyle="1" w:styleId="SPCheader2">
    <w:name w:val="SPC header 2"/>
    <w:basedOn w:val="Normln"/>
    <w:pPr>
      <w:keepNext/>
      <w:numPr>
        <w:ilvl w:val="1"/>
        <w:numId w:val="14"/>
      </w:numPr>
      <w:tabs>
        <w:tab w:val="clear" w:pos="567"/>
      </w:tabs>
      <w:suppressAutoHyphens/>
      <w:spacing w:before="100" w:after="100" w:line="240" w:lineRule="auto"/>
      <w:outlineLvl w:val="1"/>
    </w:pPr>
    <w:rPr>
      <w:b/>
      <w:sz w:val="24"/>
      <w:lang w:val="en-GB" w:eastAsia="zh-CN"/>
    </w:rPr>
  </w:style>
  <w:style w:type="paragraph" w:customStyle="1" w:styleId="Retraitcorpsdetexte31">
    <w:name w:val="Retrait corps de texte 31"/>
    <w:basedOn w:val="Normln"/>
    <w:pPr>
      <w:tabs>
        <w:tab w:val="clear" w:pos="567"/>
      </w:tabs>
      <w:suppressAutoHyphens/>
      <w:spacing w:line="240" w:lineRule="auto"/>
      <w:ind w:left="680"/>
    </w:pPr>
    <w:rPr>
      <w:sz w:val="24"/>
      <w:lang w:val="en-GB" w:eastAsia="zh-CN"/>
    </w:rPr>
  </w:style>
  <w:style w:type="paragraph" w:customStyle="1" w:styleId="SPCheader1">
    <w:name w:val="SPC header 1"/>
    <w:basedOn w:val="Normln"/>
    <w:rsid w:val="0046041B"/>
    <w:pPr>
      <w:keepNext/>
      <w:tabs>
        <w:tab w:val="clear" w:pos="567"/>
        <w:tab w:val="num" w:pos="720"/>
      </w:tabs>
      <w:suppressAutoHyphens/>
      <w:spacing w:before="100" w:after="100" w:line="240" w:lineRule="auto"/>
      <w:ind w:left="720" w:hanging="720"/>
      <w:outlineLvl w:val="0"/>
    </w:pPr>
    <w:rPr>
      <w:b/>
      <w:sz w:val="24"/>
      <w:lang w:val="en-GB" w:eastAsia="zh-CN"/>
    </w:rPr>
  </w:style>
  <w:style w:type="character" w:styleId="Nevyeenzmnka">
    <w:name w:val="Unresolved Mention"/>
    <w:basedOn w:val="Standardnpsmoodstavce"/>
    <w:uiPriority w:val="99"/>
    <w:semiHidden/>
    <w:unhideWhenUsed/>
    <w:rsid w:val="0009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C007-8ECF-4398-8A39-C221F013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2285</Words>
  <Characters>13487</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dc:description>BR0073279</dc:description>
  <cp:lastModifiedBy>Neugebauerová Kateřina</cp:lastModifiedBy>
  <cp:revision>23</cp:revision>
  <cp:lastPrinted>2008-06-03T12:50:00Z</cp:lastPrinted>
  <dcterms:created xsi:type="dcterms:W3CDTF">2023-01-10T17:37:00Z</dcterms:created>
  <dcterms:modified xsi:type="dcterms:W3CDTF">2023-02-17T10:45:00Z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