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jc w:val="center"/>
        <w:rPr>
          <w:b/>
          <w:szCs w:val="22"/>
        </w:rPr>
      </w:pPr>
      <w:r>
        <w:rPr>
          <w:b/>
        </w:rPr>
        <w:t>PŘÍLOHA I</w:t>
      </w: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jc w:val="center"/>
        <w:rPr>
          <w:b/>
          <w:szCs w:val="22"/>
        </w:rPr>
      </w:pPr>
      <w:r>
        <w:rPr>
          <w:b/>
        </w:rPr>
        <w:t>SOUHRN ÚDAJŮ O PŘÍPRAVKU</w:t>
      </w:r>
    </w:p>
    <w:p w:rsidR="00FB0E38" w:rsidRDefault="00FB0E38" w:rsidP="00FB0E38">
      <w:pPr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:rsidR="00FB0E38" w:rsidRDefault="00FB0E38" w:rsidP="00FB0E38">
      <w:pPr>
        <w:jc w:val="both"/>
        <w:rPr>
          <w:szCs w:val="22"/>
        </w:rPr>
      </w:pPr>
      <w:proofErr w:type="spellStart"/>
      <w:r>
        <w:t>Novocillin</w:t>
      </w:r>
      <w:proofErr w:type="spellEnd"/>
      <w:r>
        <w:t xml:space="preserve"> LC 1000 mg </w:t>
      </w:r>
      <w:proofErr w:type="spellStart"/>
      <w:r>
        <w:t>intramamární</w:t>
      </w:r>
      <w:proofErr w:type="spellEnd"/>
      <w:r>
        <w:t xml:space="preserve"> suspenze pro krávy v laktaci 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:rsidR="00FB0E38" w:rsidRDefault="00FB0E38" w:rsidP="00FB0E38">
      <w:pPr>
        <w:jc w:val="both"/>
        <w:rPr>
          <w:iCs/>
          <w:szCs w:val="22"/>
        </w:rPr>
      </w:pPr>
      <w:r>
        <w:t xml:space="preserve">Každý </w:t>
      </w:r>
      <w:proofErr w:type="spellStart"/>
      <w:r>
        <w:t>intramamární</w:t>
      </w:r>
      <w:proofErr w:type="spellEnd"/>
      <w:r>
        <w:t xml:space="preserve"> aplikátor o hmotnosti 10 g obsahuje:</w:t>
      </w:r>
    </w:p>
    <w:p w:rsidR="00FB0E38" w:rsidRDefault="00FB0E38" w:rsidP="00FB0E38">
      <w:pPr>
        <w:jc w:val="both"/>
        <w:rPr>
          <w:b/>
          <w:szCs w:val="22"/>
        </w:rPr>
      </w:pPr>
    </w:p>
    <w:p w:rsidR="00FB0E38" w:rsidRDefault="00FB0E38" w:rsidP="00FB0E38">
      <w:pPr>
        <w:jc w:val="both"/>
        <w:rPr>
          <w:b/>
          <w:szCs w:val="22"/>
        </w:rPr>
      </w:pPr>
      <w:r>
        <w:rPr>
          <w:b/>
        </w:rPr>
        <w:t>Léčivá látka:</w:t>
      </w:r>
    </w:p>
    <w:p w:rsidR="00FB0E38" w:rsidRDefault="00FB0E38" w:rsidP="00FB0E38">
      <w:pPr>
        <w:jc w:val="both"/>
        <w:rPr>
          <w:iCs/>
          <w:szCs w:val="22"/>
        </w:rPr>
      </w:pPr>
      <w:proofErr w:type="spellStart"/>
      <w:r>
        <w:t>Oxacillinum</w:t>
      </w:r>
      <w:proofErr w:type="spellEnd"/>
      <w:r>
        <w:t xml:space="preserve"> </w:t>
      </w:r>
      <w:proofErr w:type="spellStart"/>
      <w:r>
        <w:t>natricum</w:t>
      </w:r>
      <w:proofErr w:type="spellEnd"/>
      <w:r>
        <w:t xml:space="preserve"> </w:t>
      </w:r>
      <w:r>
        <w:tab/>
      </w:r>
      <w:r>
        <w:tab/>
      </w:r>
      <w:r>
        <w:tab/>
        <w:t>1 000 mg</w:t>
      </w:r>
    </w:p>
    <w:p w:rsidR="00FB0E38" w:rsidRDefault="00FB0E38" w:rsidP="00FB0E38">
      <w:pPr>
        <w:jc w:val="both"/>
        <w:rPr>
          <w:iCs/>
          <w:szCs w:val="22"/>
        </w:rPr>
      </w:pPr>
      <w:r>
        <w:t xml:space="preserve">(odpovídá 1 042,5 mg </w:t>
      </w:r>
      <w:proofErr w:type="spellStart"/>
      <w:r>
        <w:t>oxacillinum</w:t>
      </w:r>
      <w:proofErr w:type="spellEnd"/>
      <w:r>
        <w:t xml:space="preserve"> </w:t>
      </w:r>
      <w:proofErr w:type="spellStart"/>
      <w:r>
        <w:t>natricum</w:t>
      </w:r>
      <w:proofErr w:type="spellEnd"/>
      <w:r>
        <w:t xml:space="preserve"> </w:t>
      </w:r>
      <w:proofErr w:type="spellStart"/>
      <w:r>
        <w:t>monohydricum</w:t>
      </w:r>
      <w:proofErr w:type="spellEnd"/>
      <w:r>
        <w:t xml:space="preserve"> nebo 948 mg </w:t>
      </w:r>
      <w:proofErr w:type="spellStart"/>
      <w:r>
        <w:t>oxacillinum</w:t>
      </w:r>
      <w:proofErr w:type="spellEnd"/>
      <w:r>
        <w:t>)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t>Úplný seznam pomocných látek viz bod 6.1.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3.</w:t>
      </w:r>
      <w:r>
        <w:rPr>
          <w:b/>
        </w:rPr>
        <w:tab/>
        <w:t>LÉKOVÁ FORMA</w:t>
      </w:r>
    </w:p>
    <w:p w:rsidR="00FB0E38" w:rsidRDefault="00FB0E38" w:rsidP="00FB0E38">
      <w:pPr>
        <w:jc w:val="both"/>
        <w:rPr>
          <w:szCs w:val="22"/>
        </w:rPr>
      </w:pPr>
      <w:proofErr w:type="spellStart"/>
      <w:r>
        <w:t>Intramamární</w:t>
      </w:r>
      <w:proofErr w:type="spellEnd"/>
      <w:r>
        <w:t xml:space="preserve"> suspenze.</w:t>
      </w:r>
    </w:p>
    <w:p w:rsidR="00FB0E38" w:rsidRDefault="00FB0E38" w:rsidP="00FB0E38">
      <w:pPr>
        <w:jc w:val="both"/>
        <w:rPr>
          <w:szCs w:val="22"/>
        </w:rPr>
      </w:pPr>
      <w:r>
        <w:t>Bílá až téměř bílá suspenze.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b/>
          <w:szCs w:val="22"/>
        </w:rPr>
      </w:pPr>
      <w:r>
        <w:rPr>
          <w:b/>
        </w:rPr>
        <w:t>4.</w:t>
      </w:r>
      <w:r>
        <w:rPr>
          <w:b/>
        </w:rPr>
        <w:tab/>
        <w:t>KLINICKÉ ÚDAJE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b/>
          <w:szCs w:val="22"/>
        </w:rPr>
      </w:pPr>
      <w:r>
        <w:rPr>
          <w:b/>
        </w:rPr>
        <w:t>4.1</w:t>
      </w:r>
      <w:r>
        <w:rPr>
          <w:b/>
        </w:rPr>
        <w:tab/>
        <w:t>Cílové druhy zvířat</w:t>
      </w:r>
    </w:p>
    <w:p w:rsidR="00FB0E38" w:rsidRDefault="00FB0E38" w:rsidP="00FB0E38">
      <w:pPr>
        <w:jc w:val="both"/>
        <w:rPr>
          <w:szCs w:val="22"/>
        </w:rPr>
      </w:pPr>
      <w:r>
        <w:t>Skot (krávy v laktaci)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4.2</w:t>
      </w:r>
      <w:r>
        <w:rPr>
          <w:b/>
        </w:rPr>
        <w:tab/>
        <w:t>Indikace s upřesněním pro cílový druh zvířat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t xml:space="preserve">Léčba klinické mastitidy vyvolané bakteriemi </w:t>
      </w:r>
      <w:proofErr w:type="spellStart"/>
      <w:r>
        <w:rPr>
          <w:i/>
        </w:rPr>
        <w:t>Staphylococcus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 (včetně kmenů produkujících beta-</w:t>
      </w:r>
      <w:proofErr w:type="spellStart"/>
      <w:r>
        <w:t>laktamázu</w:t>
      </w:r>
      <w:proofErr w:type="spellEnd"/>
      <w:r>
        <w:t xml:space="preserve">) a bakteriemi </w:t>
      </w:r>
      <w:proofErr w:type="spellStart"/>
      <w:r>
        <w:rPr>
          <w:i/>
        </w:rPr>
        <w:t>Streptococcus</w:t>
      </w:r>
      <w:proofErr w:type="spellEnd"/>
      <w:r>
        <w:rPr>
          <w:i/>
        </w:rPr>
        <w:t xml:space="preserve"> </w:t>
      </w:r>
      <w:proofErr w:type="spellStart"/>
      <w:r>
        <w:t>spp</w:t>
      </w:r>
      <w:proofErr w:type="spellEnd"/>
      <w:r>
        <w:t>. citlivými k oxacilinu.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4.3</w:t>
      </w:r>
      <w:r>
        <w:rPr>
          <w:b/>
        </w:rPr>
        <w:tab/>
        <w:t>Kontraindikace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t>Nepoužívat v případech přecitlivělosti na léčivou látku, peniciliny, cefalosporiny nebo na některou z pomocných látek.</w:t>
      </w:r>
    </w:p>
    <w:p w:rsidR="00FB0E38" w:rsidRDefault="00FB0E38" w:rsidP="00FB0E38">
      <w:pPr>
        <w:jc w:val="both"/>
        <w:rPr>
          <w:szCs w:val="22"/>
        </w:rPr>
      </w:pPr>
      <w:r>
        <w:t xml:space="preserve">Nepoužívat v případech rezistence na </w:t>
      </w:r>
      <w:proofErr w:type="spellStart"/>
      <w:r>
        <w:t>isoxazolyl</w:t>
      </w:r>
      <w:proofErr w:type="spellEnd"/>
      <w:r>
        <w:t>-peniciliny a cefalosporiny.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b/>
          <w:szCs w:val="22"/>
        </w:rPr>
      </w:pPr>
      <w:r>
        <w:rPr>
          <w:b/>
        </w:rPr>
        <w:t>4.4</w:t>
      </w:r>
      <w:r>
        <w:rPr>
          <w:b/>
        </w:rPr>
        <w:tab/>
        <w:t>Zvláštní upozornění pro každý cílový druh</w:t>
      </w:r>
    </w:p>
    <w:p w:rsidR="00FB0E38" w:rsidRDefault="00FB0E38" w:rsidP="00FB0E38">
      <w:pPr>
        <w:jc w:val="both"/>
        <w:rPr>
          <w:szCs w:val="22"/>
        </w:rPr>
      </w:pPr>
      <w:r>
        <w:t>Nejsou.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4.5</w:t>
      </w:r>
      <w:r>
        <w:rPr>
          <w:b/>
        </w:rPr>
        <w:tab/>
        <w:t>Zvláštní opatření pro použití</w:t>
      </w:r>
    </w:p>
    <w:p w:rsidR="00FB0E38" w:rsidRDefault="00FB0E38" w:rsidP="00FB0E38">
      <w:pPr>
        <w:keepNext/>
        <w:keepLines/>
        <w:jc w:val="both"/>
        <w:rPr>
          <w:szCs w:val="22"/>
          <w:u w:val="single"/>
        </w:rPr>
      </w:pPr>
      <w:r>
        <w:rPr>
          <w:u w:val="single"/>
        </w:rPr>
        <w:t>Zvláštní opatření pro použití u zvířat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bookmarkStart w:id="0" w:name="_Hlk52553107"/>
      <w:r>
        <w:t>V případě silného otoku čtvrti vemene, obstrukčního otoku mlékovodu a/nebo ucpání mlékovodů buněčným detritem musí být veterinární léčivý přípravek podáván s opatrností, aby nedošlo k bolestivosti a poranění strukového kanálku.</w:t>
      </w:r>
    </w:p>
    <w:p w:rsidR="00FB0E38" w:rsidRDefault="00FB0E38" w:rsidP="00FB0E38">
      <w:pPr>
        <w:ind w:left="0" w:firstLine="0"/>
        <w:jc w:val="both"/>
      </w:pPr>
      <w:r>
        <w:t>Použití přípravku by mělo být založeno na identifikaci a testování citlivosti cílových patogenů. Pokud to není možné, měla by být léčba založena na epidemiologických informacích a znalostech citlivosti cílových bakterií na úrovni farmy anebo na místní/regionální úrovni.</w:t>
      </w:r>
    </w:p>
    <w:p w:rsidR="00FB0E38" w:rsidRDefault="00FB0E38" w:rsidP="00FB0E38">
      <w:pPr>
        <w:ind w:left="0" w:firstLine="0"/>
        <w:jc w:val="both"/>
      </w:pPr>
      <w:r>
        <w:t>Použití přípravku v rozporu s pokyny uvedenými v souhrnu údajů o přípravku může zvýšit prevalenci bakterií rezistentních na oxacilin a snížit účinnost léčby.</w:t>
      </w:r>
    </w:p>
    <w:p w:rsidR="00FB0E38" w:rsidRDefault="00FB0E38" w:rsidP="00FB0E38">
      <w:pPr>
        <w:ind w:left="0" w:firstLine="0"/>
        <w:jc w:val="both"/>
      </w:pPr>
      <w:r>
        <w:t>Použití přípravku by mělo být v souladu s oficiálními, národními a regionálními pravidly antibiotické politiky.</w:t>
      </w:r>
    </w:p>
    <w:p w:rsidR="00FB0E38" w:rsidRDefault="00FB0E38" w:rsidP="00FB0E38">
      <w:pPr>
        <w:ind w:left="0" w:firstLine="0"/>
        <w:jc w:val="both"/>
      </w:pPr>
      <w:r>
        <w:rPr>
          <w:color w:val="000000"/>
        </w:rPr>
        <w:t xml:space="preserve">Je třeba zabránit podávání odpadního mléka obsahujícího rezidua oxacilinu telatům, a to až do konce ochranné lhůty pro mléko (s výjimkou kolostrální fáze), protože by mohlo docházet k selekci bakterií rezistentních na antibiotika ve střevní </w:t>
      </w:r>
      <w:proofErr w:type="spellStart"/>
      <w:r>
        <w:rPr>
          <w:color w:val="000000"/>
        </w:rPr>
        <w:t>mikrobiotě</w:t>
      </w:r>
      <w:proofErr w:type="spellEnd"/>
      <w:r>
        <w:rPr>
          <w:color w:val="000000"/>
        </w:rPr>
        <w:t xml:space="preserve"> telete a zvyšovat vylučování těchto bakterií ve </w:t>
      </w:r>
      <w:proofErr w:type="spellStart"/>
      <w:r>
        <w:rPr>
          <w:color w:val="000000"/>
        </w:rPr>
        <w:t>faeces</w:t>
      </w:r>
      <w:proofErr w:type="spellEnd"/>
      <w:r>
        <w:rPr>
          <w:color w:val="000000"/>
        </w:rPr>
        <w:t>.</w:t>
      </w:r>
    </w:p>
    <w:bookmarkEnd w:id="0"/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keepNext/>
        <w:keepLines/>
        <w:jc w:val="both"/>
        <w:rPr>
          <w:szCs w:val="22"/>
          <w:u w:val="single"/>
        </w:rPr>
      </w:pPr>
      <w:r>
        <w:rPr>
          <w:u w:val="single"/>
        </w:rPr>
        <w:t>Zvláštní opatření určené osobám, které podávají veterinární léčivý přípravek zvířatům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bookmarkStart w:id="1" w:name="_Hlk52553178"/>
      <w:r>
        <w:t xml:space="preserve">Peniciliny a cefalosporiny mohou po injekci, inhalaci, požití nebo kontaktu s kůží vyvolat přecitlivělost (alergii). Přecitlivělost na peniciliny může vést ke zkříženým reakcím s cefalosporiny a naopak. Alergické reakce na tyto látky mohou být v některých případech vážné. 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lastRenderedPageBreak/>
        <w:t xml:space="preserve">Nemanipulujte s tímto přípravkem, pokud víte, že jste přecitlivělí na peniciliny nebo cefalosporiny, nebo pokud vám bylo doporučeno s přípravky tohoto typu nepracovat. 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t>Při manipulaci s tímto přípravkem buďte maximálně obezřetní, aby nedošlo k náhodnému kontaktu s kůží nebo očima. Lidé se známou přecitlivělostí na peniciliny a cefalosporiny by se měli vyhnout kontaktu s veterinárním léčivým přípravkem.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t>Při nakládání s veterinárním léčivým přípravkem nebo jeho podávání by se měly používat osobní ochranné prostředky skládající se z rukavic. Po použití exponovanou pokožku umyjte. V případě zasažení očí je důkladně vypláchněte velkým množstvím čisté tekoucí vody.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t xml:space="preserve">Pokud se u vás objeví </w:t>
      </w:r>
      <w:proofErr w:type="spellStart"/>
      <w:r>
        <w:t>postexpoziční</w:t>
      </w:r>
      <w:proofErr w:type="spellEnd"/>
      <w:r>
        <w:t xml:space="preserve"> příznaky, jako např. kožní vyrážka, vyhledejte lékařskou pomoc a ukažte lékaři toto varování. Otok obličeje, rtů, očí, nebo potíže s dýcháním jsou vážné příznaky a vyžadují okamžitou lékařskou pomoc.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t>Po použití si umyjte ruce.</w:t>
      </w:r>
    </w:p>
    <w:bookmarkEnd w:id="1"/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4.6</w:t>
      </w:r>
      <w:r>
        <w:rPr>
          <w:b/>
        </w:rPr>
        <w:tab/>
        <w:t>Nežádoucí účinky (frekvence a závažnost)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t>Ve spontánních hlášeních byly velmi vzácně hlášeny reakce přecitlivělosti (tj. alergické kožní reakce, anafylaxe). Dojde-li k takové reakci, podání léčiva by mělo být okamžitě zastaveno a měla by být zahájena vhodná symptomatická léčba.</w:t>
      </w:r>
    </w:p>
    <w:p w:rsidR="00FB0E38" w:rsidRDefault="00FB0E38" w:rsidP="00FB0E38">
      <w:pPr>
        <w:jc w:val="both"/>
        <w:rPr>
          <w:szCs w:val="22"/>
        </w:rPr>
      </w:pPr>
      <w:r>
        <w:t xml:space="preserve">V případě anafylaxe: adrenalin (epinefrin) a glukokortikoidy </w:t>
      </w:r>
      <w:proofErr w:type="spellStart"/>
      <w:r>
        <w:t>i.v</w:t>
      </w:r>
      <w:proofErr w:type="spellEnd"/>
      <w:r>
        <w:t>.</w:t>
      </w:r>
    </w:p>
    <w:p w:rsidR="00FB0E38" w:rsidRDefault="00FB0E38" w:rsidP="00FB0E38">
      <w:pPr>
        <w:jc w:val="both"/>
        <w:rPr>
          <w:szCs w:val="22"/>
        </w:rPr>
      </w:pPr>
      <w:r>
        <w:t>V případě alergických kožních reakcí: antihistaminika a/nebo glukokortikoidy.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t>Četnost nežádoucích účinků je charakterizována podle následujících pravidel:</w:t>
      </w:r>
    </w:p>
    <w:p w:rsidR="00FB0E38" w:rsidRDefault="00FB0E38" w:rsidP="00FB0E38">
      <w:pPr>
        <w:rPr>
          <w:szCs w:val="22"/>
        </w:rPr>
      </w:pPr>
      <w:r>
        <w:t>- velmi časté (nežádoucí účinek(</w:t>
      </w:r>
      <w:proofErr w:type="spellStart"/>
      <w:r>
        <w:t>nky</w:t>
      </w:r>
      <w:proofErr w:type="spellEnd"/>
      <w:r>
        <w:t>) se projevil(y) u více než 1 z 10 ošetřených zvířat)</w:t>
      </w:r>
    </w:p>
    <w:p w:rsidR="00FB0E38" w:rsidRDefault="00FB0E38" w:rsidP="00FB0E38">
      <w:pPr>
        <w:rPr>
          <w:szCs w:val="22"/>
        </w:rPr>
      </w:pPr>
      <w:r>
        <w:t>- časté (u více než 1, ale méně než 10 ze 100 ošetřených zvířat)</w:t>
      </w:r>
    </w:p>
    <w:p w:rsidR="00FB0E38" w:rsidRDefault="00FB0E38" w:rsidP="00FB0E38">
      <w:pPr>
        <w:rPr>
          <w:szCs w:val="22"/>
        </w:rPr>
      </w:pPr>
      <w:r>
        <w:t>- neobvyklé (u více než 1, ale méně než 10 z 1 000 ošetřených zvířat)</w:t>
      </w:r>
    </w:p>
    <w:p w:rsidR="00FB0E38" w:rsidRDefault="00FB0E38" w:rsidP="00FB0E38">
      <w:pPr>
        <w:rPr>
          <w:szCs w:val="22"/>
        </w:rPr>
      </w:pPr>
      <w:r>
        <w:t>- vzácné (u více než 1, ale méně než 10 z 10 000 ošetřených zvířat)</w:t>
      </w:r>
    </w:p>
    <w:p w:rsidR="00FB0E38" w:rsidRDefault="00FB0E38" w:rsidP="00FB0E38">
      <w:pPr>
        <w:jc w:val="both"/>
        <w:rPr>
          <w:szCs w:val="22"/>
        </w:rPr>
      </w:pPr>
      <w:r>
        <w:t>- velmi vzácné (u méně než 1 z 10 000 ošetřených zvířat, včetně ojedinělých hlášení).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4.7</w:t>
      </w:r>
      <w:r>
        <w:rPr>
          <w:b/>
        </w:rPr>
        <w:tab/>
        <w:t>Použití v průběhu březosti, laktace nebo snášky</w:t>
      </w:r>
    </w:p>
    <w:p w:rsidR="00FB0E38" w:rsidRDefault="00FB0E38" w:rsidP="00FB0E38">
      <w:pPr>
        <w:jc w:val="both"/>
        <w:rPr>
          <w:szCs w:val="22"/>
        </w:rPr>
      </w:pPr>
      <w:r>
        <w:t>Přípravek je určen k použití během laktace.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4.8</w:t>
      </w:r>
      <w:r>
        <w:rPr>
          <w:b/>
        </w:rPr>
        <w:tab/>
        <w:t>Interakce s dalšími léčivými přípravky a další formy interakce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t xml:space="preserve">Pokud jde o účinky proti bakteriím, existuje možný antagonismus mezi peniciliny a chemoterapeutiky s rychlým bakteriostatickým účinkem (tetracykliny, </w:t>
      </w:r>
      <w:proofErr w:type="spellStart"/>
      <w:r>
        <w:t>makrolidy</w:t>
      </w:r>
      <w:proofErr w:type="spellEnd"/>
      <w:r>
        <w:t xml:space="preserve">, </w:t>
      </w:r>
      <w:proofErr w:type="spellStart"/>
      <w:r>
        <w:t>linkosamidy</w:t>
      </w:r>
      <w:proofErr w:type="spellEnd"/>
      <w:r>
        <w:t>).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4.9</w:t>
      </w:r>
      <w:r>
        <w:rPr>
          <w:b/>
        </w:rPr>
        <w:tab/>
        <w:t>Podávané množství a způsob podání</w:t>
      </w:r>
    </w:p>
    <w:p w:rsidR="00FB0E38" w:rsidRDefault="00FB0E38" w:rsidP="00FB0E38">
      <w:pPr>
        <w:jc w:val="both"/>
        <w:rPr>
          <w:szCs w:val="22"/>
        </w:rPr>
      </w:pPr>
      <w:bookmarkStart w:id="2" w:name="_Hlk52553284"/>
      <w:proofErr w:type="spellStart"/>
      <w:r>
        <w:t>Intramamární</w:t>
      </w:r>
      <w:proofErr w:type="spellEnd"/>
      <w:r>
        <w:t xml:space="preserve"> podání.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ind w:left="0" w:firstLine="0"/>
        <w:jc w:val="both"/>
        <w:rPr>
          <w:szCs w:val="22"/>
        </w:rPr>
      </w:pPr>
      <w:r>
        <w:t>1 000 mg sodné soli oxacilinu na postiženou čtvrť vemene, což odpovídá 10 g přípravku (plný obsah jednoho aplikátoru) na postiženou čtvrť vemene. Musejí být podány tři po sobě jdoucí dávky, mezi nimiž je interval 24 hodin.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ind w:left="0" w:firstLine="0"/>
        <w:jc w:val="both"/>
        <w:rPr>
          <w:szCs w:val="22"/>
        </w:rPr>
      </w:pPr>
      <w:r>
        <w:t xml:space="preserve">Bezprostředně před každým podáním by měly být všechny čtvrti vemene opatrně vydojeny. Hrot struku by měl být očištěn a vydezinfikován, po čemž následuje </w:t>
      </w:r>
      <w:proofErr w:type="spellStart"/>
      <w:r>
        <w:t>intramamární</w:t>
      </w:r>
      <w:proofErr w:type="spellEnd"/>
      <w:r>
        <w:t xml:space="preserve"> podání obsahu jednoho </w:t>
      </w:r>
      <w:proofErr w:type="spellStart"/>
      <w:r>
        <w:t>intramamárního</w:t>
      </w:r>
      <w:proofErr w:type="spellEnd"/>
      <w:r>
        <w:t xml:space="preserve"> aplikátoru na postiženou čtvrť vemene.</w:t>
      </w:r>
    </w:p>
    <w:p w:rsidR="00FB0E38" w:rsidRDefault="00FB0E38" w:rsidP="00FB0E38">
      <w:pPr>
        <w:ind w:left="0" w:firstLine="0"/>
        <w:jc w:val="both"/>
        <w:rPr>
          <w:szCs w:val="22"/>
        </w:rPr>
      </w:pPr>
    </w:p>
    <w:p w:rsidR="00FB0E38" w:rsidRDefault="00FB0E38" w:rsidP="00FB0E38">
      <w:pPr>
        <w:ind w:left="0" w:firstLine="0"/>
        <w:jc w:val="both"/>
        <w:rPr>
          <w:szCs w:val="22"/>
        </w:rPr>
      </w:pPr>
      <w:r>
        <w:t>Pokud není do 2 dnů po ošetření pozorováno významné zlepšení klinického stavu, měla by být diagnóza přezkoumána.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t>Před použitím přípravek protřepejte.</w:t>
      </w:r>
    </w:p>
    <w:bookmarkEnd w:id="2"/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b/>
          <w:bCs/>
          <w:szCs w:val="22"/>
        </w:rPr>
      </w:pPr>
      <w:r>
        <w:rPr>
          <w:b/>
        </w:rPr>
        <w:t>4.10</w:t>
      </w:r>
      <w:r>
        <w:rPr>
          <w:b/>
        </w:rPr>
        <w:tab/>
        <w:t xml:space="preserve">Předávkování (symptomy, první pomoc, </w:t>
      </w:r>
      <w:proofErr w:type="spellStart"/>
      <w:r>
        <w:rPr>
          <w:b/>
        </w:rPr>
        <w:t>antidota</w:t>
      </w:r>
      <w:proofErr w:type="spellEnd"/>
      <w:r>
        <w:rPr>
          <w:b/>
        </w:rPr>
        <w:t>), pokud je to nutné</w:t>
      </w:r>
    </w:p>
    <w:p w:rsidR="00FB0E38" w:rsidRDefault="00FB0E38" w:rsidP="00FB0E38">
      <w:pPr>
        <w:jc w:val="both"/>
        <w:rPr>
          <w:b/>
          <w:bCs/>
          <w:szCs w:val="22"/>
        </w:rPr>
      </w:pPr>
      <w:r>
        <w:t>Nejsou k dispozici žádné informace.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4.11</w:t>
      </w:r>
      <w:r>
        <w:rPr>
          <w:b/>
        </w:rPr>
        <w:tab/>
        <w:t>Ochranná(é) lhůta(y)</w:t>
      </w:r>
    </w:p>
    <w:p w:rsidR="00FB0E38" w:rsidRDefault="00FB0E38" w:rsidP="00FB0E38">
      <w:pPr>
        <w:jc w:val="both"/>
        <w:rPr>
          <w:szCs w:val="22"/>
        </w:rPr>
      </w:pPr>
      <w:r>
        <w:t>Maso:</w:t>
      </w:r>
      <w:r>
        <w:tab/>
      </w:r>
      <w:r>
        <w:tab/>
      </w:r>
      <w:r>
        <w:tab/>
        <w:t>6 dnů</w:t>
      </w:r>
    </w:p>
    <w:p w:rsidR="00FB0E38" w:rsidRDefault="00FB0E38" w:rsidP="00FB0E38">
      <w:pPr>
        <w:jc w:val="both"/>
        <w:rPr>
          <w:szCs w:val="22"/>
        </w:rPr>
      </w:pPr>
      <w:r>
        <w:t>Mléko:</w:t>
      </w:r>
      <w:r>
        <w:tab/>
      </w:r>
      <w:r>
        <w:tab/>
        <w:t>144 hodin (6 dnů)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5.</w:t>
      </w:r>
      <w:r>
        <w:rPr>
          <w:b/>
        </w:rPr>
        <w:tab/>
        <w:t>FARMAKOLOGICKÉ VLASTNOSTI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t xml:space="preserve">Farmakoterapeutická skupina: antibakteriální léčiva pro </w:t>
      </w:r>
      <w:proofErr w:type="spellStart"/>
      <w:r>
        <w:t>intramamární</w:t>
      </w:r>
      <w:proofErr w:type="spellEnd"/>
      <w:r>
        <w:t xml:space="preserve"> aplikaci, peniciliny rezistentní k beta-</w:t>
      </w:r>
      <w:proofErr w:type="spellStart"/>
      <w:r>
        <w:t>laktamázám</w:t>
      </w:r>
      <w:proofErr w:type="spellEnd"/>
      <w:r>
        <w:t>, oxacilin.</w:t>
      </w:r>
    </w:p>
    <w:p w:rsidR="00FB0E38" w:rsidRDefault="00FB0E38" w:rsidP="00FB0E38">
      <w:pPr>
        <w:jc w:val="both"/>
        <w:rPr>
          <w:szCs w:val="22"/>
        </w:rPr>
      </w:pPr>
      <w:proofErr w:type="spellStart"/>
      <w:r>
        <w:t>ATCvet</w:t>
      </w:r>
      <w:proofErr w:type="spellEnd"/>
      <w:r>
        <w:t xml:space="preserve"> kód: QJ51CF04.</w:t>
      </w:r>
    </w:p>
    <w:p w:rsidR="00FB0E38" w:rsidRDefault="00FB0E38" w:rsidP="00FB0E38">
      <w:pPr>
        <w:jc w:val="both"/>
        <w:rPr>
          <w:b/>
          <w:szCs w:val="22"/>
        </w:rPr>
      </w:pPr>
    </w:p>
    <w:p w:rsidR="00FB0E38" w:rsidRDefault="00FB0E38" w:rsidP="00FB0E38">
      <w:pPr>
        <w:jc w:val="both"/>
        <w:rPr>
          <w:b/>
          <w:szCs w:val="22"/>
        </w:rPr>
      </w:pPr>
      <w:r>
        <w:rPr>
          <w:b/>
        </w:rPr>
        <w:t>5.1</w:t>
      </w:r>
      <w:r>
        <w:rPr>
          <w:b/>
        </w:rPr>
        <w:tab/>
        <w:t>Farmakodynamické vlastnosti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t xml:space="preserve">Oxacilin je </w:t>
      </w:r>
      <w:proofErr w:type="spellStart"/>
      <w:r>
        <w:t>polosyntetické</w:t>
      </w:r>
      <w:proofErr w:type="spellEnd"/>
      <w:r>
        <w:t xml:space="preserve"> beta-</w:t>
      </w:r>
      <w:proofErr w:type="spellStart"/>
      <w:r>
        <w:t>laktamové</w:t>
      </w:r>
      <w:proofErr w:type="spellEnd"/>
      <w:r>
        <w:t xml:space="preserve"> antibiotikum rezistentní k </w:t>
      </w:r>
      <w:proofErr w:type="spellStart"/>
      <w:r>
        <w:t>penicilináze</w:t>
      </w:r>
      <w:proofErr w:type="spellEnd"/>
      <w:r>
        <w:t>. Tak jako jiné peniciliny má baktericidní účinek na proliferaci bakterií inhibicí syntézy jejich buněčné stěny. Oxacilin vykazuje účinnost proti mnoha streptokokům a stafylokokům, včetně bakterií tvořících beta-</w:t>
      </w:r>
      <w:proofErr w:type="spellStart"/>
      <w:r>
        <w:t>laktamázy</w:t>
      </w:r>
      <w:proofErr w:type="spellEnd"/>
      <w:r>
        <w:t>. Avšak u jiných bakterií, než u stafylokoků produkujících beta-</w:t>
      </w:r>
      <w:proofErr w:type="spellStart"/>
      <w:r>
        <w:t>laktamázu</w:t>
      </w:r>
      <w:proofErr w:type="spellEnd"/>
      <w:r>
        <w:t xml:space="preserve">, je jeho účinnost podstatně nižší než účinnost </w:t>
      </w:r>
      <w:proofErr w:type="spellStart"/>
      <w:r>
        <w:t>benzylpenicilinu</w:t>
      </w:r>
      <w:proofErr w:type="spellEnd"/>
      <w:r>
        <w:t xml:space="preserve">. Oxacilin vykazuje dobrou </w:t>
      </w:r>
      <w:r>
        <w:rPr>
          <w:i/>
        </w:rPr>
        <w:t>in vitro</w:t>
      </w:r>
      <w:r>
        <w:t xml:space="preserve"> účinnost vůči bakteriím </w:t>
      </w:r>
      <w:proofErr w:type="spellStart"/>
      <w:r>
        <w:rPr>
          <w:i/>
        </w:rPr>
        <w:t>Streptococcus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agalactiae</w:t>
      </w:r>
      <w:proofErr w:type="spellEnd"/>
      <w:r>
        <w:t>, které jsou významným patogenem mastitidy. Oxacilin je neúčinný vůči enterokokům i vůči gramnegativním bakteriím.</w:t>
      </w:r>
    </w:p>
    <w:p w:rsidR="00FB0E38" w:rsidRDefault="00FB0E38" w:rsidP="00FB0E38">
      <w:pPr>
        <w:ind w:left="0" w:firstLine="0"/>
        <w:jc w:val="both"/>
        <w:rPr>
          <w:szCs w:val="22"/>
        </w:rPr>
      </w:pPr>
    </w:p>
    <w:p w:rsidR="00FB0E38" w:rsidRDefault="00FB0E38" w:rsidP="00FB0E38">
      <w:pPr>
        <w:ind w:left="0" w:firstLine="0"/>
        <w:jc w:val="both"/>
        <w:rPr>
          <w:szCs w:val="22"/>
        </w:rPr>
      </w:pPr>
      <w:r>
        <w:t>Nejrelevantnějším mechanismem rezistence je získání genu kódujícího modifikovaný protein vázající penicilin se sníženou afinitou k léčivu.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5.2</w:t>
      </w:r>
      <w:r>
        <w:rPr>
          <w:b/>
        </w:rPr>
        <w:tab/>
        <w:t>Farmakokinetické údaje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t xml:space="preserve">Vazba plazmatických proteinů s oxacilinem je </w:t>
      </w:r>
      <w:proofErr w:type="gramStart"/>
      <w:r>
        <w:t>udávána &gt;</w:t>
      </w:r>
      <w:proofErr w:type="gramEnd"/>
      <w:r>
        <w:t> 90 %. K eliminaci dochází jak prostřednictvím mléka, tak i renálně po systémové absorpci.</w:t>
      </w:r>
    </w:p>
    <w:p w:rsidR="00FB0E38" w:rsidRDefault="00FB0E38" w:rsidP="00FB0E38">
      <w:pPr>
        <w:ind w:left="0" w:firstLine="0"/>
        <w:jc w:val="both"/>
        <w:rPr>
          <w:b/>
          <w:szCs w:val="22"/>
        </w:rPr>
      </w:pPr>
    </w:p>
    <w:p w:rsidR="00FB0E38" w:rsidRDefault="00FB0E38" w:rsidP="00FB0E38">
      <w:pPr>
        <w:ind w:left="0" w:firstLine="0"/>
        <w:jc w:val="both"/>
        <w:rPr>
          <w:b/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6.</w:t>
      </w:r>
      <w:r>
        <w:rPr>
          <w:b/>
        </w:rPr>
        <w:tab/>
        <w:t>FARMACEUTICKÉ ÚDAJE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b/>
          <w:szCs w:val="22"/>
        </w:rPr>
      </w:pPr>
      <w:r>
        <w:rPr>
          <w:b/>
        </w:rPr>
        <w:t>6.1</w:t>
      </w:r>
      <w:r>
        <w:rPr>
          <w:b/>
        </w:rPr>
        <w:tab/>
        <w:t>Seznam pomocných látek</w:t>
      </w:r>
    </w:p>
    <w:p w:rsidR="00FB0E38" w:rsidRDefault="00FB0E38" w:rsidP="00FB0E38">
      <w:pPr>
        <w:jc w:val="both"/>
        <w:rPr>
          <w:szCs w:val="22"/>
        </w:rPr>
      </w:pPr>
      <w:r>
        <w:t>Bílá vazelína</w:t>
      </w:r>
    </w:p>
    <w:p w:rsidR="00FB0E38" w:rsidRDefault="00FB0E38" w:rsidP="00FB0E38">
      <w:pPr>
        <w:jc w:val="both"/>
        <w:rPr>
          <w:szCs w:val="22"/>
        </w:rPr>
      </w:pPr>
      <w:proofErr w:type="spellStart"/>
      <w:r>
        <w:t>Triacylglyceroly</w:t>
      </w:r>
      <w:proofErr w:type="spellEnd"/>
      <w:r>
        <w:t xml:space="preserve"> se středním řetězcem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6.2</w:t>
      </w:r>
      <w:r>
        <w:rPr>
          <w:b/>
        </w:rPr>
        <w:tab/>
        <w:t>Hlavní inkompatibility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t>Studie kompatibility nejsou k dispozici, a proto tento veterinární léčivý přípravek nesmí být mísen s žádnými dalšími veterinárními léčivými přípravky.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6.3</w:t>
      </w:r>
      <w:r>
        <w:rPr>
          <w:b/>
        </w:rPr>
        <w:tab/>
        <w:t>Doba použitelnosti</w:t>
      </w:r>
    </w:p>
    <w:p w:rsidR="00FB0E38" w:rsidRDefault="00FB0E38" w:rsidP="00FB0E38">
      <w:pPr>
        <w:jc w:val="both"/>
        <w:rPr>
          <w:szCs w:val="22"/>
        </w:rPr>
      </w:pPr>
      <w:r>
        <w:t xml:space="preserve">Doba použitelnosti veterinárního léčivého přípravku v neporušeném obalu: </w:t>
      </w:r>
      <w:r w:rsidR="00071C66">
        <w:t xml:space="preserve">2 </w:t>
      </w:r>
      <w:r>
        <w:t>roky.</w:t>
      </w:r>
    </w:p>
    <w:p w:rsidR="00FB0E38" w:rsidRDefault="00FB0E38" w:rsidP="00FB0E38">
      <w:pPr>
        <w:jc w:val="both"/>
        <w:rPr>
          <w:szCs w:val="22"/>
        </w:rPr>
      </w:pPr>
      <w:r>
        <w:t xml:space="preserve">Doba použitelnosti po prvním otevření vnitřního obalu: spotřebujte ihned. 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6.4</w:t>
      </w:r>
      <w:r>
        <w:rPr>
          <w:b/>
        </w:rPr>
        <w:tab/>
        <w:t>Zvláštní opatření pro uchovávání</w:t>
      </w:r>
    </w:p>
    <w:p w:rsidR="00FB0E38" w:rsidRDefault="00071C66" w:rsidP="00FB0E38">
      <w:pPr>
        <w:jc w:val="both"/>
        <w:rPr>
          <w:szCs w:val="22"/>
        </w:rPr>
      </w:pPr>
      <w:r>
        <w:t>Uchovávejte při teplotě do 25 °C.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6.5</w:t>
      </w:r>
      <w:r>
        <w:rPr>
          <w:b/>
        </w:rPr>
        <w:tab/>
        <w:t>Druh a složení vnitřního obalu</w:t>
      </w:r>
    </w:p>
    <w:p w:rsidR="00FB0E38" w:rsidRDefault="00FB0E38" w:rsidP="00FB0E38">
      <w:pPr>
        <w:jc w:val="both"/>
      </w:pPr>
      <w:proofErr w:type="spellStart"/>
      <w:r>
        <w:t>Intramamární</w:t>
      </w:r>
      <w:proofErr w:type="spellEnd"/>
      <w:r>
        <w:t xml:space="preserve"> aplikátor, píst a uzávěr z LLDPE</w:t>
      </w:r>
    </w:p>
    <w:p w:rsidR="00FB0E38" w:rsidRDefault="00FB0E38" w:rsidP="00FB0E38">
      <w:pPr>
        <w:jc w:val="both"/>
      </w:pPr>
      <w:r>
        <w:t xml:space="preserve">Papírová krabička s 24 </w:t>
      </w:r>
      <w:proofErr w:type="spellStart"/>
      <w:r>
        <w:t>intramamárními</w:t>
      </w:r>
      <w:proofErr w:type="spellEnd"/>
      <w:r>
        <w:t xml:space="preserve"> aplikátory o obsahu 10 g</w:t>
      </w:r>
    </w:p>
    <w:p w:rsidR="00FB0E38" w:rsidRDefault="00FB0E38" w:rsidP="00FB0E38">
      <w:pPr>
        <w:jc w:val="both"/>
        <w:rPr>
          <w:szCs w:val="22"/>
        </w:rPr>
      </w:pPr>
      <w:r>
        <w:t xml:space="preserve">Papírová krabička s 20 </w:t>
      </w:r>
      <w:proofErr w:type="spellStart"/>
      <w:r>
        <w:t>intramamárními</w:t>
      </w:r>
      <w:proofErr w:type="spellEnd"/>
      <w:r>
        <w:t xml:space="preserve"> aplikátory o obsahu 10 g</w:t>
      </w:r>
    </w:p>
    <w:p w:rsidR="00FB0E38" w:rsidRDefault="00FB0E38" w:rsidP="00FB0E38">
      <w:pPr>
        <w:jc w:val="both"/>
        <w:rPr>
          <w:szCs w:val="22"/>
        </w:rPr>
      </w:pPr>
      <w:r>
        <w:t xml:space="preserve">Papírová krabička s 10 </w:t>
      </w:r>
      <w:proofErr w:type="spellStart"/>
      <w:r>
        <w:t>intramamárními</w:t>
      </w:r>
      <w:proofErr w:type="spellEnd"/>
      <w:r>
        <w:t xml:space="preserve"> aplikátory o obsahu 10 g 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t>Na trhu nemusí být všechny velikosti balení.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6.6</w:t>
      </w:r>
      <w:r>
        <w:tab/>
      </w:r>
      <w:r>
        <w:rPr>
          <w:b/>
        </w:rPr>
        <w:t>Zvláštní opatření pro zneškodňování nepoužitého veterinárního léčivého přípravku nebo odpadu, který pochází z tohoto přípravku</w:t>
      </w:r>
    </w:p>
    <w:p w:rsidR="00FB0E38" w:rsidRDefault="00FB0E38" w:rsidP="00FB0E38">
      <w:pPr>
        <w:ind w:left="0" w:firstLine="0"/>
        <w:jc w:val="both"/>
        <w:rPr>
          <w:szCs w:val="22"/>
        </w:rPr>
      </w:pPr>
      <w:r>
        <w:t>Všechen nepoužitý veterinární léčivý přípravek nebo odpad, který pochází z tohoto přípravku, musí být likvidován podle místních právních předpisů.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b/>
          <w:szCs w:val="22"/>
        </w:rPr>
      </w:pPr>
      <w:r>
        <w:rPr>
          <w:b/>
        </w:rPr>
        <w:t>7.</w:t>
      </w:r>
      <w:r>
        <w:rPr>
          <w:b/>
        </w:rPr>
        <w:tab/>
        <w:t>DRŽITEL ROZHODNUTÍ O REGISTRACI</w:t>
      </w:r>
    </w:p>
    <w:p w:rsidR="00FB0E38" w:rsidRDefault="00FB0E38" w:rsidP="00FB0E38">
      <w:pPr>
        <w:jc w:val="both"/>
        <w:rPr>
          <w:szCs w:val="22"/>
        </w:rPr>
      </w:pPr>
      <w:proofErr w:type="spellStart"/>
      <w:r>
        <w:t>Pharmanovo</w:t>
      </w:r>
      <w:proofErr w:type="spellEnd"/>
      <w:r>
        <w:t xml:space="preserve"> </w:t>
      </w:r>
      <w:proofErr w:type="spellStart"/>
      <w:r>
        <w:t>Veterinärarzneimittel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FB0E38" w:rsidRDefault="00FB0E38" w:rsidP="00FB0E38">
      <w:pPr>
        <w:jc w:val="both"/>
        <w:rPr>
          <w:szCs w:val="22"/>
        </w:rPr>
      </w:pPr>
      <w:proofErr w:type="spellStart"/>
      <w:r>
        <w:t>Liebochstr</w:t>
      </w:r>
      <w:proofErr w:type="spellEnd"/>
      <w:r>
        <w:t>. 9</w:t>
      </w:r>
    </w:p>
    <w:p w:rsidR="00FB0E38" w:rsidRDefault="00FB0E38" w:rsidP="00FB0E38">
      <w:pPr>
        <w:jc w:val="both"/>
        <w:rPr>
          <w:szCs w:val="22"/>
        </w:rPr>
      </w:pPr>
      <w:r>
        <w:lastRenderedPageBreak/>
        <w:t xml:space="preserve">8143 </w:t>
      </w:r>
      <w:proofErr w:type="spellStart"/>
      <w:r>
        <w:t>Dobl</w:t>
      </w:r>
      <w:proofErr w:type="spellEnd"/>
    </w:p>
    <w:p w:rsidR="00FB0E38" w:rsidRDefault="00FB0E38" w:rsidP="00FB0E38">
      <w:pPr>
        <w:jc w:val="both"/>
        <w:rPr>
          <w:szCs w:val="22"/>
        </w:rPr>
      </w:pPr>
      <w:r>
        <w:t>Rakousko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8.</w:t>
      </w:r>
      <w:r>
        <w:rPr>
          <w:b/>
        </w:rPr>
        <w:tab/>
        <w:t>REGISTRAČNÍ ČÍSLO(A)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szCs w:val="22"/>
        </w:rPr>
        <w:t>96/078/</w:t>
      </w:r>
      <w:proofErr w:type="gramStart"/>
      <w:r>
        <w:rPr>
          <w:szCs w:val="22"/>
        </w:rPr>
        <w:t>20-C</w:t>
      </w:r>
      <w:proofErr w:type="gramEnd"/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b/>
        </w:rPr>
        <w:t>9.</w:t>
      </w:r>
      <w:r>
        <w:rPr>
          <w:b/>
        </w:rPr>
        <w:tab/>
        <w:t>DATUM REGISTRACE/ PRODLOUŽENÍ REGISTRACE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  <w:r>
        <w:rPr>
          <w:szCs w:val="22"/>
        </w:rPr>
        <w:t>5. 1. 2021</w:t>
      </w: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szCs w:val="22"/>
        </w:rPr>
      </w:pPr>
    </w:p>
    <w:p w:rsidR="00FB0E38" w:rsidRDefault="00FB0E38" w:rsidP="00FB0E38">
      <w:pPr>
        <w:jc w:val="both"/>
        <w:rPr>
          <w:b/>
          <w:szCs w:val="22"/>
        </w:rPr>
      </w:pPr>
      <w:r>
        <w:rPr>
          <w:b/>
        </w:rPr>
        <w:t>10</w:t>
      </w:r>
      <w:r>
        <w:rPr>
          <w:b/>
        </w:rPr>
        <w:tab/>
        <w:t>DATUM REVIZE TEXTU</w:t>
      </w:r>
    </w:p>
    <w:p w:rsidR="00FB0E38" w:rsidRDefault="00FB0E38" w:rsidP="00FB0E38">
      <w:pPr>
        <w:rPr>
          <w:szCs w:val="22"/>
        </w:rPr>
      </w:pPr>
    </w:p>
    <w:p w:rsidR="00FB0E38" w:rsidRDefault="00741016" w:rsidP="00FB0E38">
      <w:pPr>
        <w:rPr>
          <w:szCs w:val="22"/>
        </w:rPr>
      </w:pPr>
      <w:proofErr w:type="gramStart"/>
      <w:r>
        <w:rPr>
          <w:szCs w:val="22"/>
        </w:rPr>
        <w:t>Květen</w:t>
      </w:r>
      <w:proofErr w:type="gramEnd"/>
      <w:r>
        <w:rPr>
          <w:szCs w:val="22"/>
        </w:rPr>
        <w:t xml:space="preserve"> </w:t>
      </w:r>
      <w:r w:rsidR="00FB0E38">
        <w:rPr>
          <w:szCs w:val="22"/>
        </w:rPr>
        <w:t>202</w:t>
      </w:r>
      <w:r>
        <w:rPr>
          <w:szCs w:val="22"/>
        </w:rPr>
        <w:t>4</w:t>
      </w: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  <w:r>
        <w:rPr>
          <w:b/>
        </w:rPr>
        <w:t>DALŠÍ INFORMACE</w:t>
      </w: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  <w:r>
        <w:t>Veterinární léčivý přípravek je vydáván pouze na předpis.</w:t>
      </w: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  <w:bookmarkStart w:id="3" w:name="_GoBack"/>
      <w:bookmarkEnd w:id="3"/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>
      <w:pPr>
        <w:rPr>
          <w:szCs w:val="22"/>
        </w:rPr>
      </w:pPr>
    </w:p>
    <w:p w:rsidR="00FB0E38" w:rsidRDefault="00FB0E38" w:rsidP="00FB0E38"/>
    <w:p w:rsidR="00990659" w:rsidRPr="00FB0E38" w:rsidRDefault="00990659" w:rsidP="00FB0E38"/>
    <w:sectPr w:rsidR="00990659" w:rsidRPr="00FB0E38" w:rsidSect="0023064F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C4B" w:rsidRDefault="00535C4B">
      <w:r>
        <w:separator/>
      </w:r>
    </w:p>
  </w:endnote>
  <w:endnote w:type="continuationSeparator" w:id="0">
    <w:p w:rsidR="00535C4B" w:rsidRDefault="0053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01007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CD7D1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01007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23064F">
      <w:instrText xml:space="preserve"> PAGE  \* MERGEFORMAT </w:instrText>
    </w:r>
    <w:r>
      <w:fldChar w:fldCharType="separate"/>
    </w:r>
    <w:r w:rsidR="00CD7D1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C4B" w:rsidRDefault="00535C4B">
      <w:r>
        <w:separator/>
      </w:r>
    </w:p>
  </w:footnote>
  <w:footnote w:type="continuationSeparator" w:id="0">
    <w:p w:rsidR="00535C4B" w:rsidRDefault="00535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043AD"/>
    <w:rsid w:val="0001007A"/>
    <w:rsid w:val="00071C66"/>
    <w:rsid w:val="00081602"/>
    <w:rsid w:val="00117443"/>
    <w:rsid w:val="0023064F"/>
    <w:rsid w:val="002A0BAF"/>
    <w:rsid w:val="002D24FA"/>
    <w:rsid w:val="0034026A"/>
    <w:rsid w:val="004C13E4"/>
    <w:rsid w:val="00535C4B"/>
    <w:rsid w:val="00741016"/>
    <w:rsid w:val="007A0C8A"/>
    <w:rsid w:val="007E24E5"/>
    <w:rsid w:val="00990659"/>
    <w:rsid w:val="00A82534"/>
    <w:rsid w:val="00A90943"/>
    <w:rsid w:val="00AA0F00"/>
    <w:rsid w:val="00AB3C40"/>
    <w:rsid w:val="00CD7D1E"/>
    <w:rsid w:val="00D00C42"/>
    <w:rsid w:val="00E71162"/>
    <w:rsid w:val="00F42BC1"/>
    <w:rsid w:val="00F63373"/>
    <w:rsid w:val="00F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342ED-AF2F-4B2C-BC70-D4B71F0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23064F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23064F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23064F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23064F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23064F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23064F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3064F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23064F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064F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064F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23064F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23064F"/>
    <w:pPr>
      <w:ind w:left="1760"/>
    </w:pPr>
  </w:style>
  <w:style w:type="character" w:styleId="Odkaznavysvtlivky">
    <w:name w:val="endnote reference"/>
    <w:rsid w:val="0023064F"/>
    <w:rPr>
      <w:vertAlign w:val="superscript"/>
    </w:rPr>
  </w:style>
  <w:style w:type="character" w:styleId="Znakapoznpodarou">
    <w:name w:val="footnote reference"/>
    <w:rsid w:val="0023064F"/>
    <w:rPr>
      <w:vertAlign w:val="superscript"/>
    </w:rPr>
  </w:style>
  <w:style w:type="paragraph" w:styleId="Textpoznpodarou">
    <w:name w:val="footnote text"/>
    <w:basedOn w:val="Normln"/>
    <w:rsid w:val="0023064F"/>
    <w:pPr>
      <w:jc w:val="both"/>
    </w:pPr>
    <w:rPr>
      <w:sz w:val="20"/>
    </w:rPr>
  </w:style>
  <w:style w:type="paragraph" w:styleId="Zkladntext">
    <w:name w:val="Body Text"/>
    <w:basedOn w:val="Normln"/>
    <w:rsid w:val="0023064F"/>
    <w:pPr>
      <w:jc w:val="both"/>
    </w:pPr>
  </w:style>
  <w:style w:type="paragraph" w:styleId="Textvbloku">
    <w:name w:val="Block Text"/>
    <w:basedOn w:val="Normln"/>
    <w:rsid w:val="0023064F"/>
    <w:pPr>
      <w:ind w:left="2268" w:right="1711"/>
    </w:pPr>
    <w:rPr>
      <w:b/>
    </w:rPr>
  </w:style>
  <w:style w:type="paragraph" w:styleId="Zkladntext2">
    <w:name w:val="Body Text 2"/>
    <w:basedOn w:val="Normln"/>
    <w:rsid w:val="0023064F"/>
    <w:rPr>
      <w:b/>
    </w:rPr>
  </w:style>
  <w:style w:type="paragraph" w:styleId="Zkladntext3">
    <w:name w:val="Body Text 3"/>
    <w:basedOn w:val="Normln"/>
    <w:rsid w:val="0023064F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23064F"/>
  </w:style>
  <w:style w:type="character" w:styleId="Odkaznakoment">
    <w:name w:val="annotation reference"/>
    <w:rsid w:val="0023064F"/>
    <w:rPr>
      <w:sz w:val="16"/>
    </w:rPr>
  </w:style>
  <w:style w:type="paragraph" w:styleId="Zkladntextodsazen2">
    <w:name w:val="Body Text Indent 2"/>
    <w:basedOn w:val="Normln"/>
    <w:rsid w:val="0023064F"/>
    <w:pPr>
      <w:jc w:val="both"/>
    </w:pPr>
    <w:rPr>
      <w:b/>
    </w:rPr>
  </w:style>
  <w:style w:type="paragraph" w:styleId="Textkomente">
    <w:name w:val="annotation text"/>
    <w:basedOn w:val="Normln"/>
    <w:rsid w:val="0023064F"/>
    <w:rPr>
      <w:sz w:val="20"/>
    </w:rPr>
  </w:style>
  <w:style w:type="paragraph" w:styleId="Zkladntextodsazen3">
    <w:name w:val="Body Text Indent 3"/>
    <w:basedOn w:val="Normln"/>
    <w:rsid w:val="0023064F"/>
  </w:style>
  <w:style w:type="paragraph" w:customStyle="1" w:styleId="Bullet">
    <w:name w:val="Bullet"/>
    <w:basedOn w:val="Normln"/>
    <w:rsid w:val="0023064F"/>
    <w:pPr>
      <w:numPr>
        <w:numId w:val="2"/>
      </w:numPr>
    </w:pPr>
  </w:style>
  <w:style w:type="paragraph" w:styleId="Textbubliny">
    <w:name w:val="Balloon Text"/>
    <w:basedOn w:val="Normln"/>
    <w:rsid w:val="0023064F"/>
    <w:rPr>
      <w:rFonts w:ascii="Tahoma" w:hAnsi="Tahoma" w:cs="Tahoma"/>
      <w:sz w:val="16"/>
      <w:szCs w:val="16"/>
    </w:rPr>
  </w:style>
  <w:style w:type="character" w:styleId="Hypertextovodkaz">
    <w:name w:val="Hyperlink"/>
    <w:rsid w:val="0023064F"/>
    <w:rPr>
      <w:color w:val="0000FF"/>
      <w:u w:val="single"/>
    </w:rPr>
  </w:style>
  <w:style w:type="paragraph" w:customStyle="1" w:styleId="AHeader1">
    <w:name w:val="AHeader 1"/>
    <w:basedOn w:val="Normln"/>
    <w:rsid w:val="0023064F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23064F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23064F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23064F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23064F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2306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Zemek Jiří</dc:creator>
  <cp:keywords/>
  <dc:description/>
  <cp:lastModifiedBy>Neugebauerová Kateřina</cp:lastModifiedBy>
  <cp:revision>4</cp:revision>
  <cp:lastPrinted>2024-05-31T09:37:00Z</cp:lastPrinted>
  <dcterms:created xsi:type="dcterms:W3CDTF">2024-05-27T13:55:00Z</dcterms:created>
  <dcterms:modified xsi:type="dcterms:W3CDTF">2024-05-31T09:37:00Z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