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23D6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4C99FA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FEE4D8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E9E1320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50989A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FB2DF4" w14:textId="77777777" w:rsidR="00841123" w:rsidRPr="001B2245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E1EB399" w14:textId="77777777" w:rsidR="00841123" w:rsidRDefault="00841123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9CAA56C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390FA6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E1A5768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397ED3F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6757A22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3DB21BA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8A998F7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D5DFEA4" w14:textId="77777777" w:rsidR="006E1FCF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9FEBB49" w14:textId="77777777" w:rsidR="006E1FCF" w:rsidRPr="001B2245" w:rsidRDefault="006E1FCF" w:rsidP="00841123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bookmarkStart w:id="0" w:name="_GoBack"/>
      <w:bookmarkEnd w:id="0"/>
    </w:p>
    <w:p w14:paraId="403D6974" w14:textId="77777777" w:rsidR="00AC6CC5" w:rsidRDefault="00AC6CC5" w:rsidP="00AC6CC5">
      <w:pPr>
        <w:spacing w:after="0" w:line="240" w:lineRule="auto"/>
        <w:jc w:val="center"/>
      </w:pPr>
    </w:p>
    <w:p w14:paraId="0F0360FC" w14:textId="77777777" w:rsidR="00AC6CC5" w:rsidRDefault="00AC6CC5" w:rsidP="00AC6CC5">
      <w:pPr>
        <w:spacing w:after="0" w:line="240" w:lineRule="auto"/>
        <w:jc w:val="center"/>
      </w:pPr>
    </w:p>
    <w:p w14:paraId="0FAC4EDC" w14:textId="77777777" w:rsidR="00AC6CC5" w:rsidRDefault="00AC6CC5" w:rsidP="00AC6CC5">
      <w:pPr>
        <w:spacing w:after="0" w:line="240" w:lineRule="auto"/>
        <w:jc w:val="center"/>
      </w:pPr>
    </w:p>
    <w:p w14:paraId="605A00F2" w14:textId="77777777" w:rsidR="00AC6CC5" w:rsidRDefault="00AC6CC5" w:rsidP="00AC6CC5">
      <w:pPr>
        <w:spacing w:after="0" w:line="240" w:lineRule="auto"/>
        <w:jc w:val="center"/>
      </w:pPr>
    </w:p>
    <w:p w14:paraId="77E33880" w14:textId="77777777" w:rsidR="00AC6CC5" w:rsidRDefault="00AC6CC5" w:rsidP="00AC6CC5">
      <w:pPr>
        <w:spacing w:after="0" w:line="240" w:lineRule="auto"/>
        <w:jc w:val="center"/>
      </w:pPr>
    </w:p>
    <w:p w14:paraId="62FB789D" w14:textId="77777777" w:rsidR="00AC6CC5" w:rsidRDefault="00AC6CC5" w:rsidP="00AC6CC5">
      <w:pPr>
        <w:spacing w:after="0" w:line="240" w:lineRule="auto"/>
        <w:jc w:val="center"/>
      </w:pPr>
    </w:p>
    <w:p w14:paraId="644F1173" w14:textId="77777777" w:rsidR="00AC6CC5" w:rsidRDefault="00AC6CC5" w:rsidP="00AC6CC5">
      <w:pPr>
        <w:spacing w:after="0" w:line="240" w:lineRule="auto"/>
        <w:jc w:val="center"/>
      </w:pPr>
    </w:p>
    <w:p w14:paraId="485D50A1" w14:textId="77777777" w:rsidR="00AC6CC5" w:rsidRDefault="00AC6CC5" w:rsidP="00AC6CC5">
      <w:pPr>
        <w:spacing w:after="0" w:line="240" w:lineRule="auto"/>
        <w:jc w:val="center"/>
      </w:pPr>
    </w:p>
    <w:p w14:paraId="3EEB00E3" w14:textId="77777777" w:rsidR="00AC6CC5" w:rsidRDefault="00AC6CC5" w:rsidP="00AC6CC5">
      <w:pPr>
        <w:spacing w:after="0" w:line="240" w:lineRule="auto"/>
        <w:jc w:val="center"/>
      </w:pPr>
    </w:p>
    <w:p w14:paraId="3BDD98A7" w14:textId="77777777" w:rsidR="00CD565E" w:rsidRPr="00CD565E" w:rsidRDefault="00AC6CC5" w:rsidP="00CD565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57EC3">
        <w:rPr>
          <w:rFonts w:ascii="Times New Roman" w:eastAsia="Times New Roman" w:hAnsi="Times New Roman" w:cs="Times New Roman"/>
          <w:b/>
          <w:szCs w:val="20"/>
          <w:lang w:val="cs-CZ"/>
        </w:rPr>
        <w:t>B. PŘÍBALOVÁ INFORMACE</w:t>
      </w:r>
    </w:p>
    <w:p w14:paraId="588DDA7B" w14:textId="3F360001" w:rsidR="00AC6CC5" w:rsidRPr="00F57EC3" w:rsidRDefault="00CD565E" w:rsidP="00CD565E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  <w:lang w:val="cs-CZ"/>
        </w:rPr>
      </w:pPr>
      <w:r w:rsidRPr="00CD565E">
        <w:rPr>
          <w:rFonts w:ascii="Times New Roman" w:eastAsia="Times New Roman" w:hAnsi="Times New Roman" w:cs="Times New Roman"/>
          <w:b/>
          <w:szCs w:val="20"/>
        </w:rPr>
        <w:br w:type="page"/>
      </w:r>
    </w:p>
    <w:p w14:paraId="0BB00D3A" w14:textId="77777777" w:rsidR="00CD565E" w:rsidRDefault="00CD565E" w:rsidP="00AC6CC5">
      <w:pPr>
        <w:spacing w:after="0" w:line="240" w:lineRule="auto"/>
        <w:jc w:val="center"/>
      </w:pPr>
    </w:p>
    <w:p w14:paraId="2BCCEE4A" w14:textId="3D694CB2" w:rsidR="00AC6CC5" w:rsidRPr="006E783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783C">
        <w:t xml:space="preserve"> </w:t>
      </w:r>
      <w:r w:rsidRPr="006E783C">
        <w:rPr>
          <w:rFonts w:ascii="Times New Roman" w:eastAsia="Times New Roman" w:hAnsi="Times New Roman" w:cs="Times New Roman"/>
          <w:b/>
        </w:rPr>
        <w:t>PŘÍBALOVÁ INFORMACE:</w:t>
      </w:r>
    </w:p>
    <w:p w14:paraId="6FDE4C7F" w14:textId="77777777" w:rsidR="00AC6CC5" w:rsidRPr="002437A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/>
          <w:bCs/>
          <w:lang w:val="cs-CZ"/>
        </w:rPr>
        <w:t>Metrocare</w:t>
      </w:r>
      <w:proofErr w:type="spellEnd"/>
      <w:r w:rsidRPr="002437AC">
        <w:rPr>
          <w:rFonts w:ascii="Times New Roman" w:eastAsia="Times New Roman" w:hAnsi="Times New Roman" w:cs="Times New Roman"/>
          <w:b/>
          <w:bCs/>
          <w:lang w:val="cs-CZ"/>
        </w:rPr>
        <w:t xml:space="preserve"> 250 mg tablety pro psy a kočky</w:t>
      </w:r>
    </w:p>
    <w:p w14:paraId="3E2991A5" w14:textId="77777777" w:rsidR="00AC6CC5" w:rsidRPr="006E783C" w:rsidRDefault="00AC6CC5" w:rsidP="00AC6CC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C53F95" w14:textId="77777777" w:rsidR="00AC6CC5" w:rsidRPr="006E783C" w:rsidRDefault="00AC6CC5" w:rsidP="00AC6CC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6E783C">
        <w:rPr>
          <w:rFonts w:ascii="Times New Roman" w:eastAsia="Times New Roman" w:hAnsi="Times New Roman" w:cs="Times New Roman"/>
          <w:b/>
        </w:rPr>
        <w:t>1.</w:t>
      </w:r>
      <w:r w:rsidRPr="006E783C">
        <w:rPr>
          <w:rFonts w:ascii="Times New Roman" w:eastAsia="Times New Roman" w:hAnsi="Times New Roman" w:cs="Times New Roman"/>
          <w:b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JMÉNO A ADRESA DRŽITELE ROZHODNUTÍ O REGISTRACI A DRŽITELE POVOLENÍ K VÝROBĚ ODPOVĚDNÉHO ZA UVOLNĚNÍ ŠARŽE, POKUD SE NESHODUJE</w:t>
      </w:r>
    </w:p>
    <w:p w14:paraId="39250C66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973A7" w14:textId="77777777" w:rsidR="00AC6CC5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</w:pPr>
      <w:r w:rsidRPr="00F57EC3"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>Držitel rozhodnutí o registraci</w:t>
      </w:r>
      <w:r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>:</w:t>
      </w:r>
      <w:r w:rsidRPr="00F57EC3">
        <w:rPr>
          <w:rFonts w:ascii="Times New Roman" w:eastAsia="Times New Roman" w:hAnsi="Times New Roman" w:cs="Times New Roman"/>
          <w:iCs/>
          <w:sz w:val="24"/>
          <w:szCs w:val="20"/>
          <w:u w:val="single"/>
          <w:lang w:val="cs-CZ"/>
        </w:rPr>
        <w:t xml:space="preserve"> </w:t>
      </w:r>
    </w:p>
    <w:p w14:paraId="4BB6BC43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Ecuphar</w:t>
      </w:r>
      <w:proofErr w:type="spellEnd"/>
      <w:r w:rsidRPr="006E783C">
        <w:rPr>
          <w:rFonts w:ascii="Times New Roman" w:eastAsia="Times New Roman" w:hAnsi="Times New Roman" w:cs="Times New Roman"/>
          <w:sz w:val="24"/>
          <w:szCs w:val="20"/>
        </w:rPr>
        <w:t xml:space="preserve"> NV</w:t>
      </w:r>
    </w:p>
    <w:p w14:paraId="3C613413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Legeweg</w:t>
      </w:r>
      <w:proofErr w:type="spellEnd"/>
      <w:r w:rsidRPr="006E783C">
        <w:rPr>
          <w:rFonts w:ascii="Times New Roman" w:eastAsia="Times New Roman" w:hAnsi="Times New Roman" w:cs="Times New Roman"/>
          <w:sz w:val="24"/>
          <w:szCs w:val="20"/>
        </w:rPr>
        <w:t xml:space="preserve"> 157-i</w:t>
      </w:r>
    </w:p>
    <w:p w14:paraId="78179FA8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E783C">
        <w:rPr>
          <w:rFonts w:ascii="Times New Roman" w:eastAsia="Times New Roman" w:hAnsi="Times New Roman" w:cs="Times New Roman"/>
          <w:sz w:val="24"/>
          <w:szCs w:val="20"/>
        </w:rPr>
        <w:t>B-8020</w:t>
      </w:r>
    </w:p>
    <w:p w14:paraId="3D54D94E" w14:textId="77777777" w:rsidR="00AC6CC5" w:rsidRPr="006E783C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Oostkamp</w:t>
      </w:r>
      <w:proofErr w:type="spellEnd"/>
    </w:p>
    <w:p w14:paraId="7B21671D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proofErr w:type="spellStart"/>
      <w:r w:rsidRPr="006E783C">
        <w:rPr>
          <w:rFonts w:ascii="Times New Roman" w:eastAsia="Times New Roman" w:hAnsi="Times New Roman" w:cs="Times New Roman"/>
          <w:sz w:val="24"/>
          <w:szCs w:val="20"/>
        </w:rPr>
        <w:t>Belgi</w:t>
      </w:r>
      <w:r>
        <w:rPr>
          <w:rFonts w:ascii="Times New Roman" w:eastAsia="Times New Roman" w:hAnsi="Times New Roman" w:cs="Times New Roman"/>
          <w:sz w:val="24"/>
          <w:szCs w:val="20"/>
        </w:rPr>
        <w:t>e</w:t>
      </w:r>
      <w:proofErr w:type="spellEnd"/>
      <w:r w:rsidRPr="006E783C" w:rsidDel="00AD56AE">
        <w:rPr>
          <w:rFonts w:ascii="Times New Roman" w:eastAsia="Times New Roman" w:hAnsi="Times New Roman" w:cs="Times New Roman"/>
          <w:iCs/>
        </w:rPr>
        <w:t xml:space="preserve"> </w:t>
      </w:r>
    </w:p>
    <w:p w14:paraId="4B7DC550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07589E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57EC3">
        <w:rPr>
          <w:rFonts w:ascii="Times New Roman" w:eastAsia="Times New Roman" w:hAnsi="Times New Roman" w:cs="Times New Roman"/>
          <w:bCs/>
          <w:u w:val="single"/>
          <w:lang w:val="cs-CZ"/>
        </w:rPr>
        <w:t>Výrobce odpovědný za uvolnění šarže</w:t>
      </w:r>
      <w:r w:rsidRPr="006E783C">
        <w:rPr>
          <w:rFonts w:ascii="Times New Roman" w:eastAsia="Times New Roman" w:hAnsi="Times New Roman" w:cs="Times New Roman"/>
          <w:bCs/>
        </w:rPr>
        <w:t>:</w:t>
      </w:r>
    </w:p>
    <w:p w14:paraId="3BDF74F9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Lelypharma B.V.</w:t>
      </w:r>
    </w:p>
    <w:p w14:paraId="06974A8E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Zuiveringsweg 42</w:t>
      </w:r>
    </w:p>
    <w:p w14:paraId="7513D1BF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8243 PZ</w:t>
      </w:r>
    </w:p>
    <w:p w14:paraId="14627404" w14:textId="77777777" w:rsidR="00AC6CC5" w:rsidRPr="006E783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6E783C">
        <w:rPr>
          <w:rFonts w:ascii="Times New Roman" w:eastAsia="Times New Roman" w:hAnsi="Times New Roman" w:cs="Times New Roman"/>
          <w:iCs/>
          <w:lang w:val="nl-NL"/>
        </w:rPr>
        <w:t>Lelystad</w:t>
      </w:r>
    </w:p>
    <w:p w14:paraId="2009790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  <w:r w:rsidRPr="00AC6CC5">
        <w:rPr>
          <w:rFonts w:ascii="Times New Roman" w:eastAsia="Times New Roman" w:hAnsi="Times New Roman" w:cs="Times New Roman"/>
          <w:iCs/>
          <w:lang w:val="nl-NL"/>
        </w:rPr>
        <w:t>Nizozemí</w:t>
      </w:r>
    </w:p>
    <w:p w14:paraId="26749E2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nl-NL"/>
        </w:rPr>
      </w:pPr>
    </w:p>
    <w:p w14:paraId="62E499EE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76F23625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  <w:r w:rsidRPr="00AC6CC5">
        <w:rPr>
          <w:rFonts w:ascii="Times New Roman" w:eastAsia="Times New Roman" w:hAnsi="Times New Roman" w:cs="Times New Roman"/>
          <w:b/>
          <w:lang w:val="nl-NL"/>
        </w:rPr>
        <w:t>2.</w:t>
      </w:r>
      <w:r w:rsidRPr="00AC6CC5">
        <w:rPr>
          <w:rFonts w:ascii="Times New Roman" w:eastAsia="Times New Roman" w:hAnsi="Times New Roman" w:cs="Times New Roman"/>
          <w:b/>
          <w:lang w:val="nl-NL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NÁZEV VETERINÁRNÍHO LÉČIVÉHO PŘÍPRAVKU</w:t>
      </w:r>
    </w:p>
    <w:p w14:paraId="45141ED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12734085" w14:textId="563E1FD6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Metrocare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250 mg tablety pro psy a kočky</w:t>
      </w:r>
    </w:p>
    <w:p w14:paraId="6A7EDC78" w14:textId="56BEB9C9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EA058C">
        <w:rPr>
          <w:rFonts w:ascii="Times New Roman" w:eastAsia="Times New Roman" w:hAnsi="Times New Roman" w:cs="Times New Roman"/>
        </w:rPr>
        <w:t>Metronidazol</w:t>
      </w:r>
      <w:r w:rsidR="00AA62A7">
        <w:rPr>
          <w:rFonts w:ascii="Times New Roman" w:eastAsia="Times New Roman" w:hAnsi="Times New Roman" w:cs="Times New Roman"/>
        </w:rPr>
        <w:t>um</w:t>
      </w:r>
      <w:proofErr w:type="spellEnd"/>
      <w:r w:rsidRPr="00EA058C">
        <w:rPr>
          <w:rFonts w:ascii="Times New Roman" w:eastAsia="Times New Roman" w:hAnsi="Times New Roman" w:cs="Times New Roman"/>
        </w:rPr>
        <w:t xml:space="preserve"> </w:t>
      </w:r>
    </w:p>
    <w:p w14:paraId="1FDCE39A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145605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34FE2B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A058C">
        <w:rPr>
          <w:rFonts w:ascii="Times New Roman" w:eastAsia="Times New Roman" w:hAnsi="Times New Roman" w:cs="Times New Roman"/>
          <w:b/>
        </w:rPr>
        <w:t>3.</w:t>
      </w:r>
      <w:r w:rsidRPr="00EA058C">
        <w:rPr>
          <w:rFonts w:ascii="Times New Roman" w:eastAsia="Times New Roman" w:hAnsi="Times New Roman" w:cs="Times New Roman"/>
          <w:b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 xml:space="preserve">OBSAH LÉČIVÝCH </w:t>
      </w:r>
      <w:proofErr w:type="gramStart"/>
      <w:r w:rsidRPr="00F57EC3">
        <w:rPr>
          <w:rFonts w:ascii="Times New Roman" w:eastAsia="Times New Roman" w:hAnsi="Times New Roman" w:cs="Times New Roman"/>
          <w:b/>
          <w:lang w:val="cs-CZ"/>
        </w:rPr>
        <w:t>A</w:t>
      </w:r>
      <w:proofErr w:type="gramEnd"/>
      <w:r w:rsidRPr="00F57EC3">
        <w:rPr>
          <w:rFonts w:ascii="Times New Roman" w:eastAsia="Times New Roman" w:hAnsi="Times New Roman" w:cs="Times New Roman"/>
          <w:b/>
          <w:lang w:val="cs-CZ"/>
        </w:rPr>
        <w:t xml:space="preserve"> OSTATNÍCH LÁTEK</w:t>
      </w:r>
    </w:p>
    <w:p w14:paraId="6F07974D" w14:textId="77777777" w:rsidR="00AC6CC5" w:rsidRPr="00EA058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1446374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Jedna tableta obsahuje:</w:t>
      </w:r>
    </w:p>
    <w:p w14:paraId="07A823FF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DAE0AA1" w14:textId="77777777" w:rsidR="00AA62A7" w:rsidRPr="00AA62A7" w:rsidRDefault="00AC6CC5" w:rsidP="006E1FCF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r w:rsidRPr="006E1FCF">
        <w:rPr>
          <w:rFonts w:ascii="Times New Roman" w:eastAsia="Times New Roman" w:hAnsi="Times New Roman" w:cs="Times New Roman"/>
          <w:b/>
          <w:bCs/>
          <w:iCs/>
          <w:lang w:val="cs-CZ"/>
        </w:rPr>
        <w:t>Léčivá látka:</w:t>
      </w:r>
      <w:r w:rsidRPr="00AA62A7">
        <w:rPr>
          <w:rFonts w:ascii="Times New Roman" w:eastAsia="Times New Roman" w:hAnsi="Times New Roman" w:cs="Times New Roman"/>
          <w:b/>
          <w:iCs/>
          <w:lang w:val="cs-CZ"/>
        </w:rPr>
        <w:t xml:space="preserve"> </w:t>
      </w:r>
    </w:p>
    <w:p w14:paraId="5879B2B8" w14:textId="285846DC" w:rsidR="00AC6CC5" w:rsidRPr="002437AC" w:rsidRDefault="00AA62A7" w:rsidP="006E1FCF">
      <w:pPr>
        <w:tabs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iCs/>
          <w:lang w:val="cs-CZ"/>
        </w:rPr>
        <w:t>Metronidazol</w:t>
      </w:r>
      <w:r>
        <w:rPr>
          <w:rFonts w:ascii="Times New Roman" w:eastAsia="Times New Roman" w:hAnsi="Times New Roman" w:cs="Times New Roman"/>
          <w:iCs/>
          <w:lang w:val="cs-CZ"/>
        </w:rPr>
        <w:t>um</w:t>
      </w:r>
      <w:proofErr w:type="spellEnd"/>
      <w:r>
        <w:rPr>
          <w:rFonts w:ascii="Times New Roman" w:eastAsia="Times New Roman" w:hAnsi="Times New Roman" w:cs="Times New Roman"/>
          <w:iCs/>
          <w:lang w:val="cs-CZ"/>
        </w:rPr>
        <w:tab/>
      </w:r>
      <w:r w:rsidR="00AC6CC5" w:rsidRPr="002437AC">
        <w:rPr>
          <w:rFonts w:ascii="Times New Roman" w:eastAsia="Times New Roman" w:hAnsi="Times New Roman" w:cs="Times New Roman"/>
          <w:iCs/>
          <w:lang w:val="cs-CZ"/>
        </w:rPr>
        <w:t>250 mg</w:t>
      </w:r>
    </w:p>
    <w:p w14:paraId="4FCA28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198CA9F4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Bílá až šedo-bílá okrouhlá a konvexní tableta s dělicí rýhou ve tvaru kříže na jedné straně.</w:t>
      </w:r>
    </w:p>
    <w:p w14:paraId="4460A8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Tablety lze rozdělit na 2 nebo 4 stejné části.</w:t>
      </w:r>
    </w:p>
    <w:p w14:paraId="4B393616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CDCD3D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B8B85F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4.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INDIKACE</w:t>
      </w:r>
    </w:p>
    <w:p w14:paraId="3F8614B7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15D5823B" w14:textId="58BE2570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gastrointestinálního traktu </w:t>
      </w:r>
      <w:r w:rsidR="00EB0E87">
        <w:rPr>
          <w:rFonts w:ascii="Times New Roman" w:eastAsia="Times New Roman" w:hAnsi="Times New Roman" w:cs="Times New Roman"/>
          <w:lang w:val="cs-CZ"/>
        </w:rPr>
        <w:t>vyvolaných</w:t>
      </w:r>
      <w:r w:rsidR="00EB0E87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Giardia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a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 w:rsidR="00A04A91"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(tj. </w:t>
      </w:r>
      <w:r w:rsidRPr="002437AC">
        <w:rPr>
          <w:rFonts w:ascii="Times New Roman" w:eastAsia="Times New Roman" w:hAnsi="Times New Roman" w:cs="Times New Roman"/>
          <w:i/>
          <w:lang w:val="cs-CZ"/>
        </w:rPr>
        <w:t>C. 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perfringens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nebo 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C. </w:t>
      </w:r>
      <w:proofErr w:type="spellStart"/>
      <w:r w:rsidRPr="002437AC">
        <w:rPr>
          <w:rFonts w:ascii="Times New Roman" w:eastAsia="Times New Roman" w:hAnsi="Times New Roman" w:cs="Times New Roman"/>
          <w:i/>
          <w:lang w:val="cs-CZ"/>
        </w:rPr>
        <w:t>difficile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).</w:t>
      </w:r>
    </w:p>
    <w:p w14:paraId="3AF1CB6E" w14:textId="77F4D6D6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Léčba infekcí urogenitálního traktu, ústní dutiny, krku a kůže </w:t>
      </w:r>
      <w:r w:rsidR="00EB0E87">
        <w:rPr>
          <w:rFonts w:ascii="Times New Roman" w:eastAsia="Times New Roman" w:hAnsi="Times New Roman" w:cs="Times New Roman"/>
          <w:lang w:val="cs-CZ"/>
        </w:rPr>
        <w:t>vyvolaných</w:t>
      </w:r>
      <w:r w:rsidR="00EB0E87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>obligátn</w:t>
      </w:r>
      <w:r w:rsidR="00A04A91">
        <w:rPr>
          <w:rFonts w:ascii="Times New Roman" w:eastAsia="Times New Roman" w:hAnsi="Times New Roman" w:cs="Times New Roman"/>
          <w:lang w:val="cs-CZ"/>
        </w:rPr>
        <w:t>ě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anaerobními bakteriemi (např. </w:t>
      </w:r>
      <w:r w:rsidRPr="002437AC">
        <w:rPr>
          <w:rFonts w:ascii="Times New Roman" w:eastAsia="Times New Roman" w:hAnsi="Times New Roman" w:cs="Times New Roman"/>
          <w:i/>
          <w:lang w:val="cs-CZ"/>
        </w:rPr>
        <w:t>Clostridi</w:t>
      </w:r>
      <w:r w:rsidR="00A04A91">
        <w:rPr>
          <w:rFonts w:ascii="Times New Roman" w:eastAsia="Times New Roman" w:hAnsi="Times New Roman" w:cs="Times New Roman"/>
          <w:i/>
          <w:lang w:val="cs-CZ"/>
        </w:rPr>
        <w:t>um</w:t>
      </w:r>
      <w:r w:rsidRPr="002437AC">
        <w:rPr>
          <w:rFonts w:ascii="Times New Roman" w:eastAsia="Times New Roman" w:hAnsi="Times New Roman" w:cs="Times New Roman"/>
          <w:i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spp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.) citlivými </w:t>
      </w:r>
      <w:r w:rsidR="00EB0E87">
        <w:rPr>
          <w:rFonts w:ascii="Times New Roman" w:eastAsia="Times New Roman" w:hAnsi="Times New Roman" w:cs="Times New Roman"/>
          <w:lang w:val="cs-CZ"/>
        </w:rPr>
        <w:t>k</w:t>
      </w:r>
      <w:r w:rsidR="00EB0E87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r w:rsidR="00EB0E87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6916051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0CCD294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5B65DCB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5.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KONTRAINDIKACE</w:t>
      </w:r>
    </w:p>
    <w:p w14:paraId="30390106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5E9199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jaterních onemocnění.</w:t>
      </w:r>
    </w:p>
    <w:p w14:paraId="2A86E07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Nepoužívat v případech přecitlivělosti na léčivou látku nebo na některou z pomocných látek.</w:t>
      </w:r>
    </w:p>
    <w:p w14:paraId="135CFFD5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CF4B5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8B4FCF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6.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NEŽÁDOUCÍ ÚČINKY</w:t>
      </w:r>
    </w:p>
    <w:p w14:paraId="53817903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290C4680" w14:textId="06E2D5B8" w:rsidR="00AC6CC5" w:rsidRPr="002437AC" w:rsidRDefault="00AC6CC5" w:rsidP="00AC6C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Po podání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metranidazolu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mohou </w:t>
      </w:r>
      <w:r w:rsidR="001E448B">
        <w:rPr>
          <w:rFonts w:ascii="Times New Roman" w:eastAsia="Times New Roman" w:hAnsi="Times New Roman" w:cs="Times New Roman"/>
          <w:lang w:val="cs-CZ"/>
        </w:rPr>
        <w:t>vyskytnout</w:t>
      </w:r>
      <w:r w:rsidR="001E448B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r w:rsidRPr="002437AC">
        <w:rPr>
          <w:rFonts w:ascii="Times New Roman" w:eastAsia="Times New Roman" w:hAnsi="Times New Roman" w:cs="Times New Roman"/>
          <w:lang w:val="cs-CZ"/>
        </w:rPr>
        <w:t>následující nežádoucí účinky:</w:t>
      </w:r>
    </w:p>
    <w:p w14:paraId="56F9713E" w14:textId="472D9EA1" w:rsidR="00AC6CC5" w:rsidRPr="002437AC" w:rsidRDefault="00AC6CC5" w:rsidP="00AC6C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zvracení,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hepatotoxicita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,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neutropenie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a neurologické </w:t>
      </w:r>
      <w:r w:rsidR="001E448B">
        <w:rPr>
          <w:rFonts w:ascii="Times New Roman" w:eastAsia="Times New Roman" w:hAnsi="Times New Roman" w:cs="Times New Roman"/>
          <w:lang w:val="cs-CZ"/>
        </w:rPr>
        <w:t>příznaky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7F45919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AF0358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Četnost nežádoucích účinků je charakterizována podle následujících pravidel:</w:t>
      </w:r>
    </w:p>
    <w:p w14:paraId="5C41B7A2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 xml:space="preserve">- velmi časté (nežádoucí </w:t>
      </w:r>
      <w:proofErr w:type="gramStart"/>
      <w:r w:rsidRPr="00F57EC3">
        <w:rPr>
          <w:rFonts w:ascii="Times New Roman" w:eastAsia="Times New Roman" w:hAnsi="Times New Roman" w:cs="Times New Roman"/>
          <w:lang w:val="cs-CZ"/>
        </w:rPr>
        <w:t>účinek(</w:t>
      </w:r>
      <w:proofErr w:type="spellStart"/>
      <w:r w:rsidRPr="00F57EC3">
        <w:rPr>
          <w:rFonts w:ascii="Times New Roman" w:eastAsia="Times New Roman" w:hAnsi="Times New Roman" w:cs="Times New Roman"/>
          <w:lang w:val="cs-CZ"/>
        </w:rPr>
        <w:t>nky</w:t>
      </w:r>
      <w:proofErr w:type="spellEnd"/>
      <w:proofErr w:type="gramEnd"/>
      <w:r w:rsidRPr="00F57EC3">
        <w:rPr>
          <w:rFonts w:ascii="Times New Roman" w:eastAsia="Times New Roman" w:hAnsi="Times New Roman" w:cs="Times New Roman"/>
          <w:lang w:val="cs-CZ"/>
        </w:rPr>
        <w:t>) se projevil(y) u více než 1 z 10 ošetřených zvířat)</w:t>
      </w:r>
    </w:p>
    <w:p w14:paraId="602EA1E8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časté (u více než 1, ale méně než 10 ze 100 ošetřených zvířat)</w:t>
      </w:r>
    </w:p>
    <w:p w14:paraId="78063C3C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neobvyklé (u více než 1, ale méně než 10 z 1000 ošetřených zvířat)</w:t>
      </w:r>
    </w:p>
    <w:p w14:paraId="2241CCC6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vzácné (u více než 1, ale méně než 10 z  10000 ošetřených zvířat)</w:t>
      </w:r>
    </w:p>
    <w:p w14:paraId="51598EE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>- velmi vzácné (u méně než 1 z 10000 ošetřených zvířat, včetně ojedinělých hlášení).</w:t>
      </w:r>
    </w:p>
    <w:p w14:paraId="73CB74D3" w14:textId="77777777" w:rsidR="00AC6CC5" w:rsidRPr="00F57EC3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67DF47B" w14:textId="06E5C2C6" w:rsidR="002C0EBF" w:rsidRDefault="00AC6CC5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F57EC3">
        <w:rPr>
          <w:rFonts w:ascii="Times New Roman" w:eastAsia="Times New Roman" w:hAnsi="Times New Roman" w:cs="Times New Roman"/>
          <w:lang w:val="cs-CZ"/>
        </w:rPr>
        <w:t xml:space="preserve">Jestliže zaznamenáte </w:t>
      </w:r>
      <w:r w:rsidR="001E448B">
        <w:rPr>
          <w:rFonts w:ascii="Times New Roman" w:eastAsia="Times New Roman" w:hAnsi="Times New Roman" w:cs="Times New Roman"/>
          <w:lang w:val="cs-CZ"/>
        </w:rPr>
        <w:t>jakékoliv</w:t>
      </w:r>
      <w:r w:rsidRPr="00F57EC3">
        <w:rPr>
          <w:rFonts w:ascii="Times New Roman" w:eastAsia="Times New Roman" w:hAnsi="Times New Roman" w:cs="Times New Roman"/>
          <w:lang w:val="cs-CZ"/>
        </w:rPr>
        <w:t xml:space="preserve"> nežádoucí účink</w:t>
      </w:r>
      <w:r w:rsidR="001E448B">
        <w:rPr>
          <w:rFonts w:ascii="Times New Roman" w:eastAsia="Times New Roman" w:hAnsi="Times New Roman" w:cs="Times New Roman"/>
          <w:lang w:val="cs-CZ"/>
        </w:rPr>
        <w:t>y</w:t>
      </w:r>
      <w:r w:rsidRPr="00F57EC3">
        <w:rPr>
          <w:rFonts w:ascii="Times New Roman" w:eastAsia="Times New Roman" w:hAnsi="Times New Roman" w:cs="Times New Roman"/>
          <w:lang w:val="cs-CZ"/>
        </w:rPr>
        <w:t xml:space="preserve"> a to i takové, které nejsou uvedeny v této příbalové informaci, nebo si myslíte, že léčiv</w:t>
      </w:r>
      <w:r w:rsidR="001E448B">
        <w:rPr>
          <w:rFonts w:ascii="Times New Roman" w:eastAsia="Times New Roman" w:hAnsi="Times New Roman" w:cs="Times New Roman"/>
          <w:lang w:val="cs-CZ"/>
        </w:rPr>
        <w:t>ý přípravek není účinný</w:t>
      </w:r>
      <w:r w:rsidRPr="00F57EC3">
        <w:rPr>
          <w:rFonts w:ascii="Times New Roman" w:eastAsia="Times New Roman" w:hAnsi="Times New Roman" w:cs="Times New Roman"/>
          <w:lang w:val="cs-CZ"/>
        </w:rPr>
        <w:t>, oznamte to, prosím, vašemu veterinárnímu lékaři.</w:t>
      </w:r>
      <w:r w:rsidR="002C0EBF">
        <w:rPr>
          <w:rFonts w:ascii="Times New Roman" w:eastAsia="Times New Roman" w:hAnsi="Times New Roman" w:cs="Times New Roman"/>
          <w:lang w:val="cs-CZ"/>
        </w:rPr>
        <w:t xml:space="preserve"> </w:t>
      </w:r>
      <w:r w:rsidR="002C0EBF" w:rsidRPr="002C0EBF">
        <w:rPr>
          <w:rFonts w:ascii="Times New Roman" w:eastAsia="Times New Roman" w:hAnsi="Times New Roman" w:cs="Times New Roman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1A135D24" w14:textId="77777777" w:rsidR="002C0EBF" w:rsidRPr="002C0EBF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918FEE1" w14:textId="77777777" w:rsidR="002C0EBF" w:rsidRPr="002C0EBF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 xml:space="preserve">Ústav pro státní kontrolu veterinárních biopreparátů a léčiv </w:t>
      </w:r>
    </w:p>
    <w:p w14:paraId="0EF6E2AC" w14:textId="77777777" w:rsidR="002C0EBF" w:rsidRPr="002C0EBF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>Hudcova 56a</w:t>
      </w:r>
    </w:p>
    <w:p w14:paraId="3062874C" w14:textId="77777777" w:rsidR="002C0EBF" w:rsidRPr="002C0EBF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 xml:space="preserve">621 00 Brno </w:t>
      </w:r>
    </w:p>
    <w:p w14:paraId="4EED4BE5" w14:textId="77777777" w:rsidR="002C0EBF" w:rsidRPr="002C0EBF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>Mail: adr@uskvbl.cz</w:t>
      </w:r>
    </w:p>
    <w:p w14:paraId="5F4DC51A" w14:textId="00856F81" w:rsidR="00AC6CC5" w:rsidRDefault="002C0EBF" w:rsidP="002C0EBF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C0EBF">
        <w:rPr>
          <w:rFonts w:ascii="Times New Roman" w:eastAsia="Times New Roman" w:hAnsi="Times New Roman" w:cs="Times New Roman"/>
          <w:lang w:val="cs-CZ"/>
        </w:rPr>
        <w:t>Webové stránky: http://www.uskvbl.cz/cs/farmakovigilance</w:t>
      </w:r>
    </w:p>
    <w:p w14:paraId="0F4B5A4D" w14:textId="77777777" w:rsidR="002C0EBF" w:rsidRPr="00F57EC3" w:rsidRDefault="002C0EBF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58F596D" w14:textId="7BF82543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9BA6835" w14:textId="77777777" w:rsidR="00CD565E" w:rsidRPr="00F57EC3" w:rsidRDefault="00CD565E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766826A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b/>
          <w:lang w:val="cs-CZ"/>
        </w:rPr>
        <w:t>7.</w:t>
      </w:r>
      <w:r w:rsidRPr="002437AC">
        <w:rPr>
          <w:rFonts w:ascii="Times New Roman" w:eastAsia="Times New Roman" w:hAnsi="Times New Roman" w:cs="Times New Roman"/>
          <w:b/>
          <w:lang w:val="cs-CZ"/>
        </w:rPr>
        <w:tab/>
      </w:r>
      <w:r w:rsidRPr="00F57EC3">
        <w:rPr>
          <w:rFonts w:ascii="Times New Roman" w:eastAsia="Times New Roman" w:hAnsi="Times New Roman" w:cs="Times New Roman"/>
          <w:b/>
          <w:lang w:val="cs-CZ"/>
        </w:rPr>
        <w:t>CÍLOVÝ DRUH ZVÍŘAT</w:t>
      </w:r>
    </w:p>
    <w:p w14:paraId="22A5F1DA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33C0DC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Psi a kočky</w:t>
      </w:r>
    </w:p>
    <w:p w14:paraId="41E8DC5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D58C72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DDC237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8.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E85BF3">
        <w:rPr>
          <w:rFonts w:ascii="Times New Roman" w:eastAsia="Times New Roman" w:hAnsi="Times New Roman" w:cs="Times New Roman"/>
          <w:b/>
          <w:lang w:val="cs-CZ"/>
        </w:rPr>
        <w:t xml:space="preserve">DÁVKOVÁNÍ PRO KAŽDÝ DRUH, </w:t>
      </w:r>
      <w:proofErr w:type="gramStart"/>
      <w:r w:rsidRPr="00E85BF3">
        <w:rPr>
          <w:rFonts w:ascii="Times New Roman" w:eastAsia="Times New Roman" w:hAnsi="Times New Roman" w:cs="Times New Roman"/>
          <w:b/>
          <w:lang w:val="cs-CZ"/>
        </w:rPr>
        <w:t>CESTA(Y) A ZPŮSOB</w:t>
      </w:r>
      <w:proofErr w:type="gramEnd"/>
      <w:r w:rsidRPr="00E85BF3">
        <w:rPr>
          <w:rFonts w:ascii="Times New Roman" w:eastAsia="Times New Roman" w:hAnsi="Times New Roman" w:cs="Times New Roman"/>
          <w:b/>
          <w:lang w:val="cs-CZ"/>
        </w:rPr>
        <w:t xml:space="preserve"> PODÁNÍ</w:t>
      </w:r>
    </w:p>
    <w:p w14:paraId="6370B303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75905DD1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>Pro perorální podání.</w:t>
      </w:r>
    </w:p>
    <w:p w14:paraId="3E6C121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Doporučená dávka je 50 mg </w:t>
      </w:r>
      <w:proofErr w:type="spellStart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iCs/>
          <w:lang w:val="cs-CZ"/>
        </w:rPr>
        <w:t xml:space="preserve"> na kg živé hmotnosti denně, po dobu 5</w:t>
      </w:r>
      <w:r w:rsidRPr="002437AC">
        <w:rPr>
          <w:rFonts w:ascii="Times New Roman" w:eastAsia="Times New Roman" w:hAnsi="Times New Roman" w:cs="Times New Roman"/>
          <w:bCs/>
          <w:iCs/>
          <w:lang w:val="cs-CZ"/>
        </w:rPr>
        <w:noBreakHyphen/>
        <w:t>7 dní. Denní dávka může být rozdělena na stejné dávky podávané dvakrát denně (tj. 25 mg/kg živé hmotnosti dvakrát denně).</w:t>
      </w:r>
    </w:p>
    <w:p w14:paraId="52FDC275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cs-CZ"/>
        </w:rPr>
      </w:pPr>
      <w:r w:rsidRPr="002437AC">
        <w:rPr>
          <w:rFonts w:ascii="Times New Roman" w:eastAsia="Times New Roman" w:hAnsi="Times New Roman" w:cs="Times New Roman"/>
          <w:bCs/>
          <w:iCs/>
          <w:lang w:val="cs-CZ"/>
        </w:rPr>
        <w:br/>
        <w:t xml:space="preserve">Aby bylo zajištěno podání správné dávky, je nutné co nejpřesněji stanovit živou hmotnost. </w:t>
      </w:r>
    </w:p>
    <w:p w14:paraId="45039F6D" w14:textId="77777777" w:rsidR="00733438" w:rsidRPr="00733438" w:rsidRDefault="00733438" w:rsidP="00733438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lang w:val="cs-CZ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268"/>
        <w:gridCol w:w="708"/>
        <w:gridCol w:w="2381"/>
      </w:tblGrid>
      <w:tr w:rsidR="00733438" w:rsidRPr="00733438" w14:paraId="3359A42C" w14:textId="77777777" w:rsidTr="007C3F20">
        <w:trPr>
          <w:trHeight w:val="624"/>
        </w:trPr>
        <w:tc>
          <w:tcPr>
            <w:tcW w:w="1981" w:type="dxa"/>
            <w:shd w:val="clear" w:color="auto" w:fill="auto"/>
            <w:vAlign w:val="center"/>
            <w:hideMark/>
          </w:tcPr>
          <w:p w14:paraId="3707EBEC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Živá hmotnost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F2869D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250 mg tablety (denní dávka)</w:t>
            </w:r>
          </w:p>
        </w:tc>
        <w:tc>
          <w:tcPr>
            <w:tcW w:w="708" w:type="dxa"/>
            <w:shd w:val="clear" w:color="auto" w:fill="auto"/>
          </w:tcPr>
          <w:p w14:paraId="042312A0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</w:p>
          <w:p w14:paraId="508E3294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nebo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7A374947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Metrocare 500 mg</w:t>
            </w:r>
          </w:p>
          <w:p w14:paraId="3603301D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/>
                <w:bCs/>
                <w:iCs/>
                <w:noProof/>
                <w:lang w:val="en-US"/>
              </w:rPr>
              <w:t>tablety (denní dávka)</w:t>
            </w:r>
          </w:p>
        </w:tc>
      </w:tr>
      <w:tr w:rsidR="00733438" w:rsidRPr="00733438" w14:paraId="416C0DA3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10FC0B72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1,25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4FD7A0" w14:textId="28EF4CB5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  <w:tc>
          <w:tcPr>
            <w:tcW w:w="708" w:type="dxa"/>
            <w:shd w:val="clear" w:color="auto" w:fill="auto"/>
          </w:tcPr>
          <w:p w14:paraId="020FEC58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7EAAFEE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733438" w:rsidRPr="00733438" w14:paraId="2A3AA2B8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6953FE54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50CDBB" w14:textId="7F5E7273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  <w:tc>
          <w:tcPr>
            <w:tcW w:w="708" w:type="dxa"/>
            <w:shd w:val="clear" w:color="auto" w:fill="auto"/>
          </w:tcPr>
          <w:p w14:paraId="74F16A61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6C8AF735" w14:textId="572FF304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¼</w:t>
            </w:r>
          </w:p>
        </w:tc>
      </w:tr>
      <w:tr w:rsidR="00733438" w:rsidRPr="00733438" w14:paraId="3B8C66DA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26812711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3,75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C46FD2" w14:textId="6559968B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  <w:tc>
          <w:tcPr>
            <w:tcW w:w="708" w:type="dxa"/>
            <w:shd w:val="clear" w:color="auto" w:fill="auto"/>
          </w:tcPr>
          <w:p w14:paraId="6202B16A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C5D1F74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</w:tr>
      <w:tr w:rsidR="00733438" w:rsidRPr="00733438" w14:paraId="24A7AF81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14529E80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75E28" w14:textId="38F13A92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A03ED37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3B011CC" w14:textId="658AD0D8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½</w:t>
            </w:r>
          </w:p>
        </w:tc>
      </w:tr>
      <w:tr w:rsidR="00733438" w:rsidRPr="00733438" w14:paraId="293DACCF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5004AD05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7,5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6E8BC1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  <w:tc>
          <w:tcPr>
            <w:tcW w:w="708" w:type="dxa"/>
            <w:shd w:val="clear" w:color="auto" w:fill="auto"/>
          </w:tcPr>
          <w:p w14:paraId="51F45D61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6AF2C27" w14:textId="197AD9FE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¾</w:t>
            </w:r>
          </w:p>
        </w:tc>
      </w:tr>
      <w:tr w:rsidR="00733438" w:rsidRPr="00733438" w14:paraId="1837565B" w14:textId="77777777" w:rsidTr="006E1FCF">
        <w:tc>
          <w:tcPr>
            <w:tcW w:w="1981" w:type="dxa"/>
            <w:shd w:val="clear" w:color="auto" w:fill="auto"/>
            <w:vAlign w:val="center"/>
          </w:tcPr>
          <w:p w14:paraId="3E1B5678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10 kg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D10832" w14:textId="1960D858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3342E66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3E4B66E" w14:textId="1909B1DA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vertAlign w:val="subscript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  <w:t>1</w:t>
            </w:r>
          </w:p>
        </w:tc>
      </w:tr>
      <w:tr w:rsidR="00733438" w:rsidRPr="00733438" w14:paraId="1F15FF90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1DF8A3F9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15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B742CC" w14:textId="335871A0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F8A86EB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066B40C" w14:textId="23F8C41A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1 ½</w:t>
            </w:r>
          </w:p>
        </w:tc>
      </w:tr>
      <w:tr w:rsidR="00733438" w:rsidRPr="00733438" w14:paraId="0D377D40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29F9EA91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20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A87971" w14:textId="630BCFCE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47C9CE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5A15B116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2</w:t>
            </w:r>
          </w:p>
        </w:tc>
      </w:tr>
      <w:tr w:rsidR="00733438" w:rsidRPr="00733438" w14:paraId="43520431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24CCB514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25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4B75EA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55F76DF2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041B1E3" w14:textId="1987CD00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2 ½</w:t>
            </w:r>
          </w:p>
        </w:tc>
      </w:tr>
      <w:tr w:rsidR="00733438" w:rsidRPr="00733438" w14:paraId="24BAE721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3C77A484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30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EF3830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84B7A47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29EE4C4" w14:textId="09D02B48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</w:t>
            </w:r>
          </w:p>
        </w:tc>
      </w:tr>
      <w:tr w:rsidR="00733438" w:rsidRPr="00733438" w14:paraId="3EF90BC7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3141B21C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35 kg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5AB3D7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2B20682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32B0AD67" w14:textId="12191811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</w:rPr>
              <w:t>3 ½</w:t>
            </w:r>
          </w:p>
        </w:tc>
      </w:tr>
      <w:tr w:rsidR="00733438" w:rsidRPr="00733438" w14:paraId="40752611" w14:textId="77777777" w:rsidTr="006E1FCF">
        <w:tc>
          <w:tcPr>
            <w:tcW w:w="1981" w:type="dxa"/>
            <w:shd w:val="clear" w:color="auto" w:fill="auto"/>
            <w:vAlign w:val="center"/>
            <w:hideMark/>
          </w:tcPr>
          <w:p w14:paraId="7345B671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 xml:space="preserve">40 kg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475157F" w14:textId="77777777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AC67A23" w14:textId="77777777" w:rsidR="00733438" w:rsidRPr="00733438" w:rsidRDefault="00733438" w:rsidP="0073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lang w:val="nl-NL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1B4851C1" w14:textId="67BCEC69" w:rsidR="00733438" w:rsidRPr="00733438" w:rsidRDefault="00733438" w:rsidP="006E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</w:pPr>
            <w:r w:rsidRPr="00733438">
              <w:rPr>
                <w:rFonts w:ascii="Times New Roman" w:eastAsia="Times New Roman" w:hAnsi="Times New Roman" w:cs="Times New Roman"/>
                <w:bCs/>
                <w:iCs/>
                <w:noProof/>
                <w:lang w:val="en-US"/>
              </w:rPr>
              <w:t>4</w:t>
            </w:r>
          </w:p>
        </w:tc>
      </w:tr>
    </w:tbl>
    <w:p w14:paraId="3929767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noProof/>
          <w:lang w:val="cs-CZ"/>
        </w:rPr>
      </w:pPr>
    </w:p>
    <w:p w14:paraId="06B3907A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Aby bylo zajištěno podání správné dávky, je možné tablety rozdělit na 2 nebo 4 stejné části. Tabletu položte na rovný povrch, dělicími rýhami nahoru a konvexní (zaoblenou) částí směrem k povrchu.</w:t>
      </w:r>
    </w:p>
    <w:p w14:paraId="31BA3D7C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50D59B7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Poloviny: palci nebo jinými prsty zatlačte na obou stranách tablety.</w:t>
      </w:r>
    </w:p>
    <w:p w14:paraId="2DBAAAE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>Čtvrtiny: palcem nebo jiným prstem zatlačte na střed tablety.</w:t>
      </w:r>
    </w:p>
    <w:p w14:paraId="6D3C3FD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Nepoužitá </w:t>
      </w:r>
      <w:proofErr w:type="gramStart"/>
      <w:r w:rsidRPr="002437AC">
        <w:rPr>
          <w:rFonts w:ascii="Times New Roman" w:eastAsia="Times New Roman" w:hAnsi="Times New Roman" w:cs="Times New Roman"/>
          <w:iCs/>
          <w:lang w:val="cs-CZ"/>
        </w:rPr>
        <w:t>část(i) má</w:t>
      </w:r>
      <w:proofErr w:type="gramEnd"/>
      <w:r w:rsidRPr="002437AC">
        <w:rPr>
          <w:rFonts w:ascii="Times New Roman" w:eastAsia="Times New Roman" w:hAnsi="Times New Roman" w:cs="Times New Roman"/>
          <w:iCs/>
          <w:lang w:val="cs-CZ"/>
        </w:rPr>
        <w:t xml:space="preserve"> být podána při následujícím podání dávky(dávek).</w:t>
      </w:r>
    </w:p>
    <w:p w14:paraId="7CEA54D4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44C53355" w14:textId="77777777" w:rsidR="00AC6CC5" w:rsidRPr="002437AC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</w:p>
    <w:p w14:paraId="5C4F274F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9.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8151CE">
        <w:rPr>
          <w:rFonts w:ascii="Times New Roman" w:eastAsia="Times New Roman" w:hAnsi="Times New Roman" w:cs="Times New Roman"/>
          <w:b/>
          <w:lang w:val="cs-CZ"/>
        </w:rPr>
        <w:t>POKYNY PRO SPRÁVNÉ PODÁNÍ</w:t>
      </w:r>
    </w:p>
    <w:p w14:paraId="63A3DCF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7C0AA2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54C4925" w14:textId="48416301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10.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8151CE">
        <w:rPr>
          <w:rFonts w:ascii="Times New Roman" w:eastAsia="Times New Roman" w:hAnsi="Times New Roman" w:cs="Times New Roman"/>
          <w:b/>
          <w:lang w:val="cs-CZ"/>
        </w:rPr>
        <w:t>OCHRANNÁ</w:t>
      </w:r>
      <w:r w:rsidR="00C01894">
        <w:rPr>
          <w:rFonts w:ascii="Times New Roman" w:eastAsia="Times New Roman" w:hAnsi="Times New Roman" w:cs="Times New Roman"/>
          <w:b/>
          <w:lang w:val="cs-CZ"/>
        </w:rPr>
        <w:t>(É)</w:t>
      </w:r>
      <w:r w:rsidRPr="008151CE">
        <w:rPr>
          <w:rFonts w:ascii="Times New Roman" w:eastAsia="Times New Roman" w:hAnsi="Times New Roman" w:cs="Times New Roman"/>
          <w:b/>
          <w:lang w:val="cs-CZ"/>
        </w:rPr>
        <w:t xml:space="preserve"> </w:t>
      </w:r>
      <w:proofErr w:type="gramStart"/>
      <w:r w:rsidRPr="008151CE">
        <w:rPr>
          <w:rFonts w:ascii="Times New Roman" w:eastAsia="Times New Roman" w:hAnsi="Times New Roman" w:cs="Times New Roman"/>
          <w:b/>
          <w:lang w:val="cs-CZ"/>
        </w:rPr>
        <w:t>LHŮTA</w:t>
      </w:r>
      <w:r w:rsidR="00C01894">
        <w:rPr>
          <w:rFonts w:ascii="Times New Roman" w:eastAsia="Times New Roman" w:hAnsi="Times New Roman" w:cs="Times New Roman"/>
          <w:b/>
          <w:lang w:val="cs-CZ"/>
        </w:rPr>
        <w:t>(Y)</w:t>
      </w:r>
      <w:proofErr w:type="gramEnd"/>
    </w:p>
    <w:p w14:paraId="0A9F0C6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E0AD120" w14:textId="77777777" w:rsidR="00C01894" w:rsidRPr="001B2245" w:rsidRDefault="00C01894" w:rsidP="00C01894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1B2245">
        <w:rPr>
          <w:rFonts w:ascii="Times New Roman" w:eastAsia="Times New Roman" w:hAnsi="Times New Roman" w:cs="Times New Roman"/>
          <w:lang w:val="cs-CZ"/>
        </w:rPr>
        <w:t>Není určeno pro potravinová zvířata.</w:t>
      </w:r>
    </w:p>
    <w:p w14:paraId="32759B66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64D76F0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Cs/>
          <w:lang w:val="cs-CZ"/>
        </w:rPr>
      </w:pPr>
    </w:p>
    <w:p w14:paraId="37CBF4C7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11.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OPATŘENÍ PRO UCHOVÁVÁNÍ</w:t>
      </w:r>
    </w:p>
    <w:p w14:paraId="267A52D5" w14:textId="77777777" w:rsidR="00AC6CC5" w:rsidRPr="00AC6CC5" w:rsidRDefault="00AC6CC5" w:rsidP="00AC6CC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DC8755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>Uchovávat mimo dohled a dosah dětí.</w:t>
      </w:r>
    </w:p>
    <w:p w14:paraId="4E4B75A2" w14:textId="0F36DA0E" w:rsidR="00AC6CC5" w:rsidRPr="002437AC" w:rsidRDefault="00AA62A7" w:rsidP="00AC6CC5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>
        <w:rPr>
          <w:rFonts w:ascii="Times New Roman" w:eastAsia="Times New Roman" w:hAnsi="Times New Roman" w:cs="Times New Roman"/>
          <w:noProof/>
          <w:lang w:val="cs-CZ"/>
        </w:rPr>
        <w:t>Nepoužité části</w:t>
      </w:r>
      <w:r w:rsidR="00AC6CC5" w:rsidRPr="002437AC">
        <w:rPr>
          <w:rFonts w:ascii="Times New Roman" w:eastAsia="Times New Roman" w:hAnsi="Times New Roman" w:cs="Times New Roman"/>
          <w:noProof/>
          <w:lang w:val="cs-CZ"/>
        </w:rPr>
        <w:t xml:space="preserve"> tablet vložte nazpět do blistru a chraňte před světlem.</w:t>
      </w:r>
    </w:p>
    <w:p w14:paraId="3FECA390" w14:textId="77777777" w:rsidR="00AC6CC5" w:rsidRPr="002437AC" w:rsidRDefault="00AC6CC5" w:rsidP="00AC6CC5">
      <w:pPr>
        <w:numPr>
          <w:ilvl w:val="12"/>
          <w:numId w:val="0"/>
        </w:num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lang w:val="cs-CZ"/>
        </w:rPr>
      </w:pPr>
      <w:r w:rsidRPr="002437AC">
        <w:rPr>
          <w:rFonts w:ascii="Times New Roman" w:eastAsia="Times New Roman" w:hAnsi="Times New Roman" w:cs="Times New Roman"/>
          <w:noProof/>
          <w:lang w:val="cs-CZ"/>
        </w:rPr>
        <w:t>Nepoužívejte tento veterinární léčivý přípravek po uplynutí doby použitelnosti uvedené na blistru a krabičce.</w:t>
      </w:r>
    </w:p>
    <w:p w14:paraId="744BB1BD" w14:textId="77777777" w:rsidR="00AC6CC5" w:rsidRPr="002437AC" w:rsidRDefault="00AC6CC5" w:rsidP="00AC6CC5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6EE851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7758146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12.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UPOZORNĚNÍ</w:t>
      </w:r>
    </w:p>
    <w:p w14:paraId="51ED4F2B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1802FE5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Zvláštní upozornění pro každý cílový druh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45E306CC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</w:p>
    <w:p w14:paraId="3188A1BE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lang w:val="cs-CZ"/>
        </w:rPr>
        <w:t>Nejsou</w:t>
      </w:r>
    </w:p>
    <w:p w14:paraId="61B1C37F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BA5D84B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>Zvláštní opatření pro použití u zvířat</w:t>
      </w:r>
    </w:p>
    <w:p w14:paraId="2467AA70" w14:textId="46580E72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Vzhledem k pravděpodobné variabilitě (v čase, geografické) výskytu bakterií rezistentních </w:t>
      </w:r>
      <w:r w:rsidR="006E5222">
        <w:rPr>
          <w:rFonts w:ascii="Times New Roman" w:eastAsia="Times New Roman" w:hAnsi="Times New Roman" w:cs="Times New Roman"/>
          <w:lang w:val="cs-CZ"/>
        </w:rPr>
        <w:t>k</w:t>
      </w:r>
      <w:r w:rsidR="006E5222" w:rsidRPr="002437AC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r w:rsidR="006E5222">
        <w:rPr>
          <w:rFonts w:ascii="Times New Roman" w:eastAsia="Times New Roman" w:hAnsi="Times New Roman" w:cs="Times New Roman"/>
          <w:lang w:val="cs-CZ"/>
        </w:rPr>
        <w:t>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doporučuje odběr bakteriologických vzorků a testování citlivosti.</w:t>
      </w:r>
    </w:p>
    <w:p w14:paraId="38024176" w14:textId="179B6CC2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Kdykoliv je to možné, veterinární léčivý přípravek má být použit až </w:t>
      </w:r>
      <w:r w:rsidR="001E448B">
        <w:rPr>
          <w:rFonts w:ascii="Times New Roman" w:eastAsia="Times New Roman" w:hAnsi="Times New Roman" w:cs="Times New Roman"/>
          <w:lang w:val="cs-CZ"/>
        </w:rPr>
        <w:t>na základě testů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citlivosti.</w:t>
      </w:r>
    </w:p>
    <w:p w14:paraId="1EEC910B" w14:textId="0CC96C7E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Při použití tohoto veterinárního léčivého přípravku </w:t>
      </w:r>
      <w:r w:rsidR="001E448B">
        <w:rPr>
          <w:rFonts w:ascii="Times New Roman" w:eastAsia="Times New Roman" w:hAnsi="Times New Roman" w:cs="Times New Roman"/>
          <w:lang w:val="cs-CZ"/>
        </w:rPr>
        <w:t xml:space="preserve">je třeba vzít v úvahu oficiální celostátní a místní pravidla antibiotické politiky. 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Zejména po dlouhodobé léčbě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metronidazolem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se ve velmi vzácných případech mohou projevit neurologické příznaky. </w:t>
      </w:r>
    </w:p>
    <w:p w14:paraId="74850B57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10F939" w14:textId="6953DF67" w:rsidR="00AC6CC5" w:rsidRPr="002437AC" w:rsidRDefault="00AC6CC5" w:rsidP="006E1FCF">
      <w:pPr>
        <w:keepNext/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2437AC">
        <w:rPr>
          <w:rFonts w:ascii="Times New Roman" w:eastAsia="Times New Roman" w:hAnsi="Times New Roman" w:cs="Times New Roman"/>
          <w:u w:val="single"/>
          <w:lang w:val="cs-CZ"/>
        </w:rPr>
        <w:t>Zvláštní opatření určené osobám, které podávají veterinární léčivý přípravek zvířatům</w:t>
      </w:r>
      <w:r w:rsidR="00140560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3935D9D9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1F32103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Byly potvrzeny mutagenní a genotoxické vlastnosti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laboratorních zvířat a také u lidí.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je prokázaný karcinogen u laboratorních zvířat a má pravděpodobný karcinogenní účinek u člověka.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Karcinogenita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u člověka však nebyla dostatečně prokázána. </w:t>
      </w:r>
    </w:p>
    <w:p w14:paraId="47465F5C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být škodlivý pro plod. </w:t>
      </w:r>
    </w:p>
    <w:p w14:paraId="71C51C25" w14:textId="2653C87C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>Při podávání veterinárního léčivého přípravku by se měly používat nepropustné rukavice, aby se</w:t>
      </w:r>
      <w:r w:rsidR="008C304F"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zabránilo kontaktu přípravku s kůží a jeho přenosu z rukou do úst. </w:t>
      </w:r>
    </w:p>
    <w:p w14:paraId="31D59B79" w14:textId="47B1B2EB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2437AC">
        <w:rPr>
          <w:rFonts w:ascii="Times New Roman" w:eastAsia="Times New Roman" w:hAnsi="Times New Roman" w:cs="Times New Roman"/>
          <w:bCs/>
          <w:lang w:val="cs-CZ"/>
        </w:rPr>
        <w:t>Aby se zabránilo náhodnému požití, zejména dítětem, musí být nepoužité části tablety vráceny do</w:t>
      </w:r>
      <w:r w:rsidR="008C304F"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otevřeného blistru, vloženy zpět do vnějšího obalu a uchovávány na bezpečném místě mimo dohled a dosah dětí. V případě náhodného požití okamžitě vyhledejte lékařskou pomoc a</w:t>
      </w:r>
      <w:r w:rsidR="008C304F">
        <w:rPr>
          <w:rFonts w:ascii="Times New Roman" w:eastAsia="Times New Roman" w:hAnsi="Times New Roman" w:cs="Times New Roman"/>
          <w:bCs/>
          <w:lang w:val="cs-CZ"/>
        </w:rPr>
        <w:t> </w:t>
      </w:r>
      <w:r w:rsidRPr="002437AC">
        <w:rPr>
          <w:rFonts w:ascii="Times New Roman" w:eastAsia="Times New Roman" w:hAnsi="Times New Roman" w:cs="Times New Roman"/>
          <w:bCs/>
          <w:lang w:val="cs-CZ"/>
        </w:rPr>
        <w:t>ukažte příbalovou informaci nebo etiketu praktickému lékaři. Po manipulaci s tabletami si důkladně umyjte ruce.</w:t>
      </w:r>
    </w:p>
    <w:p w14:paraId="6ABA375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může způsobit hypersenzitivní reakce. V případě známé přecitlivělosti na </w:t>
      </w:r>
      <w:proofErr w:type="spellStart"/>
      <w:r w:rsidRPr="002437AC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bCs/>
          <w:lang w:val="cs-CZ"/>
        </w:rPr>
        <w:t xml:space="preserve"> se vyhněte kontaktu s veterinárním léčivým přípravkem.</w:t>
      </w:r>
    </w:p>
    <w:p w14:paraId="04E8E769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6025778" w14:textId="77777777" w:rsidR="00AC6CC5" w:rsidRPr="00790F3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cs-CZ"/>
        </w:rPr>
      </w:pPr>
      <w:r w:rsidRPr="00790F35">
        <w:rPr>
          <w:rFonts w:ascii="Times New Roman" w:eastAsia="Times New Roman" w:hAnsi="Times New Roman" w:cs="Times New Roman"/>
          <w:bCs/>
          <w:u w:val="single"/>
          <w:lang w:val="cs-CZ"/>
        </w:rPr>
        <w:t>Použití v průběhu březosti</w:t>
      </w:r>
      <w:r w:rsidRPr="00790F35">
        <w:rPr>
          <w:rFonts w:ascii="Times New Roman" w:eastAsia="Times New Roman" w:hAnsi="Times New Roman" w:cs="Times New Roman"/>
          <w:u w:val="single"/>
          <w:lang w:val="cs-CZ"/>
        </w:rPr>
        <w:t xml:space="preserve"> a laktace:</w:t>
      </w:r>
    </w:p>
    <w:p w14:paraId="52E29CDD" w14:textId="77777777" w:rsidR="00AC6CC5" w:rsidRPr="00790F3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AA8B74E" w14:textId="77777777" w:rsidR="00AC6CC5" w:rsidRPr="002437AC" w:rsidRDefault="00AC6CC5" w:rsidP="00AC6CC5">
      <w:pPr>
        <w:tabs>
          <w:tab w:val="left" w:pos="567"/>
        </w:tabs>
        <w:spacing w:after="0" w:line="240" w:lineRule="exact"/>
        <w:rPr>
          <w:rFonts w:ascii="Times New Roman" w:eastAsia="Times New Roman" w:hAnsi="Times New Roman" w:cs="Times New Roman"/>
          <w:bCs/>
          <w:lang w:val="cs-CZ"/>
        </w:rPr>
      </w:pPr>
      <w:r w:rsidRPr="00790F35">
        <w:rPr>
          <w:rFonts w:ascii="Times New Roman" w:eastAsia="Times New Roman" w:hAnsi="Times New Roman" w:cs="Times New Roman"/>
          <w:lang w:val="cs-CZ"/>
        </w:rPr>
        <w:t xml:space="preserve">Studie na laboratorních zvířatech ukázaly nekonzistentní výsledky s ohledem na účinky </w:t>
      </w:r>
      <w:proofErr w:type="spellStart"/>
      <w:r w:rsidRPr="00790F35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790F35">
        <w:rPr>
          <w:rFonts w:ascii="Times New Roman" w:eastAsia="Times New Roman" w:hAnsi="Times New Roman" w:cs="Times New Roman"/>
          <w:lang w:val="cs-CZ"/>
        </w:rPr>
        <w:t xml:space="preserve"> na embrya a během březosti.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 </w:t>
      </w:r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Proto není doporučováno použití tohoto veterinárního léčivého přípravku během březosti. </w:t>
      </w:r>
      <w:proofErr w:type="spellStart"/>
      <w:r w:rsidRPr="00790F35">
        <w:rPr>
          <w:rFonts w:ascii="Times New Roman" w:eastAsia="Times New Roman" w:hAnsi="Times New Roman" w:cs="Times New Roman"/>
          <w:bCs/>
          <w:lang w:val="cs-CZ"/>
        </w:rPr>
        <w:t>Metronidazol</w:t>
      </w:r>
      <w:proofErr w:type="spellEnd"/>
      <w:r w:rsidRPr="00790F35">
        <w:rPr>
          <w:rFonts w:ascii="Times New Roman" w:eastAsia="Times New Roman" w:hAnsi="Times New Roman" w:cs="Times New Roman"/>
          <w:bCs/>
          <w:lang w:val="cs-CZ"/>
        </w:rPr>
        <w:t xml:space="preserve"> se vylučuje do mléka a proto se nedoporučuje jeho podávání během laktace.</w:t>
      </w:r>
    </w:p>
    <w:p w14:paraId="5FB2EE02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E61A421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>Interakce s dalšími léčivými přípravky a další formy interakce</w:t>
      </w:r>
      <w:r w:rsidRPr="00AC6CC5">
        <w:rPr>
          <w:rFonts w:ascii="Times New Roman" w:eastAsia="Times New Roman" w:hAnsi="Times New Roman" w:cs="Times New Roman"/>
          <w:u w:val="single"/>
          <w:lang w:val="cs-CZ"/>
        </w:rPr>
        <w:t>:</w:t>
      </w:r>
    </w:p>
    <w:p w14:paraId="32E28B49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8064EC1" w14:textId="2C8DBA0B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může mít inhibiční účinek na degradaci jiných léčiv</w:t>
      </w:r>
      <w:r w:rsidR="001E448B">
        <w:rPr>
          <w:rFonts w:ascii="Times New Roman" w:eastAsia="Times New Roman" w:hAnsi="Times New Roman" w:cs="Times New Roman"/>
          <w:lang w:val="cs-CZ"/>
        </w:rPr>
        <w:t>ých látek</w:t>
      </w:r>
      <w:r w:rsidRPr="002437AC">
        <w:rPr>
          <w:rFonts w:ascii="Times New Roman" w:eastAsia="Times New Roman" w:hAnsi="Times New Roman" w:cs="Times New Roman"/>
          <w:lang w:val="cs-CZ"/>
        </w:rPr>
        <w:t xml:space="preserve"> v játrech, například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fenytoinu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, cyklosporinu a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warfarinu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650816C8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Cimetidin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může snížit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metabolismus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vedoucí ke zvýšené sérové koncentraci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>.</w:t>
      </w:r>
    </w:p>
    <w:p w14:paraId="025EDA3D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2437AC">
        <w:rPr>
          <w:rFonts w:ascii="Times New Roman" w:eastAsia="Times New Roman" w:hAnsi="Times New Roman" w:cs="Times New Roman"/>
          <w:lang w:val="cs-CZ"/>
        </w:rPr>
        <w:t xml:space="preserve">Fenobarbital může zvýšit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hepatální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metabolismus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 vedoucí ke snížené sérové koncentraci </w:t>
      </w:r>
      <w:proofErr w:type="spellStart"/>
      <w:r w:rsidRPr="002437AC">
        <w:rPr>
          <w:rFonts w:ascii="Times New Roman" w:eastAsia="Times New Roman" w:hAnsi="Times New Roman" w:cs="Times New Roman"/>
          <w:lang w:val="cs-CZ"/>
        </w:rPr>
        <w:t>metronidazolu</w:t>
      </w:r>
      <w:proofErr w:type="spellEnd"/>
      <w:r w:rsidRPr="002437AC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0BE71900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3BB6C961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35205E">
        <w:rPr>
          <w:rFonts w:ascii="Times New Roman" w:eastAsia="Times New Roman" w:hAnsi="Times New Roman" w:cs="Times New Roman"/>
          <w:u w:val="single"/>
          <w:lang w:val="cs-CZ"/>
        </w:rPr>
        <w:t xml:space="preserve">Předávkování (symptomy, první pomoc, </w:t>
      </w:r>
      <w:proofErr w:type="spellStart"/>
      <w:r w:rsidRPr="0035205E">
        <w:rPr>
          <w:rFonts w:ascii="Times New Roman" w:eastAsia="Times New Roman" w:hAnsi="Times New Roman" w:cs="Times New Roman"/>
          <w:u w:val="single"/>
          <w:lang w:val="cs-CZ"/>
        </w:rPr>
        <w:t>antidota</w:t>
      </w:r>
      <w:proofErr w:type="spellEnd"/>
      <w:r w:rsidRPr="0035205E">
        <w:rPr>
          <w:rFonts w:ascii="Times New Roman" w:eastAsia="Times New Roman" w:hAnsi="Times New Roman" w:cs="Times New Roman"/>
          <w:u w:val="single"/>
          <w:lang w:val="cs-CZ"/>
        </w:rPr>
        <w:t>)</w:t>
      </w:r>
      <w:r w:rsidRPr="0035205E">
        <w:rPr>
          <w:rFonts w:ascii="Times New Roman" w:eastAsia="Times New Roman" w:hAnsi="Times New Roman" w:cs="Times New Roman"/>
          <w:lang w:val="cs-CZ"/>
        </w:rPr>
        <w:t>:</w:t>
      </w:r>
    </w:p>
    <w:p w14:paraId="6E58576E" w14:textId="77777777" w:rsidR="00AC6CC5" w:rsidRPr="002437AC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E1F19A3" w14:textId="0729AA21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Výskyt nežádoucích příhod je pravděpodobnější při dávkách a trvání léčby přesahujících doporučený léčebný režim. Jestliže se vyskytnou neurologické </w:t>
      </w:r>
      <w:r w:rsidR="001E448B">
        <w:rPr>
          <w:rFonts w:ascii="Times New Roman" w:eastAsia="Times New Roman" w:hAnsi="Times New Roman" w:cs="Times New Roman"/>
          <w:lang w:val="cs-CZ"/>
        </w:rPr>
        <w:t>příznaky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, léčba má být ukončena a pacient by měl být léčen symptomaticky. </w:t>
      </w:r>
    </w:p>
    <w:p w14:paraId="1A2753AA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1C1653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bCs/>
          <w:u w:val="single"/>
          <w:lang w:val="cs-CZ"/>
        </w:rPr>
        <w:t>Hlavní inkompatibility</w:t>
      </w:r>
      <w:r w:rsidRPr="00AC6CC5">
        <w:rPr>
          <w:rFonts w:ascii="Times New Roman" w:eastAsia="Times New Roman" w:hAnsi="Times New Roman" w:cs="Times New Roman"/>
          <w:lang w:val="cs-CZ"/>
        </w:rPr>
        <w:t>:</w:t>
      </w:r>
    </w:p>
    <w:p w14:paraId="2355D61D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2F03E13D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bCs/>
          <w:lang w:val="cs-CZ"/>
        </w:rPr>
      </w:pPr>
      <w:r w:rsidRPr="00810F46">
        <w:rPr>
          <w:rFonts w:ascii="Times New Roman" w:eastAsia="Times New Roman" w:hAnsi="Times New Roman" w:cs="Times New Roman"/>
          <w:bCs/>
          <w:lang w:val="cs-CZ"/>
        </w:rPr>
        <w:t>Neuplatňuje se.</w:t>
      </w:r>
    </w:p>
    <w:p w14:paraId="42E4BEAC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C739A55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9F4A484" w14:textId="77777777" w:rsidR="00AC6CC5" w:rsidRPr="00AC6CC5" w:rsidRDefault="00AC6CC5" w:rsidP="00AC6CC5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13.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ZVLÁŠTNÍ OPATŘENÍ PRO ZNEŠKODŇOVÁNÍ NEPOUŽITÝCH PŘÍPRAVKŮ NEBO ODPADU, POKUD JE JICH TŘEBA</w:t>
      </w:r>
    </w:p>
    <w:p w14:paraId="19583C8A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691732C7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i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Všechen nepoužitý veterinární léčivý přípravek nebo odpad, který pochází z tohoto přípravku, musí být likvidován podle místních právních předpisů.</w:t>
      </w:r>
    </w:p>
    <w:p w14:paraId="3A03E26C" w14:textId="77777777" w:rsidR="00AC6CC5" w:rsidRPr="00810F46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21212D0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4A689DA3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14.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DATUM POSLEDNÍ REVIZE PŘÍBALOVÉ INFORMACE</w:t>
      </w:r>
    </w:p>
    <w:p w14:paraId="2A745B85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519C5CE3" w14:textId="647075C6" w:rsidR="006E5222" w:rsidRPr="00AC6CC5" w:rsidRDefault="006E1FCF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Srpen</w:t>
      </w:r>
      <w:r w:rsidR="006E5222">
        <w:rPr>
          <w:rFonts w:ascii="Times New Roman" w:eastAsia="Times New Roman" w:hAnsi="Times New Roman" w:cs="Times New Roman"/>
          <w:lang w:val="cs-CZ"/>
        </w:rPr>
        <w:t xml:space="preserve"> 2019</w:t>
      </w:r>
    </w:p>
    <w:p w14:paraId="4CE7C6F8" w14:textId="77777777" w:rsidR="00AC6CC5" w:rsidRP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2C90722" w14:textId="77777777" w:rsidR="00AC6CC5" w:rsidRPr="00AC6CC5" w:rsidRDefault="00AC6CC5" w:rsidP="00AC6CC5">
      <w:pPr>
        <w:keepNext/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 w:rsidRPr="00AC6CC5">
        <w:rPr>
          <w:rFonts w:ascii="Times New Roman" w:eastAsia="Times New Roman" w:hAnsi="Times New Roman" w:cs="Times New Roman"/>
          <w:b/>
          <w:lang w:val="cs-CZ"/>
        </w:rPr>
        <w:t>15.</w:t>
      </w:r>
      <w:r w:rsidRPr="00AC6CC5">
        <w:rPr>
          <w:rFonts w:ascii="Times New Roman" w:eastAsia="Times New Roman" w:hAnsi="Times New Roman" w:cs="Times New Roman"/>
          <w:b/>
          <w:lang w:val="cs-CZ"/>
        </w:rPr>
        <w:tab/>
      </w:r>
      <w:r w:rsidRPr="0035205E">
        <w:rPr>
          <w:rFonts w:ascii="Times New Roman" w:eastAsia="Times New Roman" w:hAnsi="Times New Roman" w:cs="Times New Roman"/>
          <w:b/>
          <w:lang w:val="cs-CZ"/>
        </w:rPr>
        <w:t>DALŠÍ INFORMACE</w:t>
      </w:r>
    </w:p>
    <w:p w14:paraId="2523AAE6" w14:textId="77777777" w:rsidR="00AC6CC5" w:rsidRDefault="00AC6CC5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</w:p>
    <w:p w14:paraId="703EF704" w14:textId="5647B470" w:rsidR="00D47122" w:rsidRDefault="00D47122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Pouze pro zvířata.</w:t>
      </w:r>
    </w:p>
    <w:p w14:paraId="17E216A4" w14:textId="578B3EE9" w:rsidR="00D47122" w:rsidRPr="00AC6CC5" w:rsidRDefault="00D47122" w:rsidP="00AC6CC5">
      <w:pPr>
        <w:spacing w:after="0" w:line="240" w:lineRule="auto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Veterinární léčivý přípravek je vydáván pouze na předpis.</w:t>
      </w:r>
    </w:p>
    <w:p w14:paraId="725CE15F" w14:textId="77777777" w:rsidR="00D47122" w:rsidRDefault="00D47122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646003A8" w14:textId="77777777" w:rsidR="00AC6CC5" w:rsidRPr="00AC6CC5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 xml:space="preserve">Kartonová krabička s 1, 2, 3, 4, 5, 6, 7, 8, 9, 10, 25 nebo 50 </w:t>
      </w:r>
      <w:r w:rsidRPr="00810F46">
        <w:rPr>
          <w:rFonts w:ascii="Times New Roman" w:eastAsia="Times New Roman" w:hAnsi="Times New Roman" w:cs="Times New Roman"/>
          <w:bCs/>
          <w:iCs/>
          <w:lang w:val="cs-CZ"/>
        </w:rPr>
        <w:t>blistry</w:t>
      </w:r>
      <w:r w:rsidRPr="00810F46">
        <w:rPr>
          <w:rFonts w:ascii="Times New Roman" w:eastAsia="Times New Roman" w:hAnsi="Times New Roman" w:cs="Times New Roman"/>
          <w:lang w:val="cs-CZ"/>
        </w:rPr>
        <w:t xml:space="preserve"> po 10 tabletách</w:t>
      </w:r>
      <w:r w:rsidRPr="00AC6CC5">
        <w:rPr>
          <w:rFonts w:ascii="Times New Roman" w:eastAsia="Times New Roman" w:hAnsi="Times New Roman" w:cs="Times New Roman"/>
          <w:lang w:val="cs-CZ"/>
        </w:rPr>
        <w:t xml:space="preserve">. </w:t>
      </w:r>
    </w:p>
    <w:p w14:paraId="52793685" w14:textId="77777777" w:rsidR="00AC6CC5" w:rsidRPr="00810F46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  <w:r w:rsidRPr="00810F46">
        <w:rPr>
          <w:rFonts w:ascii="Times New Roman" w:eastAsia="Times New Roman" w:hAnsi="Times New Roman" w:cs="Times New Roman"/>
          <w:lang w:val="cs-CZ"/>
        </w:rPr>
        <w:t>Na trhu nemusí být všechny velikosti balení.</w:t>
      </w:r>
    </w:p>
    <w:p w14:paraId="0F2D7B23" w14:textId="77777777" w:rsidR="00AC6CC5" w:rsidRPr="00810F46" w:rsidRDefault="00AC6CC5" w:rsidP="00AC6CC5">
      <w:pPr>
        <w:spacing w:after="0" w:line="240" w:lineRule="auto"/>
        <w:jc w:val="both"/>
        <w:rPr>
          <w:rFonts w:ascii="Times New Roman" w:eastAsia="Times New Roman" w:hAnsi="Times New Roman" w:cs="Times New Roman"/>
          <w:lang w:val="cs-CZ"/>
        </w:rPr>
      </w:pPr>
    </w:p>
    <w:p w14:paraId="5ED9B9FE" w14:textId="77777777" w:rsidR="00AC6CC5" w:rsidRPr="00AC6CC5" w:rsidRDefault="00AC6CC5" w:rsidP="00AC6CC5">
      <w:pPr>
        <w:rPr>
          <w:lang w:val="cs-CZ"/>
        </w:rPr>
      </w:pPr>
    </w:p>
    <w:p w14:paraId="74C4450C" w14:textId="2899E0DC" w:rsidR="00AC6CC5" w:rsidRDefault="00AC6CC5">
      <w:pPr>
        <w:rPr>
          <w:lang w:val="cs-CZ"/>
        </w:rPr>
      </w:pPr>
    </w:p>
    <w:p w14:paraId="3254295F" w14:textId="61C3E5FF" w:rsidR="00AC6CC5" w:rsidRDefault="00AC6CC5">
      <w:pPr>
        <w:rPr>
          <w:lang w:val="cs-CZ"/>
        </w:rPr>
      </w:pPr>
    </w:p>
    <w:p w14:paraId="335B423A" w14:textId="77777777" w:rsidR="00AC6CC5" w:rsidRPr="001B2245" w:rsidRDefault="00AC6CC5">
      <w:pPr>
        <w:rPr>
          <w:lang w:val="cs-CZ"/>
        </w:rPr>
      </w:pPr>
    </w:p>
    <w:sectPr w:rsidR="00AC6CC5" w:rsidRPr="001B224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EFE2E" w14:textId="77777777" w:rsidR="002031E8" w:rsidRDefault="002031E8" w:rsidP="009104EE">
      <w:pPr>
        <w:spacing w:after="0" w:line="240" w:lineRule="auto"/>
      </w:pPr>
      <w:r>
        <w:separator/>
      </w:r>
    </w:p>
  </w:endnote>
  <w:endnote w:type="continuationSeparator" w:id="0">
    <w:p w14:paraId="19B98E45" w14:textId="77777777" w:rsidR="002031E8" w:rsidRDefault="002031E8" w:rsidP="0091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55D7" w14:textId="77777777" w:rsidR="002031E8" w:rsidRDefault="002031E8" w:rsidP="009104EE">
      <w:pPr>
        <w:spacing w:after="0" w:line="240" w:lineRule="auto"/>
      </w:pPr>
      <w:r>
        <w:separator/>
      </w:r>
    </w:p>
  </w:footnote>
  <w:footnote w:type="continuationSeparator" w:id="0">
    <w:p w14:paraId="26AB9D21" w14:textId="77777777" w:rsidR="002031E8" w:rsidRDefault="002031E8" w:rsidP="0091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482C" w14:textId="49631933" w:rsidR="009104EE" w:rsidRPr="009104EE" w:rsidRDefault="009104E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23"/>
    <w:rsid w:val="00045BE8"/>
    <w:rsid w:val="000877E8"/>
    <w:rsid w:val="000B24EC"/>
    <w:rsid w:val="00102649"/>
    <w:rsid w:val="00140560"/>
    <w:rsid w:val="00140FBC"/>
    <w:rsid w:val="001B2245"/>
    <w:rsid w:val="001D2875"/>
    <w:rsid w:val="001E448B"/>
    <w:rsid w:val="002031E8"/>
    <w:rsid w:val="002C0EBF"/>
    <w:rsid w:val="002C2FA7"/>
    <w:rsid w:val="00341780"/>
    <w:rsid w:val="00382A4F"/>
    <w:rsid w:val="003A21CD"/>
    <w:rsid w:val="003B1BC7"/>
    <w:rsid w:val="003C441F"/>
    <w:rsid w:val="003F71B3"/>
    <w:rsid w:val="0046411D"/>
    <w:rsid w:val="004C7ABB"/>
    <w:rsid w:val="005A7D3A"/>
    <w:rsid w:val="00653758"/>
    <w:rsid w:val="00660898"/>
    <w:rsid w:val="00662489"/>
    <w:rsid w:val="006A0872"/>
    <w:rsid w:val="006C122B"/>
    <w:rsid w:val="006C62D5"/>
    <w:rsid w:val="006E1FCF"/>
    <w:rsid w:val="006E5222"/>
    <w:rsid w:val="00733438"/>
    <w:rsid w:val="00780549"/>
    <w:rsid w:val="007872E2"/>
    <w:rsid w:val="00841123"/>
    <w:rsid w:val="008651C3"/>
    <w:rsid w:val="00891229"/>
    <w:rsid w:val="008C304F"/>
    <w:rsid w:val="008E41AC"/>
    <w:rsid w:val="009104EE"/>
    <w:rsid w:val="00936EDD"/>
    <w:rsid w:val="009E1F64"/>
    <w:rsid w:val="00A04A91"/>
    <w:rsid w:val="00A32B17"/>
    <w:rsid w:val="00A62D2F"/>
    <w:rsid w:val="00A74D0B"/>
    <w:rsid w:val="00A8544D"/>
    <w:rsid w:val="00A93C2C"/>
    <w:rsid w:val="00AA62A7"/>
    <w:rsid w:val="00AC6CC5"/>
    <w:rsid w:val="00AE3B39"/>
    <w:rsid w:val="00B14FD6"/>
    <w:rsid w:val="00BC571A"/>
    <w:rsid w:val="00C01894"/>
    <w:rsid w:val="00C57B94"/>
    <w:rsid w:val="00CD565E"/>
    <w:rsid w:val="00D43EDB"/>
    <w:rsid w:val="00D47122"/>
    <w:rsid w:val="00D527A0"/>
    <w:rsid w:val="00D56210"/>
    <w:rsid w:val="00D84304"/>
    <w:rsid w:val="00DA37BD"/>
    <w:rsid w:val="00DA3A31"/>
    <w:rsid w:val="00DC37C8"/>
    <w:rsid w:val="00E731FF"/>
    <w:rsid w:val="00E74A34"/>
    <w:rsid w:val="00E93AFF"/>
    <w:rsid w:val="00E96728"/>
    <w:rsid w:val="00EB0E87"/>
    <w:rsid w:val="00EB5063"/>
    <w:rsid w:val="00EF4AC2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4EE"/>
  </w:style>
  <w:style w:type="paragraph" w:styleId="Zpat">
    <w:name w:val="footer"/>
    <w:basedOn w:val="Normln"/>
    <w:link w:val="Zpat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5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4EE"/>
  </w:style>
  <w:style w:type="paragraph" w:styleId="Zpat">
    <w:name w:val="footer"/>
    <w:basedOn w:val="Normln"/>
    <w:link w:val="ZpatChar"/>
    <w:uiPriority w:val="99"/>
    <w:unhideWhenUsed/>
    <w:rsid w:val="0091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TaxCatchAll xmlns="83d074eb-7aee-436a-b9f9-cd30f41a47af">
      <Value>1</Value>
    </TaxCatchAll>
    <ib17375f93d344a9a3a38c41f8465942 xmlns="83d074eb-7aee-436a-b9f9-cd30f41a47af">
      <Terms xmlns="http://schemas.microsoft.com/office/infopath/2007/PartnerControls"/>
    </ib17375f93d344a9a3a38c41f8465942>
    <Active_x0020_Document xmlns="83d074eb-7aee-436a-b9f9-cd30f41a47af">true</Active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4" ma:contentTypeDescription="" ma:contentTypeScope="" ma:versionID="56fe21194b5473df751eb4d3d991ac19">
  <xsd:schema xmlns:xsd="http://www.w3.org/2001/XMLSchema" xmlns:xs="http://www.w3.org/2001/XMLSchema" xmlns:p="http://schemas.microsoft.com/office/2006/metadata/properties" xmlns:ns2="83d074eb-7aee-436a-b9f9-cd30f41a47af" targetNamespace="http://schemas.microsoft.com/office/2006/metadata/properties" ma:root="true" ma:fieldsID="2552acfdb3d05927bdc8c4efe4ebd798" ns2:_="">
    <xsd:import namespace="83d074eb-7aee-436a-b9f9-cd30f41a47af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81D2D-BFED-4A71-B7A5-128D96A0A335}">
  <ds:schemaRefs>
    <ds:schemaRef ds:uri="http://schemas.microsoft.com/office/2006/metadata/properties"/>
    <ds:schemaRef ds:uri="http://schemas.microsoft.com/office/infopath/2007/PartnerControls"/>
    <ds:schemaRef ds:uri="83d074eb-7aee-436a-b9f9-cd30f41a47af"/>
  </ds:schemaRefs>
</ds:datastoreItem>
</file>

<file path=customXml/itemProps2.xml><?xml version="1.0" encoding="utf-8"?>
<ds:datastoreItem xmlns:ds="http://schemas.openxmlformats.org/officeDocument/2006/customXml" ds:itemID="{6E437E1F-7991-40A8-868D-48377EBD1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7FA02-C474-4DED-B712-11E6856A65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C82DAF-E999-4D85-B4E0-1822A23C8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1035</Words>
  <Characters>6109</Characters>
  <Application>Microsoft Office Word</Application>
  <DocSecurity>0</DocSecurity>
  <Lines>50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Thomas</dc:creator>
  <cp:lastModifiedBy>Neugebauerová Kateřina</cp:lastModifiedBy>
  <cp:revision>19</cp:revision>
  <cp:lastPrinted>2019-08-28T11:32:00Z</cp:lastPrinted>
  <dcterms:created xsi:type="dcterms:W3CDTF">2019-06-13T08:15:00Z</dcterms:created>
  <dcterms:modified xsi:type="dcterms:W3CDTF">2019-08-28T11:32:00Z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0x010100A04BD06D3FA0C64AAD4A0F63D23CD6B9008CF2447852C452409C99D5BD51D418EA</vt:lpwstr>
  </property>
  <property fmtid="{D5CDD505-2E9C-101B-9397-08002B2CF9AE}" pid="3" name="Document Language">
    <vt:lpwstr>1;#EN|3b045742-cea0-40d2-9fa2-6c4333dcd530</vt:lpwstr>
  </property>
  <property fmtid="{D5CDD505-2E9C-101B-9397-08002B2CF9AE}" pid="4" name="Document Type">
    <vt:lpwstr/>
  </property>
</Properties>
</file>