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B6" w:rsidRDefault="002C41B6" w:rsidP="0079506D">
      <w:pPr>
        <w:ind w:left="0" w:firstLine="0"/>
        <w:jc w:val="both"/>
        <w:rPr>
          <w:b/>
          <w:szCs w:val="22"/>
        </w:rPr>
      </w:pPr>
    </w:p>
    <w:p w:rsidR="00FC2964" w:rsidRDefault="00FC2964" w:rsidP="0079506D">
      <w:pPr>
        <w:ind w:left="0" w:firstLine="0"/>
        <w:jc w:val="both"/>
        <w:rPr>
          <w:b/>
          <w:szCs w:val="22"/>
        </w:rPr>
      </w:pPr>
    </w:p>
    <w:p w:rsidR="00FC2964" w:rsidRDefault="00FC2964" w:rsidP="0079506D">
      <w:pPr>
        <w:ind w:left="0" w:firstLine="0"/>
        <w:jc w:val="both"/>
        <w:rPr>
          <w:b/>
          <w:szCs w:val="22"/>
        </w:rPr>
      </w:pPr>
    </w:p>
    <w:p w:rsidR="00FC2964" w:rsidRPr="000A2130" w:rsidRDefault="00FC2964" w:rsidP="0079506D">
      <w:pPr>
        <w:ind w:left="0" w:firstLine="0"/>
        <w:jc w:val="both"/>
        <w:rPr>
          <w:b/>
          <w:szCs w:val="22"/>
        </w:rPr>
      </w:pPr>
    </w:p>
    <w:p w:rsidR="002C41B6" w:rsidRPr="000A2130" w:rsidRDefault="002C41B6" w:rsidP="0079506D">
      <w:pPr>
        <w:ind w:left="0" w:firstLine="0"/>
        <w:jc w:val="both"/>
        <w:rPr>
          <w:b/>
          <w:szCs w:val="22"/>
        </w:rPr>
      </w:pPr>
    </w:p>
    <w:p w:rsidR="002C41B6" w:rsidRPr="000A2130" w:rsidRDefault="002C41B6" w:rsidP="0079506D">
      <w:pPr>
        <w:ind w:left="0" w:firstLine="0"/>
        <w:jc w:val="both"/>
        <w:rPr>
          <w:b/>
          <w:szCs w:val="22"/>
        </w:rPr>
      </w:pPr>
    </w:p>
    <w:p w:rsidR="002C41B6" w:rsidRPr="000A2130" w:rsidRDefault="002C41B6" w:rsidP="0079506D">
      <w:pPr>
        <w:ind w:left="0" w:firstLine="0"/>
        <w:jc w:val="both"/>
        <w:rPr>
          <w:b/>
          <w:szCs w:val="22"/>
        </w:rPr>
      </w:pPr>
    </w:p>
    <w:p w:rsidR="002C41B6" w:rsidRPr="000A2130" w:rsidRDefault="002C41B6" w:rsidP="0079506D">
      <w:pPr>
        <w:ind w:left="0" w:firstLine="0"/>
        <w:jc w:val="both"/>
        <w:rPr>
          <w:b/>
          <w:szCs w:val="22"/>
        </w:rPr>
      </w:pPr>
    </w:p>
    <w:p w:rsidR="002C41B6" w:rsidRPr="000A2130" w:rsidRDefault="002C41B6" w:rsidP="0079506D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ind w:left="0" w:firstLine="0"/>
        <w:jc w:val="both"/>
        <w:rPr>
          <w:b/>
        </w:rPr>
      </w:pPr>
    </w:p>
    <w:p w:rsidR="009C2A25" w:rsidRPr="000A2130" w:rsidRDefault="009C2A25" w:rsidP="009C2A25">
      <w:pPr>
        <w:jc w:val="center"/>
        <w:rPr>
          <w:rFonts w:ascii="Times" w:hAnsi="Times"/>
          <w:b/>
          <w:dstrike/>
          <w:szCs w:val="22"/>
        </w:rPr>
      </w:pPr>
    </w:p>
    <w:p w:rsidR="009C2A25" w:rsidRPr="000A2130" w:rsidRDefault="009C2A25" w:rsidP="009C2A25">
      <w:pPr>
        <w:jc w:val="center"/>
        <w:rPr>
          <w:rFonts w:ascii="Times" w:hAnsi="Times"/>
          <w:b/>
          <w:dstrike/>
          <w:szCs w:val="22"/>
        </w:rPr>
      </w:pPr>
    </w:p>
    <w:p w:rsidR="009C2A25" w:rsidRPr="000A2130" w:rsidRDefault="009C2A25" w:rsidP="009C2A25">
      <w:pPr>
        <w:ind w:left="0" w:firstLine="0"/>
        <w:jc w:val="center"/>
        <w:rPr>
          <w:b/>
        </w:rPr>
      </w:pPr>
      <w:r w:rsidRPr="000A2130">
        <w:rPr>
          <w:b/>
        </w:rPr>
        <w:t>B. PŘÍBALOVÁ INFORMACE</w:t>
      </w:r>
    </w:p>
    <w:p w:rsidR="009C2A25" w:rsidRPr="000A2130" w:rsidRDefault="009C2A25" w:rsidP="009C2A25">
      <w:pPr>
        <w:ind w:right="113"/>
        <w:jc w:val="center"/>
      </w:pPr>
      <w:r w:rsidRPr="000A2130">
        <w:rPr>
          <w:b/>
        </w:rPr>
        <w:br w:type="page"/>
      </w:r>
    </w:p>
    <w:p w:rsidR="009C2A25" w:rsidRPr="000A2130" w:rsidRDefault="009C2A25" w:rsidP="009C2A25">
      <w:pPr>
        <w:jc w:val="both"/>
      </w:pPr>
    </w:p>
    <w:p w:rsidR="009C2A25" w:rsidRPr="000A2130" w:rsidRDefault="009C2A25" w:rsidP="009C2A25">
      <w:pPr>
        <w:ind w:left="0" w:firstLine="0"/>
        <w:jc w:val="center"/>
        <w:rPr>
          <w:szCs w:val="22"/>
        </w:rPr>
      </w:pPr>
      <w:r w:rsidRPr="000A2130">
        <w:rPr>
          <w:b/>
          <w:szCs w:val="22"/>
        </w:rPr>
        <w:t>PŘÍBALOVÁ INFORMACE</w:t>
      </w:r>
    </w:p>
    <w:p w:rsidR="009C2A25" w:rsidRPr="000A2130" w:rsidRDefault="009C2A25" w:rsidP="009C2A25">
      <w:pPr>
        <w:jc w:val="center"/>
      </w:pPr>
      <w:r w:rsidRPr="000A2130">
        <w:t>Vetmedin 1,25 mg žvýkací tablety pro psy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  <w:r w:rsidRPr="000A2130">
        <w:rPr>
          <w:b/>
          <w:szCs w:val="22"/>
        </w:rPr>
        <w:t>1.</w:t>
      </w:r>
      <w:r w:rsidRPr="000A2130"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iCs/>
          <w:szCs w:val="22"/>
        </w:rPr>
      </w:pPr>
      <w:r w:rsidRPr="000A2130">
        <w:rPr>
          <w:iCs/>
          <w:szCs w:val="22"/>
          <w:u w:val="single"/>
        </w:rPr>
        <w:t>Držitel rozhodnutí o registraci</w:t>
      </w:r>
      <w:r w:rsidR="00454B51">
        <w:rPr>
          <w:iCs/>
          <w:szCs w:val="22"/>
          <w:u w:val="single"/>
        </w:rPr>
        <w:t xml:space="preserve"> a </w:t>
      </w:r>
      <w:r w:rsidR="00454B51">
        <w:rPr>
          <w:bCs/>
          <w:szCs w:val="22"/>
          <w:u w:val="single"/>
        </w:rPr>
        <w:t>v</w:t>
      </w:r>
      <w:r w:rsidR="00454B51" w:rsidRPr="000A2130">
        <w:rPr>
          <w:bCs/>
          <w:szCs w:val="22"/>
          <w:u w:val="single"/>
        </w:rPr>
        <w:t>ýrobce</w:t>
      </w:r>
      <w:r w:rsidR="00454B51" w:rsidRPr="000A2130">
        <w:rPr>
          <w:bCs/>
          <w:u w:val="single"/>
        </w:rPr>
        <w:t xml:space="preserve"> odpovědný za uvolnění šarže</w:t>
      </w:r>
      <w:r w:rsidRPr="000A2130">
        <w:rPr>
          <w:iCs/>
          <w:szCs w:val="22"/>
          <w:u w:val="single"/>
        </w:rPr>
        <w:t>:</w:t>
      </w:r>
      <w:r w:rsidRPr="000A2130">
        <w:rPr>
          <w:szCs w:val="22"/>
          <w:u w:val="single"/>
        </w:rPr>
        <w:t xml:space="preserve"> </w:t>
      </w: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  <w:r w:rsidRPr="000A2130">
        <w:t>Boehringer Ingelheim Vetmedica GmbH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55216 Ingelheim/Rhein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Německo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  <w:r w:rsidRPr="000A2130">
        <w:rPr>
          <w:b/>
          <w:szCs w:val="22"/>
        </w:rPr>
        <w:t>2.</w:t>
      </w:r>
      <w:r w:rsidRPr="000A2130">
        <w:rPr>
          <w:b/>
          <w:szCs w:val="22"/>
        </w:rPr>
        <w:tab/>
        <w:t>NÁZEV VETERINÁRNÍHO LÉČIVÉHO PŘÍPRAVKU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jc w:val="both"/>
      </w:pPr>
      <w:r w:rsidRPr="000A2130">
        <w:t>Vetmedin 1,25 mg žvýkací tablety pro psy</w:t>
      </w:r>
    </w:p>
    <w:p w:rsidR="009C2A25" w:rsidRPr="000A2130" w:rsidRDefault="009C2A25" w:rsidP="009C2A25">
      <w:pPr>
        <w:jc w:val="both"/>
      </w:pPr>
      <w:r w:rsidRPr="000A2130">
        <w:t>Pimobendanum</w:t>
      </w: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  <w:r w:rsidRPr="000A2130">
        <w:rPr>
          <w:b/>
          <w:szCs w:val="22"/>
        </w:rPr>
        <w:t>3.</w:t>
      </w:r>
      <w:r w:rsidRPr="000A2130">
        <w:rPr>
          <w:b/>
          <w:szCs w:val="22"/>
        </w:rPr>
        <w:tab/>
        <w:t>OBSAH LÉČIVÝCH A OSTATNÍCH LÁTEK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tabs>
          <w:tab w:val="left" w:pos="1701"/>
        </w:tabs>
        <w:ind w:left="0" w:firstLine="0"/>
        <w:jc w:val="both"/>
        <w:rPr>
          <w:iCs/>
        </w:rPr>
      </w:pPr>
      <w:r w:rsidRPr="000A2130">
        <w:rPr>
          <w:szCs w:val="22"/>
        </w:rPr>
        <w:t xml:space="preserve">1 </w:t>
      </w:r>
      <w:r w:rsidRPr="000A2130">
        <w:t>žvýkací tablet</w:t>
      </w:r>
      <w:r w:rsidRPr="000A2130">
        <w:rPr>
          <w:szCs w:val="22"/>
        </w:rPr>
        <w:t xml:space="preserve">a obsahuje: </w:t>
      </w:r>
      <w:r w:rsidR="003B5847">
        <w:t>P</w:t>
      </w:r>
      <w:r w:rsidRPr="000A2130">
        <w:t>imobendanum</w:t>
      </w:r>
      <w:r w:rsidRPr="000A2130">
        <w:tab/>
        <w:t xml:space="preserve"> 1,25 mg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Oválné skvrnité hnědé </w:t>
      </w:r>
      <w:r w:rsidRPr="000A2130">
        <w:rPr>
          <w:color w:val="000000"/>
          <w:szCs w:val="22"/>
        </w:rPr>
        <w:t>tablety</w:t>
      </w:r>
      <w:r w:rsidRPr="000A2130">
        <w:rPr>
          <w:szCs w:val="22"/>
        </w:rPr>
        <w:t xml:space="preserve"> s malými bílými skvrnami, s půlící rýhou, s vyraženým logem</w:t>
      </w:r>
      <w:r w:rsidRPr="000A2130">
        <w:t xml:space="preserve"> Boehringer Ingelheim a kódem</w:t>
      </w:r>
      <w:r w:rsidRPr="000A2130">
        <w:rPr>
          <w:szCs w:val="22"/>
        </w:rPr>
        <w:t xml:space="preserve"> P01.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Tabletu je možné rozdělit na dvě stejné části.</w:t>
      </w:r>
      <w:r w:rsidRPr="000A2130" w:rsidDel="00CA2BF0">
        <w:rPr>
          <w:szCs w:val="22"/>
        </w:rPr>
        <w:t xml:space="preserve"> </w:t>
      </w:r>
    </w:p>
    <w:p w:rsidR="009C2A25" w:rsidRPr="000A2130" w:rsidRDefault="009C2A25" w:rsidP="009C2A25">
      <w:pPr>
        <w:jc w:val="both"/>
        <w:rPr>
          <w:iCs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  <w:r w:rsidRPr="000A2130">
        <w:rPr>
          <w:b/>
          <w:szCs w:val="22"/>
        </w:rPr>
        <w:t>4.</w:t>
      </w:r>
      <w:r w:rsidRPr="000A2130">
        <w:rPr>
          <w:b/>
          <w:szCs w:val="22"/>
        </w:rPr>
        <w:tab/>
        <w:t>INDIKACE</w:t>
      </w: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Léčba městnavého srdečního selhání u psů vyvolaného dilatační kardiomyopatií nebo nedostatečností srdečních chlopní (nedomykavost mitrální a/nebo trikuspidální chlopně).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(Viz také bod „Dávkování, cesty a způsob podání“).</w:t>
      </w:r>
    </w:p>
    <w:p w:rsidR="009C2A25" w:rsidRPr="000A2130" w:rsidRDefault="009C2A25" w:rsidP="009C2A25">
      <w:pPr>
        <w:tabs>
          <w:tab w:val="left" w:pos="567"/>
        </w:tabs>
        <w:ind w:left="0" w:firstLine="0"/>
        <w:jc w:val="both"/>
        <w:rPr>
          <w:szCs w:val="22"/>
        </w:rPr>
      </w:pPr>
      <w:r w:rsidRPr="000A2130">
        <w:rPr>
          <w:szCs w:val="22"/>
        </w:rPr>
        <w:t>K léčbě dilatační kardiomyopatie v preklinickém stadiu (asymptomatická, s nárůstem konečného systolického a konečného diastolického rozměru levé komory) u dobrmanů po echokardiografickém potvrzení onemocnění srdce (viz body „Zvláštní upozornění“ a „Zvláštní opatření pro použití u zvířat“).</w:t>
      </w: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581614" w:rsidRDefault="00581614" w:rsidP="00581614">
      <w:pPr>
        <w:tabs>
          <w:tab w:val="left" w:pos="567"/>
        </w:tabs>
        <w:ind w:left="0" w:firstLine="0"/>
        <w:jc w:val="both"/>
        <w:rPr>
          <w:szCs w:val="22"/>
        </w:rPr>
      </w:pPr>
      <w:r>
        <w:rPr>
          <w:szCs w:val="22"/>
        </w:rPr>
        <w:t>K léčbě psů s myxomatózní degenerací mitrální chlopně (MMVD) v preklinickém stádiu (asymptomatick</w:t>
      </w:r>
      <w:r w:rsidR="003B5847">
        <w:rPr>
          <w:szCs w:val="22"/>
        </w:rPr>
        <w:t>á</w:t>
      </w:r>
      <w:r>
        <w:rPr>
          <w:szCs w:val="22"/>
        </w:rPr>
        <w:t xml:space="preserve"> se systolickým mitrálním šelestem a </w:t>
      </w:r>
      <w:r w:rsidR="00454B51">
        <w:rPr>
          <w:szCs w:val="22"/>
        </w:rPr>
        <w:t xml:space="preserve">prokázaným </w:t>
      </w:r>
      <w:r w:rsidR="003B5847">
        <w:rPr>
          <w:szCs w:val="22"/>
        </w:rPr>
        <w:t xml:space="preserve">zvětšením </w:t>
      </w:r>
      <w:r>
        <w:rPr>
          <w:szCs w:val="22"/>
        </w:rPr>
        <w:t xml:space="preserve">velikosti srdce) za účelem </w:t>
      </w:r>
      <w:r w:rsidR="00C26CF5">
        <w:rPr>
          <w:szCs w:val="22"/>
        </w:rPr>
        <w:t>oddálení</w:t>
      </w:r>
      <w:r>
        <w:rPr>
          <w:szCs w:val="22"/>
        </w:rPr>
        <w:t xml:space="preserve"> nástupu klinických příznaků srdečního selhání (viz bod</w:t>
      </w:r>
      <w:r w:rsidR="00C26CF5">
        <w:rPr>
          <w:szCs w:val="22"/>
        </w:rPr>
        <w:t>y</w:t>
      </w:r>
      <w:r>
        <w:rPr>
          <w:szCs w:val="22"/>
        </w:rPr>
        <w:t xml:space="preserve"> „Zvláštní upozornění“ a „Zvláštní opatření pro použití u zvířat“).</w:t>
      </w:r>
    </w:p>
    <w:p w:rsidR="00D855F2" w:rsidRPr="000A2130" w:rsidRDefault="00D855F2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bCs/>
        </w:rPr>
      </w:pPr>
      <w:r w:rsidRPr="000A2130">
        <w:rPr>
          <w:b/>
          <w:bCs/>
        </w:rPr>
        <w:t>5.</w:t>
      </w:r>
      <w:r w:rsidRPr="000A2130">
        <w:rPr>
          <w:b/>
          <w:bCs/>
        </w:rPr>
        <w:tab/>
        <w:t>KONTRAINDIKACE</w:t>
      </w:r>
    </w:p>
    <w:p w:rsidR="009C2A25" w:rsidRPr="000A2130" w:rsidRDefault="009C2A25" w:rsidP="009C2A25">
      <w:pPr>
        <w:ind w:left="0" w:firstLine="0"/>
        <w:jc w:val="both"/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Pimobendan nepoužívat v případech hypertrofických kardiomyopatií nebo v případě takových onemocnění, kdy zlepšení srdečního výdeje nemůže být z funkčních nebo anatomických důvodů dosaženo (např. stenóza aorty).</w:t>
      </w:r>
    </w:p>
    <w:p w:rsidR="009C2A25" w:rsidRPr="000A2130" w:rsidRDefault="009C2A25" w:rsidP="009C2A25">
      <w:pPr>
        <w:ind w:left="0" w:firstLine="0"/>
        <w:jc w:val="both"/>
      </w:pPr>
      <w:r w:rsidRPr="000A2130">
        <w:t>Pimobendan je metabolizován zejména játry, proto se nemůže aplikovat psům s vážně narušenou funkcí jater.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t>(Viz také bod „</w:t>
      </w:r>
      <w:r w:rsidRPr="000A2130">
        <w:rPr>
          <w:szCs w:val="22"/>
        </w:rPr>
        <w:t>Březost a laktace“).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b/>
          <w:szCs w:val="22"/>
        </w:rPr>
        <w:t>6.</w:t>
      </w:r>
      <w:r w:rsidRPr="000A2130">
        <w:rPr>
          <w:b/>
          <w:szCs w:val="22"/>
        </w:rPr>
        <w:tab/>
        <w:t>NEŽÁDOUCÍ ÚČINKY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lastRenderedPageBreak/>
        <w:t xml:space="preserve">Vzácně se </w:t>
      </w:r>
      <w:r w:rsidR="00C26CF5">
        <w:rPr>
          <w:szCs w:val="22"/>
        </w:rPr>
        <w:t>může</w:t>
      </w:r>
      <w:r w:rsidR="00C26CF5" w:rsidRPr="000A2130">
        <w:rPr>
          <w:szCs w:val="22"/>
        </w:rPr>
        <w:t xml:space="preserve"> </w:t>
      </w:r>
      <w:r w:rsidRPr="000A2130">
        <w:rPr>
          <w:szCs w:val="22"/>
        </w:rPr>
        <w:t>dostavit slabý pozitivně chronotropní účinek (</w:t>
      </w:r>
      <w:r w:rsidR="00C26CF5">
        <w:rPr>
          <w:szCs w:val="22"/>
        </w:rPr>
        <w:t>zvýšení</w:t>
      </w:r>
      <w:r w:rsidR="00C26CF5" w:rsidRPr="000A2130">
        <w:rPr>
          <w:szCs w:val="22"/>
        </w:rPr>
        <w:t xml:space="preserve"> </w:t>
      </w:r>
      <w:r w:rsidRPr="000A2130">
        <w:rPr>
          <w:szCs w:val="22"/>
        </w:rPr>
        <w:t>srdeční frekvence) a zvracení. Tyto účinky jsou však závislé na dávce a je možné se jich vyvarovat snížením dávky.</w:t>
      </w:r>
    </w:p>
    <w:p w:rsidR="009C2A25" w:rsidRPr="000A2130" w:rsidRDefault="009C2A25" w:rsidP="009C2A25">
      <w:pPr>
        <w:ind w:left="0" w:firstLine="0"/>
        <w:jc w:val="both"/>
      </w:pPr>
      <w:r w:rsidRPr="000A2130">
        <w:t>Ve vzácných případech byl pozorován přechodný průjem, anorexie a letargie.</w:t>
      </w:r>
    </w:p>
    <w:p w:rsidR="009C2A25" w:rsidRPr="000A2130" w:rsidRDefault="009C2A25" w:rsidP="009C2A25">
      <w:pPr>
        <w:ind w:left="0" w:firstLine="0"/>
        <w:jc w:val="both"/>
      </w:pPr>
      <w:r w:rsidRPr="000A2130">
        <w:t xml:space="preserve">Ačkoliv nebyla souvislost s pimobendanem jasně stanovena, mohou být během léčby ve velmi vzácných případech pozorovány známky vlivu na primární hemostázu (petechie na sliznicích, subkutánní hemoragie). Tyto příznaky mizí </w:t>
      </w:r>
      <w:r w:rsidR="00C26CF5">
        <w:t>po skončení</w:t>
      </w:r>
      <w:r w:rsidRPr="000A2130">
        <w:t xml:space="preserve"> léčby. Ve vzácných případech bylo u psů při </w:t>
      </w:r>
      <w:r w:rsidR="00037FB5">
        <w:t>dlouhodobé</w:t>
      </w:r>
      <w:r w:rsidR="00037FB5" w:rsidRPr="000A2130">
        <w:t xml:space="preserve"> </w:t>
      </w:r>
      <w:r w:rsidRPr="000A2130">
        <w:t xml:space="preserve">léčbě pimobendanem zaznamenáno </w:t>
      </w:r>
      <w:r w:rsidRPr="00102A3C">
        <w:t>zvýšení</w:t>
      </w:r>
      <w:r w:rsidRPr="000A2130">
        <w:t xml:space="preserve"> nedomykavosti mitrální chlopně.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Četnost nežádoucích účinků je charakterizována podle následujících pravidel:</w:t>
      </w:r>
    </w:p>
    <w:p w:rsidR="009C2A25" w:rsidRPr="000A2130" w:rsidRDefault="009C2A25" w:rsidP="009C2A25">
      <w:pPr>
        <w:jc w:val="both"/>
        <w:rPr>
          <w:szCs w:val="22"/>
        </w:rPr>
      </w:pPr>
      <w:r w:rsidRPr="000A2130">
        <w:rPr>
          <w:szCs w:val="22"/>
        </w:rPr>
        <w:t>-</w:t>
      </w:r>
      <w:r w:rsidRPr="000A2130">
        <w:rPr>
          <w:szCs w:val="22"/>
        </w:rPr>
        <w:tab/>
        <w:t xml:space="preserve">velmi časté (nežádoucí účinky se projevily u více než 1 z 10 </w:t>
      </w:r>
      <w:r w:rsidR="00977CE9" w:rsidRPr="000A2130">
        <w:rPr>
          <w:szCs w:val="22"/>
        </w:rPr>
        <w:t xml:space="preserve">ošetřených </w:t>
      </w:r>
      <w:r w:rsidRPr="000A2130">
        <w:rPr>
          <w:szCs w:val="22"/>
        </w:rPr>
        <w:t>zvířat)</w:t>
      </w:r>
    </w:p>
    <w:p w:rsidR="009C2A25" w:rsidRPr="000A2130" w:rsidRDefault="009C2A25" w:rsidP="009C2A25">
      <w:pPr>
        <w:jc w:val="both"/>
        <w:rPr>
          <w:szCs w:val="22"/>
        </w:rPr>
      </w:pPr>
      <w:r w:rsidRPr="000A2130">
        <w:rPr>
          <w:szCs w:val="22"/>
        </w:rPr>
        <w:t>-</w:t>
      </w:r>
      <w:r w:rsidRPr="000A2130">
        <w:rPr>
          <w:szCs w:val="22"/>
        </w:rPr>
        <w:tab/>
        <w:t>časté (u více než 1, ale méně než 10 ze 100</w:t>
      </w:r>
      <w:r w:rsidR="00977CE9" w:rsidRPr="000A2130">
        <w:rPr>
          <w:szCs w:val="22"/>
        </w:rPr>
        <w:t xml:space="preserve"> ošetřených</w:t>
      </w:r>
      <w:r w:rsidRPr="000A2130">
        <w:rPr>
          <w:szCs w:val="22"/>
        </w:rPr>
        <w:t xml:space="preserve"> zvířat)</w:t>
      </w:r>
    </w:p>
    <w:p w:rsidR="009C2A25" w:rsidRPr="000A2130" w:rsidRDefault="009C2A25" w:rsidP="009C2A25">
      <w:pPr>
        <w:jc w:val="both"/>
        <w:rPr>
          <w:szCs w:val="22"/>
        </w:rPr>
      </w:pPr>
      <w:r w:rsidRPr="000A2130">
        <w:rPr>
          <w:szCs w:val="22"/>
        </w:rPr>
        <w:t>-</w:t>
      </w:r>
      <w:r w:rsidRPr="000A2130">
        <w:rPr>
          <w:szCs w:val="22"/>
        </w:rPr>
        <w:tab/>
        <w:t>neobvyklé (u více než 1, ale méně než 10 z 1000</w:t>
      </w:r>
      <w:r w:rsidR="00977CE9" w:rsidRPr="000A2130">
        <w:rPr>
          <w:szCs w:val="22"/>
        </w:rPr>
        <w:t xml:space="preserve"> ošetřených</w:t>
      </w:r>
      <w:r w:rsidRPr="000A2130">
        <w:rPr>
          <w:szCs w:val="22"/>
        </w:rPr>
        <w:t xml:space="preserve"> zvířat)</w:t>
      </w:r>
    </w:p>
    <w:p w:rsidR="009C2A25" w:rsidRPr="000A2130" w:rsidRDefault="009C2A25" w:rsidP="009C2A25">
      <w:pPr>
        <w:jc w:val="both"/>
        <w:rPr>
          <w:szCs w:val="22"/>
        </w:rPr>
      </w:pPr>
      <w:r w:rsidRPr="000A2130">
        <w:rPr>
          <w:szCs w:val="22"/>
        </w:rPr>
        <w:t>-</w:t>
      </w:r>
      <w:r w:rsidRPr="000A2130">
        <w:rPr>
          <w:szCs w:val="22"/>
        </w:rPr>
        <w:tab/>
        <w:t>vzácné (u více než 1, ale méně než 10 z</w:t>
      </w:r>
      <w:r w:rsidR="00977CE9" w:rsidRPr="000A2130">
        <w:rPr>
          <w:szCs w:val="22"/>
        </w:rPr>
        <w:t> </w:t>
      </w:r>
      <w:r w:rsidRPr="000A2130">
        <w:rPr>
          <w:szCs w:val="22"/>
        </w:rPr>
        <w:t>10</w:t>
      </w:r>
      <w:r w:rsidR="00977CE9" w:rsidRPr="000A2130">
        <w:rPr>
          <w:szCs w:val="22"/>
        </w:rPr>
        <w:t xml:space="preserve"> </w:t>
      </w:r>
      <w:r w:rsidRPr="000A2130">
        <w:rPr>
          <w:szCs w:val="22"/>
        </w:rPr>
        <w:t xml:space="preserve">000 </w:t>
      </w:r>
      <w:r w:rsidR="00977CE9" w:rsidRPr="000A2130">
        <w:rPr>
          <w:szCs w:val="22"/>
        </w:rPr>
        <w:t xml:space="preserve">ošetřených </w:t>
      </w:r>
      <w:r w:rsidRPr="000A2130">
        <w:rPr>
          <w:szCs w:val="22"/>
        </w:rPr>
        <w:t>zvířat)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-</w:t>
      </w:r>
      <w:r w:rsidRPr="000A2130">
        <w:rPr>
          <w:szCs w:val="22"/>
        </w:rPr>
        <w:tab/>
        <w:t>velmi vzácné (u méně než 1 z</w:t>
      </w:r>
      <w:r w:rsidR="00977CE9" w:rsidRPr="000A2130">
        <w:rPr>
          <w:szCs w:val="22"/>
        </w:rPr>
        <w:t> </w:t>
      </w:r>
      <w:r w:rsidRPr="000A2130">
        <w:rPr>
          <w:szCs w:val="22"/>
        </w:rPr>
        <w:t>10</w:t>
      </w:r>
      <w:r w:rsidR="00977CE9" w:rsidRPr="000A2130">
        <w:rPr>
          <w:szCs w:val="22"/>
        </w:rPr>
        <w:t xml:space="preserve"> </w:t>
      </w:r>
      <w:r w:rsidRPr="000A2130">
        <w:rPr>
          <w:szCs w:val="22"/>
        </w:rPr>
        <w:t xml:space="preserve">000 </w:t>
      </w:r>
      <w:r w:rsidR="00977CE9" w:rsidRPr="000A2130">
        <w:rPr>
          <w:szCs w:val="22"/>
        </w:rPr>
        <w:t xml:space="preserve">ošetřených </w:t>
      </w:r>
      <w:r w:rsidRPr="000A2130">
        <w:rPr>
          <w:szCs w:val="22"/>
        </w:rPr>
        <w:t xml:space="preserve">zvířat, včetně ojedinělých hlášení). 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102A3C" w:rsidP="009C2A25">
      <w:pPr>
        <w:ind w:left="0" w:firstLine="0"/>
        <w:jc w:val="both"/>
        <w:rPr>
          <w:szCs w:val="22"/>
        </w:rPr>
      </w:pPr>
      <w:r w:rsidRPr="00675A41">
        <w:t>Jestliže zaznamenáte jakékoliv nežádoucí účinky, a to i takové, které nejsou uvedeny v této příbalové informaci, nebo si myslíte, že léčivý přípravek není účinný, oznamte to, prosím, vašemu veterinárnímu lékaři.</w:t>
      </w:r>
      <w:r w:rsidR="00B10075" w:rsidRPr="000A2130" w:rsidDel="00B10075">
        <w:rPr>
          <w:szCs w:val="22"/>
        </w:rPr>
        <w:t xml:space="preserve"> 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b/>
          <w:szCs w:val="22"/>
        </w:rPr>
        <w:t>7.</w:t>
      </w:r>
      <w:r w:rsidRPr="000A2130">
        <w:rPr>
          <w:b/>
          <w:szCs w:val="22"/>
        </w:rPr>
        <w:tab/>
        <w:t>CÍLOVÝ DRUH ZVÍŘAT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Psi</w:t>
      </w: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b/>
          <w:szCs w:val="22"/>
        </w:rPr>
        <w:t>8.</w:t>
      </w:r>
      <w:r w:rsidRPr="000A2130">
        <w:rPr>
          <w:b/>
          <w:szCs w:val="22"/>
        </w:rPr>
        <w:tab/>
        <w:t>DÁVKOVÁNÍ PRO KAŽDÝ DRUH, CEST</w:t>
      </w:r>
      <w:r w:rsidR="00CA2435">
        <w:rPr>
          <w:b/>
          <w:szCs w:val="22"/>
        </w:rPr>
        <w:t>A</w:t>
      </w:r>
      <w:r w:rsidRPr="000A2130">
        <w:rPr>
          <w:b/>
          <w:szCs w:val="22"/>
        </w:rPr>
        <w:t xml:space="preserve"> A ZPŮSOB PODÁNÍ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Před zahájením léčby přesně zjistěte </w:t>
      </w:r>
      <w:r w:rsidR="00102A3C">
        <w:rPr>
          <w:szCs w:val="22"/>
        </w:rPr>
        <w:t>živou</w:t>
      </w:r>
      <w:r w:rsidR="00102A3C" w:rsidRPr="000A2130">
        <w:rPr>
          <w:szCs w:val="22"/>
        </w:rPr>
        <w:t xml:space="preserve"> </w:t>
      </w:r>
      <w:r w:rsidRPr="000A2130">
        <w:rPr>
          <w:szCs w:val="22"/>
        </w:rPr>
        <w:t>hmotnost pro zaručení správného dávkování.</w:t>
      </w:r>
    </w:p>
    <w:p w:rsidR="009C2A25" w:rsidRPr="000A2130" w:rsidRDefault="009C2A25" w:rsidP="009C2A25">
      <w:pPr>
        <w:spacing w:line="240" w:lineRule="atLeast"/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</w:pPr>
      <w:r w:rsidRPr="000A2130">
        <w:t xml:space="preserve">Dávka se podává perorálně, v rozmezí 0,2 mg až 0,6 mg pimobendanu/kg ž.hm. podávaných rozděleně ve dvou denních dávkách. Preferovaná denní dávka je </w:t>
      </w:r>
      <w:r w:rsidRPr="000A2130">
        <w:rPr>
          <w:szCs w:val="22"/>
        </w:rPr>
        <w:t>0,5 mg pimobendanu/kg ž.hm., podávaná rozděleně ve dvou denních dávkách (</w:t>
      </w:r>
      <w:r w:rsidRPr="000A2130">
        <w:rPr>
          <w:iCs/>
        </w:rPr>
        <w:t>0,25 mg/kg ž.</w:t>
      </w:r>
      <w:r w:rsidRPr="000A2130">
        <w:rPr>
          <w:szCs w:val="22"/>
        </w:rPr>
        <w:t>hm. v každé dávce). Každá dávka se musí podávat přibližně 1 hodinu před krmením.</w:t>
      </w:r>
    </w:p>
    <w:p w:rsidR="009C2A25" w:rsidRPr="000A2130" w:rsidRDefault="009C2A25" w:rsidP="009C2A25">
      <w:pPr>
        <w:spacing w:line="240" w:lineRule="atLeast"/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>To odpovídá dávkování:</w:t>
      </w:r>
    </w:p>
    <w:p w:rsidR="009C2A25" w:rsidRPr="000A2130" w:rsidRDefault="009C2A25" w:rsidP="009C2A25">
      <w:pPr>
        <w:ind w:left="0" w:firstLine="0"/>
        <w:jc w:val="both"/>
      </w:pPr>
      <w:r w:rsidRPr="000A2130">
        <w:t>Jedna 1,25 mg žvýkací tableta ráno a jedna 1,25 mg žvýkací tableta večer pro psy s živou hmotností 5 kg.</w:t>
      </w:r>
    </w:p>
    <w:p w:rsidR="009C2A25" w:rsidRPr="000A2130" w:rsidRDefault="009C2A25" w:rsidP="009C2A25">
      <w:pPr>
        <w:jc w:val="both"/>
      </w:pPr>
    </w:p>
    <w:p w:rsidR="009C2A25" w:rsidRPr="000A2130" w:rsidRDefault="009C2A25" w:rsidP="009C2A25">
      <w:pPr>
        <w:ind w:left="0" w:firstLine="0"/>
        <w:jc w:val="both"/>
      </w:pPr>
      <w:r w:rsidRPr="000A2130">
        <w:t xml:space="preserve">Přípravek </w:t>
      </w:r>
      <w:r w:rsidRPr="000A2130">
        <w:rPr>
          <w:szCs w:val="22"/>
        </w:rPr>
        <w:t>lze kombinovat s diuretikem, např. s furosemidem</w:t>
      </w:r>
      <w:r w:rsidRPr="000A2130">
        <w:t>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b/>
          <w:szCs w:val="22"/>
        </w:rPr>
        <w:t>9.</w:t>
      </w:r>
      <w:r w:rsidRPr="000A2130">
        <w:rPr>
          <w:b/>
          <w:szCs w:val="22"/>
        </w:rPr>
        <w:tab/>
        <w:t>POKYNY PRO SPRÁVNÉ PODÁNÍ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Nepřekračujte doporučené dávkování.</w:t>
      </w:r>
    </w:p>
    <w:p w:rsidR="009C2A25" w:rsidRPr="000A2130" w:rsidRDefault="009C2A25" w:rsidP="009C2A25">
      <w:pPr>
        <w:ind w:left="0" w:firstLine="0"/>
        <w:jc w:val="both"/>
      </w:pPr>
      <w:r w:rsidRPr="000A2130">
        <w:t xml:space="preserve">Žvýkací tablety mohou být pro účely přesného dávkování rozpůleny v místě půlící rýhy, dle </w:t>
      </w:r>
      <w:r w:rsidR="00832E03">
        <w:t>živé</w:t>
      </w:r>
      <w:r w:rsidR="00832E03" w:rsidRPr="000A2130">
        <w:t xml:space="preserve"> </w:t>
      </w:r>
      <w:r w:rsidRPr="000A2130">
        <w:t>hmotnosti.</w:t>
      </w: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b/>
          <w:szCs w:val="22"/>
        </w:rPr>
        <w:t>10.</w:t>
      </w:r>
      <w:r w:rsidRPr="000A2130">
        <w:rPr>
          <w:b/>
          <w:szCs w:val="22"/>
        </w:rPr>
        <w:tab/>
        <w:t xml:space="preserve">OCHRANNÁ LHŮTA </w:t>
      </w:r>
    </w:p>
    <w:p w:rsidR="009C2A25" w:rsidRPr="000A2130" w:rsidRDefault="009C2A25" w:rsidP="009C2A25">
      <w:pPr>
        <w:ind w:left="0" w:firstLine="0"/>
        <w:jc w:val="both"/>
        <w:rPr>
          <w:iCs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Není určeno pro potravinová zvířata.</w:t>
      </w:r>
    </w:p>
    <w:p w:rsidR="009C2A25" w:rsidRPr="000A2130" w:rsidRDefault="009C2A25" w:rsidP="009C2A25">
      <w:pPr>
        <w:ind w:left="0" w:firstLine="0"/>
        <w:jc w:val="both"/>
        <w:rPr>
          <w:iCs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iCs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b/>
          <w:szCs w:val="22"/>
        </w:rPr>
        <w:t>11.</w:t>
      </w:r>
      <w:r w:rsidRPr="000A2130">
        <w:rPr>
          <w:b/>
          <w:szCs w:val="22"/>
        </w:rPr>
        <w:tab/>
        <w:t>ZVLÁŠTNÍ OPATŘENÍ PRO UCHOVÁVÁNÍ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Uchovávat mimo dosah dětí.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Uchovávejte při teplotě do 25 °C. 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Uchovávejte v dobře uzavřené lahvi, aby byl přípravek chráněn před vlhkostí.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lastRenderedPageBreak/>
        <w:t>Nepoužívejte tento veterinární léčivý přípravek po uplynutí doby použitelnost uvedené na</w:t>
      </w:r>
      <w:r w:rsidRPr="000A2130">
        <w:rPr>
          <w:szCs w:val="22"/>
        </w:rPr>
        <w:t xml:space="preserve"> krabičce a lahvi po EXP. </w:t>
      </w:r>
      <w:r w:rsidRPr="000A2130">
        <w:t>Doba použitelnosti končí posledním dnem v uvedeném měsíci.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Doba použitelnosti po prvním otevření lahve: 100 dní</w:t>
      </w:r>
    </w:p>
    <w:p w:rsidR="009C2A25" w:rsidRPr="000A2130" w:rsidRDefault="009C2A25" w:rsidP="009C2A25">
      <w:pPr>
        <w:ind w:left="0" w:firstLine="0"/>
        <w:jc w:val="both"/>
      </w:pPr>
      <w:r w:rsidRPr="000A2130">
        <w:t>Jakoukoliv rozpůlenou tabletu použijte v době podání další dávky.</w:t>
      </w:r>
    </w:p>
    <w:p w:rsidR="009C2A25" w:rsidRPr="000A2130" w:rsidRDefault="009C2A25" w:rsidP="009C2A25">
      <w:pPr>
        <w:ind w:left="0" w:firstLine="0"/>
        <w:jc w:val="both"/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  <w:r w:rsidRPr="000A2130">
        <w:rPr>
          <w:b/>
          <w:szCs w:val="22"/>
        </w:rPr>
        <w:t>12.</w:t>
      </w:r>
      <w:r w:rsidRPr="000A2130">
        <w:rPr>
          <w:b/>
          <w:szCs w:val="22"/>
        </w:rPr>
        <w:tab/>
        <w:t>ZVLÁŠTNÍ UPOZORNĚNÍ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CA2435" w:rsidRDefault="00CA2435" w:rsidP="00CA2435">
      <w:pPr>
        <w:keepNext/>
        <w:tabs>
          <w:tab w:val="left" w:pos="567"/>
        </w:tabs>
        <w:ind w:left="0" w:firstLine="0"/>
        <w:jc w:val="both"/>
        <w:rPr>
          <w:szCs w:val="22"/>
          <w:lang w:eastAsia="cs-CZ" w:bidi="cs-CZ"/>
        </w:rPr>
      </w:pPr>
      <w:r>
        <w:rPr>
          <w:szCs w:val="22"/>
          <w:lang w:eastAsia="cs-CZ" w:bidi="cs-CZ"/>
        </w:rPr>
        <w:t>Zvláštní upozornění pro každý cílový druh:</w:t>
      </w:r>
    </w:p>
    <w:p w:rsidR="00841CC8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Přípravek nebyl testován v případech asymptomatické dilatační kardiomyopatie (DCM) u dobrmanů s fibrilací síní nebo se setrvalou komorovou tachykardií.</w:t>
      </w:r>
    </w:p>
    <w:p w:rsidR="00841CC8" w:rsidRPr="000A2130" w:rsidRDefault="00841CC8" w:rsidP="009C2A25">
      <w:pPr>
        <w:ind w:left="0" w:firstLine="0"/>
        <w:jc w:val="both"/>
        <w:rPr>
          <w:szCs w:val="22"/>
        </w:rPr>
      </w:pPr>
    </w:p>
    <w:p w:rsidR="00841CC8" w:rsidRPr="000A2130" w:rsidRDefault="00841CC8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Přípravek nebyl testován v případech asymptomatické myxomatózní degenerace mitrální chlopně u psů s významnou supraventrikulární a/nebo ventrikulární tachyarytmií.</w:t>
      </w:r>
    </w:p>
    <w:p w:rsidR="009C2A25" w:rsidRPr="000A2130" w:rsidRDefault="009C2A25" w:rsidP="009C2A25">
      <w:pPr>
        <w:ind w:left="0" w:firstLine="0"/>
        <w:jc w:val="both"/>
        <w:rPr>
          <w:szCs w:val="22"/>
          <w:u w:val="single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  <w:u w:val="single"/>
        </w:rPr>
      </w:pPr>
      <w:r w:rsidRPr="000A2130">
        <w:rPr>
          <w:szCs w:val="22"/>
          <w:u w:val="single"/>
        </w:rPr>
        <w:t>Zvláštní opatření pro použití u zvířat</w:t>
      </w:r>
    </w:p>
    <w:p w:rsidR="009C2A25" w:rsidRPr="000A2130" w:rsidRDefault="009C2A25" w:rsidP="009C2A25">
      <w:pPr>
        <w:ind w:left="0" w:firstLine="0"/>
        <w:jc w:val="both"/>
        <w:rPr>
          <w:rFonts w:cs="Arial"/>
          <w:lang w:eastAsia="en-GB"/>
        </w:rPr>
      </w:pPr>
      <w:r w:rsidRPr="000A2130">
        <w:rPr>
          <w:rFonts w:cs="Arial"/>
          <w:lang w:eastAsia="en-GB"/>
        </w:rPr>
        <w:t>U psů s prokázaným diabetes mellitus musí být v průběhu léčby pravidelně testována hladina glukózy v krvi.</w:t>
      </w:r>
    </w:p>
    <w:p w:rsidR="009C2A25" w:rsidRPr="000A2130" w:rsidRDefault="009C2A25" w:rsidP="009C2A25">
      <w:pPr>
        <w:ind w:left="0" w:firstLine="0"/>
        <w:jc w:val="both"/>
        <w:rPr>
          <w:rFonts w:cs="Arial"/>
          <w:lang w:eastAsia="en-GB"/>
        </w:rPr>
      </w:pPr>
      <w:r w:rsidRPr="000A2130">
        <w:rPr>
          <w:rFonts w:cs="Arial"/>
          <w:lang w:eastAsia="en-GB"/>
        </w:rPr>
        <w:t>Před použitím v</w:t>
      </w:r>
      <w:r w:rsidR="00832E03">
        <w:rPr>
          <w:rFonts w:cs="Arial"/>
          <w:lang w:eastAsia="en-GB"/>
        </w:rPr>
        <w:t xml:space="preserve"> </w:t>
      </w:r>
      <w:r w:rsidRPr="000A2130">
        <w:rPr>
          <w:rFonts w:cs="Arial"/>
          <w:lang w:eastAsia="en-GB"/>
        </w:rPr>
        <w:t xml:space="preserve">preklinickém stadiu dilatační kardiomyopatie (asymptomatická, s </w:t>
      </w:r>
      <w:r w:rsidRPr="000A2130">
        <w:rPr>
          <w:szCs w:val="22"/>
        </w:rPr>
        <w:t>nárůstem konečného systolického a konečného diastolického rozměru levé komory</w:t>
      </w:r>
      <w:r w:rsidRPr="000A2130">
        <w:rPr>
          <w:rFonts w:cs="Arial"/>
          <w:lang w:eastAsia="en-GB"/>
        </w:rPr>
        <w:t xml:space="preserve">) by měla být stanovena diagnóza na základě </w:t>
      </w:r>
      <w:r w:rsidR="00832E03">
        <w:rPr>
          <w:rFonts w:cs="Arial"/>
          <w:lang w:eastAsia="en-GB"/>
        </w:rPr>
        <w:t>komplexního</w:t>
      </w:r>
      <w:r w:rsidR="00832E03" w:rsidRPr="000A2130">
        <w:rPr>
          <w:rFonts w:cs="Arial"/>
          <w:lang w:eastAsia="en-GB"/>
        </w:rPr>
        <w:t xml:space="preserve"> </w:t>
      </w:r>
      <w:r w:rsidRPr="000A2130">
        <w:rPr>
          <w:rFonts w:cs="Arial"/>
          <w:lang w:eastAsia="en-GB"/>
        </w:rPr>
        <w:t xml:space="preserve">vyšetření srdce (vč. echokardiografického vyšetření, příp. vyšetření metodou Holter). </w:t>
      </w:r>
    </w:p>
    <w:p w:rsidR="00CA2435" w:rsidRDefault="00832E03" w:rsidP="00CA2435">
      <w:pPr>
        <w:ind w:left="0" w:firstLine="0"/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Před</w:t>
      </w:r>
      <w:r w:rsidR="00841CC8" w:rsidRPr="000A2130">
        <w:rPr>
          <w:rFonts w:cs="Arial"/>
          <w:lang w:eastAsia="en-GB"/>
        </w:rPr>
        <w:t xml:space="preserve"> použití</w:t>
      </w:r>
      <w:r>
        <w:rPr>
          <w:rFonts w:cs="Arial"/>
          <w:lang w:eastAsia="en-GB"/>
        </w:rPr>
        <w:t>m</w:t>
      </w:r>
      <w:r w:rsidR="00841CC8" w:rsidRPr="000A2130">
        <w:rPr>
          <w:rFonts w:cs="Arial"/>
          <w:lang w:eastAsia="en-GB"/>
        </w:rPr>
        <w:t xml:space="preserve"> </w:t>
      </w:r>
      <w:r w:rsidR="00D25E58" w:rsidRPr="000A2130">
        <w:rPr>
          <w:rFonts w:cs="Arial"/>
          <w:lang w:eastAsia="en-GB"/>
        </w:rPr>
        <w:t>v pre</w:t>
      </w:r>
      <w:r w:rsidR="00841CC8" w:rsidRPr="000A2130">
        <w:rPr>
          <w:rFonts w:cs="Arial"/>
          <w:lang w:eastAsia="en-GB"/>
        </w:rPr>
        <w:t xml:space="preserve">klinickém stádiu myxomatózní degenerace mitrální chlopně (stupeň B2 podle konsensu ACVIM: asymptomatická s mitrálním šelestem ≥ 3/6 a kardiomegalie v důsledku myxomatózní degenerace mitrální chlopně) by měla být stanovena diagnóza na základě </w:t>
      </w:r>
      <w:r>
        <w:rPr>
          <w:rFonts w:cs="Arial"/>
          <w:lang w:eastAsia="en-GB"/>
        </w:rPr>
        <w:t>komplexního lékařského</w:t>
      </w:r>
      <w:r w:rsidR="00841CC8" w:rsidRPr="000A2130">
        <w:rPr>
          <w:rFonts w:cs="Arial"/>
          <w:lang w:eastAsia="en-GB"/>
        </w:rPr>
        <w:t xml:space="preserve"> vyšetření a vyšetření srdce</w:t>
      </w:r>
      <w:r w:rsidR="00CA2435">
        <w:rPr>
          <w:rFonts w:cs="Arial"/>
          <w:lang w:eastAsia="en-GB"/>
        </w:rPr>
        <w:t>, které by mělo v případě potřeby zahrnovat echokardiografii nebo radiografii (viz také „Další informace“).</w:t>
      </w:r>
    </w:p>
    <w:p w:rsidR="00841CC8" w:rsidRPr="000A2130" w:rsidRDefault="00841CC8" w:rsidP="009C2A25">
      <w:pPr>
        <w:ind w:left="0" w:firstLine="0"/>
        <w:jc w:val="both"/>
        <w:rPr>
          <w:rFonts w:cs="Arial"/>
          <w:lang w:eastAsia="en-GB"/>
        </w:rPr>
      </w:pPr>
    </w:p>
    <w:p w:rsidR="009C2A25" w:rsidRPr="000A2130" w:rsidRDefault="009C2A25" w:rsidP="009C2A25">
      <w:pPr>
        <w:ind w:left="0" w:firstLine="0"/>
        <w:jc w:val="both"/>
        <w:rPr>
          <w:rFonts w:cs="Arial"/>
          <w:lang w:eastAsia="en-GB"/>
        </w:rPr>
      </w:pPr>
      <w:r w:rsidRPr="000A2130">
        <w:rPr>
          <w:rFonts w:cs="Arial"/>
          <w:lang w:eastAsia="en-GB"/>
        </w:rPr>
        <w:t>U zvířat léčených pimobendanem se doporučuje pravidelný monitoring srdečních funkcí a morfologie srdce (viz také bod „Nežádoucí účinky“).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Žvýkací tablety jsou ochucené. Aby se zabránilo jakémukoliv náhodnému požití, je nutno uchovávat tablety mimo dosah zvířat.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  <w:u w:val="single"/>
        </w:rPr>
      </w:pPr>
      <w:r w:rsidRPr="000A2130">
        <w:rPr>
          <w:szCs w:val="22"/>
          <w:u w:val="single"/>
        </w:rPr>
        <w:t>Zvláštní opatření určené osobám, které podávají veterinární léčivý přípravek zvířatům</w:t>
      </w:r>
    </w:p>
    <w:p w:rsidR="009C2A25" w:rsidRPr="000A2130" w:rsidRDefault="009C2A25" w:rsidP="009C2A25">
      <w:pPr>
        <w:ind w:left="0" w:firstLine="0"/>
        <w:jc w:val="both"/>
      </w:pPr>
      <w:r w:rsidRPr="000A2130">
        <w:t xml:space="preserve">V případě náhodného pozření </w:t>
      </w:r>
      <w:r w:rsidRPr="000A2130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0A2130">
        <w:t>.</w:t>
      </w:r>
    </w:p>
    <w:p w:rsidR="009C2A25" w:rsidRPr="000A2130" w:rsidRDefault="009C2A25" w:rsidP="009C2A25">
      <w:pPr>
        <w:ind w:left="0" w:firstLine="0"/>
        <w:jc w:val="both"/>
      </w:pPr>
      <w:r w:rsidRPr="000A2130">
        <w:t>Po použití si umyjte ruce.</w:t>
      </w:r>
    </w:p>
    <w:p w:rsidR="009C2A25" w:rsidRPr="000A2130" w:rsidRDefault="009C2A25" w:rsidP="009C2A25">
      <w:pPr>
        <w:ind w:left="0" w:firstLine="0"/>
        <w:jc w:val="both"/>
      </w:pPr>
      <w:r w:rsidRPr="000A2130">
        <w:t>Upozornění pro lékaře: náhodné pozření, zvláště dítětem, může vést k výskytu tachykardie, ortostatické hypotenze, červenání obličeje nebo bolestem hlavy.</w:t>
      </w:r>
    </w:p>
    <w:p w:rsidR="009C2A25" w:rsidRPr="000A2130" w:rsidRDefault="009C2A25" w:rsidP="009C2A25">
      <w:pPr>
        <w:ind w:left="0" w:firstLine="0"/>
        <w:jc w:val="both"/>
      </w:pPr>
      <w:r w:rsidRPr="000A2130">
        <w:t>Po odebrání požadovaného počtu tablet</w:t>
      </w:r>
      <w:r w:rsidR="00832E03">
        <w:t xml:space="preserve">, </w:t>
      </w:r>
      <w:r w:rsidRPr="000A2130">
        <w:t>lahe</w:t>
      </w:r>
      <w:r w:rsidR="00832E03">
        <w:t>v</w:t>
      </w:r>
      <w:r w:rsidRPr="000A2130">
        <w:t xml:space="preserve"> ihned uzavřete</w:t>
      </w:r>
      <w:r w:rsidR="00832E03">
        <w:t>.</w:t>
      </w:r>
      <w:r w:rsidRPr="000A2130">
        <w:t xml:space="preserve"> </w:t>
      </w:r>
    </w:p>
    <w:p w:rsidR="009C2A25" w:rsidRPr="000A2130" w:rsidRDefault="009C2A25" w:rsidP="009C2A25">
      <w:pPr>
        <w:ind w:left="0" w:firstLine="0"/>
        <w:jc w:val="both"/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  <w:u w:val="single"/>
        </w:rPr>
        <w:t>Březost a laktace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Laboratorní studie u potkanů a králíků nepodaly důkaz o teratogenním ani fetotoxickém účinku. Nicméně při vysokých dávkách tyto studie prokázaly maternální toxicitu a embryotoxické účinky a zároveň bylo prokázáno, že pimobendan je vylučován do mléka. Nebyla stanovena bezpečnost přípravku pro použití u březích nebo laktujících fen. </w:t>
      </w:r>
      <w:r w:rsidRPr="000A2130">
        <w:t>Použít pouze po zvážení poměru terapeutického prospěchu a rizika příslušným veterinárním lékařem.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  <w:u w:val="single"/>
        </w:rPr>
        <w:t>Interakce s dalšími léčivými přípravky a další formy interakce</w:t>
      </w:r>
      <w:r w:rsidRPr="000A2130">
        <w:rPr>
          <w:b/>
          <w:szCs w:val="22"/>
        </w:rPr>
        <w:t xml:space="preserve"> 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Farmakologickými studiemi nebyla prokázána interakce mezi srdečním glykosidem</w:t>
      </w:r>
      <w:r w:rsidRPr="000A2130">
        <w:t xml:space="preserve"> strofantinem</w:t>
      </w:r>
      <w:r w:rsidRPr="000A2130">
        <w:rPr>
          <w:szCs w:val="22"/>
        </w:rPr>
        <w:t xml:space="preserve"> a pimobendanem. Zvýšená kontraktilita srdečního svalu navozená pimobendanem je zeslabována v přítomnosti antagonistů kalcia verapamilu a diltiazemu a ß-blokátoru propranololu.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  <w:u w:val="single"/>
        </w:rPr>
        <w:t>Předávkování (symptomy, první pomoc, antidota)</w:t>
      </w:r>
      <w:r w:rsidRPr="000A2130">
        <w:rPr>
          <w:b/>
          <w:szCs w:val="22"/>
        </w:rPr>
        <w:t xml:space="preserve"> </w:t>
      </w:r>
    </w:p>
    <w:p w:rsidR="009C2A25" w:rsidRPr="000A2130" w:rsidRDefault="009C2A25" w:rsidP="009C2A25">
      <w:pPr>
        <w:ind w:left="0" w:firstLine="0"/>
        <w:jc w:val="both"/>
      </w:pPr>
      <w:r w:rsidRPr="000A2130">
        <w:rPr>
          <w:szCs w:val="22"/>
        </w:rPr>
        <w:t xml:space="preserve">V případě předávkování </w:t>
      </w:r>
      <w:r w:rsidRPr="000A2130">
        <w:t xml:space="preserve">se </w:t>
      </w:r>
      <w:r w:rsidR="00832E03">
        <w:t>může</w:t>
      </w:r>
      <w:r w:rsidR="00832E03" w:rsidRPr="000A2130">
        <w:t xml:space="preserve"> </w:t>
      </w:r>
      <w:r w:rsidRPr="000A2130">
        <w:t>objevit pozitivně chronotropní účinek, zvracení, apatie, ataxie, srdeční šelesty nebo hypotenze. V této situaci musí být dávka snížena a je nutné zahájit vhodnou symptomatickou léčbu.</w:t>
      </w:r>
    </w:p>
    <w:p w:rsidR="00841CC8" w:rsidRPr="000A2130" w:rsidRDefault="00841CC8" w:rsidP="009C2A25">
      <w:pPr>
        <w:ind w:left="0" w:firstLine="0"/>
        <w:jc w:val="both"/>
      </w:pPr>
    </w:p>
    <w:p w:rsidR="009C2A25" w:rsidRPr="000A2130" w:rsidRDefault="009C2A25" w:rsidP="009C2A25">
      <w:pPr>
        <w:ind w:left="0" w:firstLine="0"/>
        <w:jc w:val="both"/>
      </w:pPr>
      <w:r w:rsidRPr="000A2130">
        <w:lastRenderedPageBreak/>
        <w:t>Při prodloužené expozici (6 měsíců) zdravých bíglů dávce odpovídající 3 až 5násobku doporučené dávky byly u některých psů pozorovány ztluštění mitrální chlopně a hypertrofie levé komory. Jedná se o změny farmakodynamického původu.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jc w:val="both"/>
        <w:rPr>
          <w:b/>
          <w:bCs/>
        </w:rPr>
      </w:pPr>
      <w:r w:rsidRPr="000A2130">
        <w:rPr>
          <w:b/>
          <w:bCs/>
        </w:rPr>
        <w:t>13.</w:t>
      </w:r>
      <w:r w:rsidRPr="000A2130">
        <w:rPr>
          <w:b/>
          <w:bCs/>
        </w:rPr>
        <w:tab/>
        <w:t>ZVLÁŠTNÍ OPATŘENÍ PRO ZNEŠKODŇOVÁNÍ NEPOUŽITÝCH PŘÍPRAVKŮ NEBO ODPADU, POKUD JE JICH TŘEBA</w:t>
      </w:r>
    </w:p>
    <w:p w:rsidR="009C2A25" w:rsidRPr="000A2130" w:rsidRDefault="009C2A25" w:rsidP="009C2A25">
      <w:pPr>
        <w:ind w:left="0" w:firstLine="0"/>
        <w:jc w:val="both"/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t>Léčivé přípravky se nesmí likvidovat prostřednictvím odpadní vody či domovního odpadu.</w:t>
      </w:r>
      <w:r w:rsidRPr="000A2130">
        <w:rPr>
          <w:i/>
          <w:szCs w:val="22"/>
        </w:rPr>
        <w:t xml:space="preserve"> </w:t>
      </w:r>
      <w:r w:rsidRPr="000A2130">
        <w:t>O možnostech likvidace nepotřebných léčivých přípravků se poraďte s vaším veterinárním lékařem. Tato opatření napomáhají chránit životní prostředí.</w:t>
      </w: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b/>
          <w:szCs w:val="22"/>
        </w:rPr>
        <w:t>14.</w:t>
      </w:r>
      <w:r w:rsidRPr="000A2130">
        <w:rPr>
          <w:b/>
          <w:szCs w:val="22"/>
        </w:rPr>
        <w:tab/>
        <w:t>DATUM POSLEDNÍ REVIZE PŘÍBALOVÉ INFORMACE</w:t>
      </w: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A76F0A" w:rsidP="009C2A25">
      <w:pPr>
        <w:ind w:left="0" w:firstLine="0"/>
        <w:jc w:val="both"/>
        <w:rPr>
          <w:szCs w:val="22"/>
        </w:rPr>
      </w:pPr>
      <w:r>
        <w:rPr>
          <w:szCs w:val="22"/>
        </w:rPr>
        <w:t>Červenec 2019</w:t>
      </w:r>
      <w:bookmarkStart w:id="0" w:name="_GoBack"/>
      <w:bookmarkEnd w:id="0"/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b/>
          <w:szCs w:val="22"/>
        </w:rPr>
      </w:pPr>
      <w:r w:rsidRPr="000A2130">
        <w:rPr>
          <w:b/>
          <w:szCs w:val="22"/>
        </w:rPr>
        <w:t>15.</w:t>
      </w:r>
      <w:r w:rsidRPr="000A2130">
        <w:rPr>
          <w:b/>
          <w:szCs w:val="22"/>
        </w:rPr>
        <w:tab/>
        <w:t>DALŠÍ INFORMACE</w:t>
      </w:r>
    </w:p>
    <w:p w:rsidR="009C2A25" w:rsidRPr="000A2130" w:rsidRDefault="009C2A25" w:rsidP="009C2A25">
      <w:pPr>
        <w:tabs>
          <w:tab w:val="left" w:pos="567"/>
        </w:tabs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tabs>
          <w:tab w:val="left" w:pos="567"/>
        </w:tabs>
        <w:ind w:left="0" w:firstLine="0"/>
        <w:rPr>
          <w:szCs w:val="22"/>
        </w:rPr>
      </w:pPr>
      <w:r w:rsidRPr="000A2130">
        <w:rPr>
          <w:szCs w:val="22"/>
        </w:rPr>
        <w:t>Bylo prokázáno, že použití přípravku v případech s klinickými projevy nedostatečnosti chlopní ve spojení s furosemidem zvyšuje u léčených psů kvalitu života a prodlužuje průměrnou délku jejich života.</w:t>
      </w:r>
    </w:p>
    <w:p w:rsidR="009C2A25" w:rsidRPr="000A2130" w:rsidRDefault="009C2A25" w:rsidP="009C2A25">
      <w:pPr>
        <w:tabs>
          <w:tab w:val="left" w:pos="567"/>
        </w:tabs>
        <w:ind w:left="0" w:firstLine="0"/>
        <w:rPr>
          <w:szCs w:val="22"/>
        </w:rPr>
      </w:pPr>
      <w:r w:rsidRPr="000A2130">
        <w:rPr>
          <w:szCs w:val="22"/>
        </w:rPr>
        <w:t>Při použití přípravku u omezeného počtu případů dilatační kardiomyopatie s projevem klinických příznaků ve spojení s furosemidem, enalaprilem a digoxinem bylo prokázáno, že přípravek u léčených psů zvyšuje kvalitu života a prodlužuje průměrnou délku jejich života.</w:t>
      </w:r>
    </w:p>
    <w:p w:rsidR="009C2A25" w:rsidRPr="000A2130" w:rsidRDefault="009C2A25" w:rsidP="009C2A25">
      <w:pPr>
        <w:ind w:left="0" w:firstLine="0"/>
        <w:jc w:val="both"/>
        <w:rPr>
          <w:rStyle w:val="hps"/>
        </w:rPr>
      </w:pPr>
      <w:r w:rsidRPr="000A2130">
        <w:rPr>
          <w:rStyle w:val="hps"/>
        </w:rPr>
        <w:t xml:space="preserve">V randomizované, placebem kontrolované studii s dobrmany s dilatační kardiomyopatií v preklinickém stádiu (asymptomatická, s nárůstem konečného systolického a konečného diastolického rozměru levé komory po echokardiografické diagnóze) bylo u psů, kterým byl podán pimobendan, dosaženo prodloužení časového intervalu před nástupem kongestivního srdečního selhání nebo náhlé srdeční </w:t>
      </w:r>
      <w:r w:rsidR="00832E03">
        <w:rPr>
          <w:rStyle w:val="hps"/>
        </w:rPr>
        <w:t>mrtvice</w:t>
      </w:r>
      <w:r w:rsidR="00832E03" w:rsidRPr="000A2130">
        <w:rPr>
          <w:rStyle w:val="hps"/>
        </w:rPr>
        <w:t xml:space="preserve"> </w:t>
      </w:r>
      <w:r w:rsidRPr="000A2130">
        <w:rPr>
          <w:rStyle w:val="hps"/>
        </w:rPr>
        <w:t xml:space="preserve">a také vyššího věku dožití. </w:t>
      </w:r>
    </w:p>
    <w:p w:rsidR="009C2A25" w:rsidRPr="000A2130" w:rsidRDefault="009C2A25" w:rsidP="009C2A25">
      <w:pPr>
        <w:ind w:left="0" w:firstLine="0"/>
        <w:jc w:val="both"/>
        <w:rPr>
          <w:szCs w:val="22"/>
          <w:lang w:bidi="cs-CZ"/>
        </w:rPr>
      </w:pPr>
      <w:r w:rsidRPr="000A2130">
        <w:rPr>
          <w:rStyle w:val="hps"/>
        </w:rPr>
        <w:t>Dále došlo u psů s dilatační kardiomyopatií v preklinickém stádiu léčených pimobendanem ke zmenšení velikosti srdce. Vyhodnocení účinnosti je založeno na údajích od 19 (z 39) psů, kteří dosáhli primárního cílového ukazatele účinnosti ve skupině s pimobendanem</w:t>
      </w:r>
      <w:r w:rsidRPr="000A2130">
        <w:t xml:space="preserve"> </w:t>
      </w:r>
      <w:r w:rsidRPr="000A2130">
        <w:rPr>
          <w:rStyle w:val="hps"/>
        </w:rPr>
        <w:t>a od 25 (z 37), kteří dosáhli primárního cílového ukazatele účinnosti ve skupině s placebem.</w:t>
      </w:r>
      <w:r w:rsidRPr="000A2130">
        <w:rPr>
          <w:szCs w:val="22"/>
          <w:lang w:bidi="cs-CZ"/>
        </w:rPr>
        <w:t xml:space="preserve"> </w:t>
      </w:r>
    </w:p>
    <w:p w:rsidR="009C2A25" w:rsidRPr="000A2130" w:rsidRDefault="009C2A25" w:rsidP="009C2A25">
      <w:pPr>
        <w:ind w:left="0" w:firstLine="0"/>
        <w:jc w:val="both"/>
        <w:rPr>
          <w:szCs w:val="22"/>
          <w:lang w:bidi="cs-CZ"/>
        </w:rPr>
      </w:pPr>
    </w:p>
    <w:p w:rsidR="00415BFA" w:rsidRPr="000A2130" w:rsidRDefault="00415BFA" w:rsidP="00415BFA">
      <w:pPr>
        <w:tabs>
          <w:tab w:val="left" w:pos="567"/>
        </w:tabs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V randomizované, placebem kontrolované studii u 363 psů s preklinickou myxomatózní degenerací mitrální chlopně splňovali všichni psi následující kritéria pro zařazení: věk ≥ 6 let, </w:t>
      </w:r>
      <w:r w:rsidR="00832E03">
        <w:rPr>
          <w:szCs w:val="22"/>
        </w:rPr>
        <w:t>živá</w:t>
      </w:r>
      <w:r w:rsidRPr="000A2130">
        <w:rPr>
          <w:szCs w:val="22"/>
        </w:rPr>
        <w:t xml:space="preserve"> hmotnost ≥ 4,1 a ≤ 15 kg, charakteristický systolický srdeční šelest mírné až vysoké intenzity (≥ stupeň 3/6) s maximální intenzitou nad mitrální oblastí, echokardiografické důkazy pokročilé myxomatózní degenerace mitrální chlopně (MMVD) definované jako charakteristické chlopňové léze aparátu mitrální chlopně, echokardiografické důkazy dilatace levé síně a levé komory a radiografické důkazy kardiomegalie (</w:t>
      </w:r>
      <w:r w:rsidR="00832E03">
        <w:rPr>
          <w:szCs w:val="22"/>
        </w:rPr>
        <w:t xml:space="preserve">hodnota VHS indexu - „vertebral heart sum“ </w:t>
      </w:r>
      <w:r w:rsidR="00832E03" w:rsidRPr="000A2130">
        <w:rPr>
          <w:szCs w:val="22"/>
        </w:rPr>
        <w:t>&gt; 10,5</w:t>
      </w:r>
      <w:r w:rsidR="00832E03">
        <w:rPr>
          <w:szCs w:val="22"/>
        </w:rPr>
        <w:t>)</w:t>
      </w:r>
      <w:r w:rsidRPr="000A2130">
        <w:rPr>
          <w:szCs w:val="22"/>
        </w:rPr>
        <w:t xml:space="preserve">. </w:t>
      </w:r>
      <w:r w:rsidR="00D0702D">
        <w:rPr>
          <w:szCs w:val="22"/>
        </w:rPr>
        <w:t>Průměrná d</w:t>
      </w:r>
      <w:r w:rsidRPr="000A2130">
        <w:rPr>
          <w:szCs w:val="22"/>
        </w:rPr>
        <w:t xml:space="preserve">oba nástupu klinických příznaků srdečního selhání nebo srdeční </w:t>
      </w:r>
      <w:r w:rsidR="00832E03">
        <w:rPr>
          <w:szCs w:val="22"/>
        </w:rPr>
        <w:t>mrtvice</w:t>
      </w:r>
      <w:r w:rsidRPr="000A2130">
        <w:rPr>
          <w:szCs w:val="22"/>
        </w:rPr>
        <w:t xml:space="preserve"> / eutanázie byla u těchto psů </w:t>
      </w:r>
      <w:r w:rsidR="00832E03">
        <w:rPr>
          <w:szCs w:val="22"/>
        </w:rPr>
        <w:t>oddálena</w:t>
      </w:r>
      <w:r w:rsidRPr="000A2130">
        <w:rPr>
          <w:szCs w:val="22"/>
        </w:rPr>
        <w:t xml:space="preserve"> přibližně o 15 měsíců. U psů léčených pimob</w:t>
      </w:r>
      <w:r w:rsidR="00D25E58" w:rsidRPr="000A2130">
        <w:rPr>
          <w:szCs w:val="22"/>
        </w:rPr>
        <w:t>endanem v pre</w:t>
      </w:r>
      <w:r w:rsidRPr="000A2130">
        <w:rPr>
          <w:szCs w:val="22"/>
        </w:rPr>
        <w:t xml:space="preserve">klinickém stádiu myxomatózní degenerace mitrální chlopně také došlo ke zmenšení velikosti srdce. Dále byla prodloužena celková doba přežití o přibližně 170 dnů u všech psů, kteří dostávali pimobendan, nezávisle na příčině </w:t>
      </w:r>
      <w:r w:rsidR="00794C7E" w:rsidRPr="000A2130">
        <w:rPr>
          <w:szCs w:val="22"/>
        </w:rPr>
        <w:t xml:space="preserve">jejich </w:t>
      </w:r>
      <w:r w:rsidR="00832E03">
        <w:rPr>
          <w:szCs w:val="22"/>
        </w:rPr>
        <w:t>úhynu</w:t>
      </w:r>
      <w:r w:rsidRPr="000A2130">
        <w:rPr>
          <w:szCs w:val="22"/>
        </w:rPr>
        <w:t xml:space="preserve"> (srdeční </w:t>
      </w:r>
      <w:r w:rsidR="00832E03">
        <w:rPr>
          <w:szCs w:val="22"/>
        </w:rPr>
        <w:t>mrtvice</w:t>
      </w:r>
      <w:r w:rsidRPr="000A2130">
        <w:rPr>
          <w:szCs w:val="22"/>
        </w:rPr>
        <w:t xml:space="preserve"> / eutanázie a </w:t>
      </w:r>
      <w:r w:rsidR="00832E03">
        <w:rPr>
          <w:szCs w:val="22"/>
        </w:rPr>
        <w:t>úhyn</w:t>
      </w:r>
      <w:r w:rsidRPr="000A2130">
        <w:rPr>
          <w:szCs w:val="22"/>
        </w:rPr>
        <w:t xml:space="preserve"> z jiné příčiny / eutanázie).</w:t>
      </w:r>
      <w:r w:rsidR="00D0702D">
        <w:rPr>
          <w:szCs w:val="22"/>
        </w:rPr>
        <w:t xml:space="preserve"> Před nástupem chronického selhání došlo u 15 psů ve skupině léčené pimobendanem a 12 psů ve skupině léčené placebem k srdeční </w:t>
      </w:r>
      <w:r w:rsidR="00832E03">
        <w:rPr>
          <w:szCs w:val="22"/>
        </w:rPr>
        <w:t>mrtvic</w:t>
      </w:r>
      <w:r w:rsidR="0066477B">
        <w:rPr>
          <w:szCs w:val="22"/>
        </w:rPr>
        <w:t>i</w:t>
      </w:r>
      <w:r w:rsidR="00D0702D">
        <w:rPr>
          <w:szCs w:val="22"/>
        </w:rPr>
        <w:t xml:space="preserve"> nebo eutanázii. Psi ve skupině léčené pimobendanem strávili ve studii déle času (347,4 pacientských let), než psi, kteří byli ve skupině léčené placebem (267,7 pacientských let), což vedlo k nižší míře výskytu.</w:t>
      </w:r>
    </w:p>
    <w:p w:rsidR="00415BFA" w:rsidRPr="000A2130" w:rsidRDefault="00415BFA" w:rsidP="009C2A25">
      <w:pPr>
        <w:ind w:left="0" w:firstLine="0"/>
        <w:jc w:val="both"/>
        <w:rPr>
          <w:szCs w:val="22"/>
          <w:lang w:bidi="cs-CZ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</w:p>
    <w:p w:rsidR="009C2A25" w:rsidRPr="000A2130" w:rsidRDefault="009C2A25" w:rsidP="009C2A25">
      <w:pPr>
        <w:ind w:left="0" w:firstLine="0"/>
        <w:jc w:val="both"/>
        <w:rPr>
          <w:szCs w:val="22"/>
        </w:rPr>
      </w:pPr>
      <w:r w:rsidRPr="000A2130">
        <w:rPr>
          <w:szCs w:val="22"/>
        </w:rPr>
        <w:t>Velikosti balení:</w:t>
      </w:r>
    </w:p>
    <w:p w:rsidR="009C2A25" w:rsidRPr="000A2130" w:rsidRDefault="009C2A25" w:rsidP="009C2A25">
      <w:pPr>
        <w:ind w:left="0" w:firstLine="0"/>
        <w:jc w:val="both"/>
      </w:pPr>
      <w:r w:rsidRPr="000A2130">
        <w:t>Lahev s 50 nebo 100 tabletami.</w:t>
      </w:r>
    </w:p>
    <w:p w:rsidR="009C2A25" w:rsidRPr="000A2130" w:rsidRDefault="009C2A25" w:rsidP="009C2A25">
      <w:pPr>
        <w:ind w:left="0" w:firstLine="0"/>
        <w:jc w:val="both"/>
      </w:pPr>
      <w:r w:rsidRPr="000A2130">
        <w:t>Na trhu nemusí být všechny velikosti balení.</w:t>
      </w:r>
    </w:p>
    <w:p w:rsidR="009C2A25" w:rsidRPr="000A2130" w:rsidRDefault="009C2A25" w:rsidP="009C2A25">
      <w:pPr>
        <w:ind w:left="0" w:firstLine="0"/>
        <w:jc w:val="both"/>
      </w:pPr>
    </w:p>
    <w:p w:rsidR="009C2A25" w:rsidRPr="000A2130" w:rsidRDefault="009C2A25" w:rsidP="009C2A25">
      <w:pPr>
        <w:ind w:left="0" w:firstLine="0"/>
        <w:jc w:val="both"/>
      </w:pPr>
      <w:r w:rsidRPr="000A2130">
        <w:lastRenderedPageBreak/>
        <w:t>Pokud chcete získat informace o tomto veterinárním léčivém přípravku, kontaktujte prosím příslušného místního zástupce držitele rozhodnutí o registraci.</w:t>
      </w:r>
    </w:p>
    <w:p w:rsidR="009C2A25" w:rsidRPr="000A2130" w:rsidRDefault="009C2A25" w:rsidP="009C2A25">
      <w:pPr>
        <w:ind w:left="0" w:firstLine="0"/>
        <w:jc w:val="both"/>
      </w:pPr>
    </w:p>
    <w:p w:rsidR="009C2A25" w:rsidRPr="000A2130" w:rsidRDefault="009C2A25" w:rsidP="009C2A25">
      <w:pPr>
        <w:jc w:val="both"/>
      </w:pPr>
      <w:r w:rsidRPr="000A2130">
        <w:t>Boehringer Ingelheim RCV GmbH &amp; Co KG</w:t>
      </w:r>
    </w:p>
    <w:p w:rsidR="009C2A25" w:rsidRPr="000A2130" w:rsidRDefault="009C2A25" w:rsidP="009C2A25">
      <w:pPr>
        <w:jc w:val="both"/>
      </w:pPr>
      <w:r w:rsidRPr="000A2130">
        <w:t xml:space="preserve">Animal Health </w:t>
      </w:r>
    </w:p>
    <w:p w:rsidR="009C2A25" w:rsidRPr="000A2130" w:rsidRDefault="009C2A25" w:rsidP="009C2A25">
      <w:pPr>
        <w:jc w:val="both"/>
      </w:pPr>
      <w:r w:rsidRPr="000A2130">
        <w:t>Dr. Boehringer-Gasse 5-11</w:t>
      </w:r>
    </w:p>
    <w:p w:rsidR="009C2A25" w:rsidRPr="000A2130" w:rsidRDefault="009C2A25" w:rsidP="009C2A25">
      <w:pPr>
        <w:jc w:val="both"/>
      </w:pPr>
      <w:r w:rsidRPr="000A2130">
        <w:t>1121 Vídeň</w:t>
      </w:r>
    </w:p>
    <w:p w:rsidR="009C2A25" w:rsidRPr="000A2130" w:rsidRDefault="009C2A25" w:rsidP="009C2A25">
      <w:pPr>
        <w:jc w:val="both"/>
      </w:pPr>
      <w:r w:rsidRPr="000A2130">
        <w:t>Tel. +43 (0) 1 80 105 0</w:t>
      </w:r>
    </w:p>
    <w:p w:rsidR="00A35D77" w:rsidRPr="000A2130" w:rsidRDefault="00A35D77" w:rsidP="00BC1A9A">
      <w:pPr>
        <w:ind w:left="0" w:firstLine="0"/>
        <w:rPr>
          <w:rFonts w:ascii="Times" w:hAnsi="Times"/>
          <w:b/>
          <w:dstrike/>
          <w:szCs w:val="22"/>
        </w:rPr>
      </w:pPr>
    </w:p>
    <w:sectPr w:rsidR="00A35D77" w:rsidRPr="000A2130" w:rsidSect="00190A1E">
      <w:headerReference w:type="default" r:id="rId8"/>
      <w:footerReference w:type="default" r:id="rId9"/>
      <w:footerReference w:type="first" r:id="rId10"/>
      <w:endnotePr>
        <w:numFmt w:val="decimal"/>
      </w:endnotePr>
      <w:pgSz w:w="11918" w:h="16840" w:code="9"/>
      <w:pgMar w:top="851" w:right="1853" w:bottom="426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DC" w:rsidRDefault="00A42CDC">
      <w:r>
        <w:separator/>
      </w:r>
    </w:p>
  </w:endnote>
  <w:endnote w:type="continuationSeparator" w:id="0">
    <w:p w:rsidR="00A42CDC" w:rsidRDefault="00A4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01" w:rsidRDefault="00815201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815201" w:rsidRDefault="00AB74E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A76F0A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01" w:rsidRDefault="00815201">
    <w:pPr>
      <w:pStyle w:val="Zpat"/>
      <w:tabs>
        <w:tab w:val="clear" w:pos="8930"/>
        <w:tab w:val="right" w:pos="8931"/>
      </w:tabs>
    </w:pPr>
  </w:p>
  <w:p w:rsidR="00815201" w:rsidRDefault="00AB74E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54B5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DC" w:rsidRDefault="00A42CDC">
      <w:r>
        <w:separator/>
      </w:r>
    </w:p>
  </w:footnote>
  <w:footnote w:type="continuationSeparator" w:id="0">
    <w:p w:rsidR="00A42CDC" w:rsidRDefault="00A42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62" w:rsidRDefault="00C73762">
    <w:pPr>
      <w:pStyle w:val="Zhlav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zana Ševčíková">
    <w15:presenceInfo w15:providerId="Windows Live" w15:userId="36b0488b588641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815201"/>
    <w:rsid w:val="00026E8C"/>
    <w:rsid w:val="00037FB5"/>
    <w:rsid w:val="0004172A"/>
    <w:rsid w:val="00056911"/>
    <w:rsid w:val="00080D81"/>
    <w:rsid w:val="00087ED8"/>
    <w:rsid w:val="000A1E28"/>
    <w:rsid w:val="000A2130"/>
    <w:rsid w:val="000C0604"/>
    <w:rsid w:val="000C27B2"/>
    <w:rsid w:val="000E1B9A"/>
    <w:rsid w:val="00102A3C"/>
    <w:rsid w:val="00147D56"/>
    <w:rsid w:val="00155908"/>
    <w:rsid w:val="00160889"/>
    <w:rsid w:val="00162EE1"/>
    <w:rsid w:val="00190A1E"/>
    <w:rsid w:val="001921CB"/>
    <w:rsid w:val="001F334F"/>
    <w:rsid w:val="00200BA8"/>
    <w:rsid w:val="002160E0"/>
    <w:rsid w:val="002B6793"/>
    <w:rsid w:val="002C41B6"/>
    <w:rsid w:val="002F2B72"/>
    <w:rsid w:val="0031195E"/>
    <w:rsid w:val="003205CB"/>
    <w:rsid w:val="00336924"/>
    <w:rsid w:val="00356707"/>
    <w:rsid w:val="003B5847"/>
    <w:rsid w:val="003E6A48"/>
    <w:rsid w:val="003F06CC"/>
    <w:rsid w:val="003F7631"/>
    <w:rsid w:val="00404E64"/>
    <w:rsid w:val="00413094"/>
    <w:rsid w:val="00415BFA"/>
    <w:rsid w:val="004204B6"/>
    <w:rsid w:val="00421654"/>
    <w:rsid w:val="00430736"/>
    <w:rsid w:val="00433C93"/>
    <w:rsid w:val="00452692"/>
    <w:rsid w:val="00454B51"/>
    <w:rsid w:val="00462871"/>
    <w:rsid w:val="00471395"/>
    <w:rsid w:val="00492BBF"/>
    <w:rsid w:val="00497D15"/>
    <w:rsid w:val="004F4636"/>
    <w:rsid w:val="004F7E10"/>
    <w:rsid w:val="004F7F27"/>
    <w:rsid w:val="00576070"/>
    <w:rsid w:val="00581614"/>
    <w:rsid w:val="00600D8B"/>
    <w:rsid w:val="0066477B"/>
    <w:rsid w:val="00675A41"/>
    <w:rsid w:val="006A105B"/>
    <w:rsid w:val="006B090B"/>
    <w:rsid w:val="006B2ABA"/>
    <w:rsid w:val="006D7FA4"/>
    <w:rsid w:val="00710FFD"/>
    <w:rsid w:val="00711B7A"/>
    <w:rsid w:val="00786FEE"/>
    <w:rsid w:val="00794C7E"/>
    <w:rsid w:val="0079506D"/>
    <w:rsid w:val="007A6B7A"/>
    <w:rsid w:val="007B6FF2"/>
    <w:rsid w:val="00805051"/>
    <w:rsid w:val="00815201"/>
    <w:rsid w:val="00832E03"/>
    <w:rsid w:val="00841CC8"/>
    <w:rsid w:val="008454D8"/>
    <w:rsid w:val="00851C1D"/>
    <w:rsid w:val="00853A4B"/>
    <w:rsid w:val="00884AF7"/>
    <w:rsid w:val="008D4340"/>
    <w:rsid w:val="009125C1"/>
    <w:rsid w:val="009275B2"/>
    <w:rsid w:val="00930970"/>
    <w:rsid w:val="00974D1C"/>
    <w:rsid w:val="00977CE9"/>
    <w:rsid w:val="00984E0E"/>
    <w:rsid w:val="009C2A25"/>
    <w:rsid w:val="009E6693"/>
    <w:rsid w:val="009F544B"/>
    <w:rsid w:val="00A03300"/>
    <w:rsid w:val="00A15B62"/>
    <w:rsid w:val="00A35D77"/>
    <w:rsid w:val="00A37E8F"/>
    <w:rsid w:val="00A42CDC"/>
    <w:rsid w:val="00A5179A"/>
    <w:rsid w:val="00A52315"/>
    <w:rsid w:val="00A748B8"/>
    <w:rsid w:val="00A76F0A"/>
    <w:rsid w:val="00A82582"/>
    <w:rsid w:val="00AB74E9"/>
    <w:rsid w:val="00AE07F0"/>
    <w:rsid w:val="00AE2791"/>
    <w:rsid w:val="00AF21DD"/>
    <w:rsid w:val="00B10075"/>
    <w:rsid w:val="00B21A07"/>
    <w:rsid w:val="00B248C4"/>
    <w:rsid w:val="00B53561"/>
    <w:rsid w:val="00B86AC8"/>
    <w:rsid w:val="00B92937"/>
    <w:rsid w:val="00B973BA"/>
    <w:rsid w:val="00BA35A5"/>
    <w:rsid w:val="00BA572B"/>
    <w:rsid w:val="00BB20C6"/>
    <w:rsid w:val="00BC1A9A"/>
    <w:rsid w:val="00BC1D81"/>
    <w:rsid w:val="00BD5945"/>
    <w:rsid w:val="00BE53A4"/>
    <w:rsid w:val="00C15242"/>
    <w:rsid w:val="00C203E4"/>
    <w:rsid w:val="00C24BB2"/>
    <w:rsid w:val="00C26CF5"/>
    <w:rsid w:val="00C42DCF"/>
    <w:rsid w:val="00C73762"/>
    <w:rsid w:val="00C80A22"/>
    <w:rsid w:val="00CA2435"/>
    <w:rsid w:val="00CC52B0"/>
    <w:rsid w:val="00CF5207"/>
    <w:rsid w:val="00D00B82"/>
    <w:rsid w:val="00D0702D"/>
    <w:rsid w:val="00D23F53"/>
    <w:rsid w:val="00D25E58"/>
    <w:rsid w:val="00D2670D"/>
    <w:rsid w:val="00D36B31"/>
    <w:rsid w:val="00D52131"/>
    <w:rsid w:val="00D53E08"/>
    <w:rsid w:val="00D661E4"/>
    <w:rsid w:val="00D855F2"/>
    <w:rsid w:val="00E11C9C"/>
    <w:rsid w:val="00E23BBD"/>
    <w:rsid w:val="00E4079E"/>
    <w:rsid w:val="00F3427C"/>
    <w:rsid w:val="00F40031"/>
    <w:rsid w:val="00F4555F"/>
    <w:rsid w:val="00F60088"/>
    <w:rsid w:val="00F9308A"/>
    <w:rsid w:val="00FA7632"/>
    <w:rsid w:val="00FB1317"/>
    <w:rsid w:val="00FC2964"/>
    <w:rsid w:val="00FC318F"/>
    <w:rsid w:val="00FC6B3F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A22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DE5A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DE5A2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DE5A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DE5A2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DE5A2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DE5A2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E5A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E5A2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E5A2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A2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DE5A2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DE5A20"/>
    <w:pPr>
      <w:ind w:left="1760"/>
    </w:pPr>
  </w:style>
  <w:style w:type="character" w:styleId="Odkaznavysvtlivky">
    <w:name w:val="endnote reference"/>
    <w:rsid w:val="00DE5A20"/>
    <w:rPr>
      <w:vertAlign w:val="superscript"/>
    </w:rPr>
  </w:style>
  <w:style w:type="character" w:styleId="Znakapoznpodarou">
    <w:name w:val="footnote reference"/>
    <w:rsid w:val="00DE5A20"/>
    <w:rPr>
      <w:vertAlign w:val="superscript"/>
    </w:rPr>
  </w:style>
  <w:style w:type="paragraph" w:styleId="Textpoznpodarou">
    <w:name w:val="footnote text"/>
    <w:basedOn w:val="Normln"/>
    <w:rsid w:val="00DE5A20"/>
    <w:pPr>
      <w:jc w:val="both"/>
    </w:pPr>
    <w:rPr>
      <w:sz w:val="20"/>
    </w:rPr>
  </w:style>
  <w:style w:type="paragraph" w:styleId="Zkladntext">
    <w:name w:val="Body Text"/>
    <w:basedOn w:val="Normln"/>
    <w:rsid w:val="00DE5A20"/>
    <w:pPr>
      <w:jc w:val="both"/>
    </w:pPr>
  </w:style>
  <w:style w:type="paragraph" w:styleId="Textvbloku">
    <w:name w:val="Block Text"/>
    <w:basedOn w:val="Normln"/>
    <w:rsid w:val="00DE5A20"/>
    <w:pPr>
      <w:ind w:left="2268" w:right="1711"/>
    </w:pPr>
    <w:rPr>
      <w:b/>
    </w:rPr>
  </w:style>
  <w:style w:type="paragraph" w:styleId="Zkladntext2">
    <w:name w:val="Body Text 2"/>
    <w:basedOn w:val="Normln"/>
    <w:rsid w:val="00DE5A20"/>
    <w:rPr>
      <w:b/>
    </w:rPr>
  </w:style>
  <w:style w:type="paragraph" w:styleId="Zkladntext3">
    <w:name w:val="Body Text 3"/>
    <w:basedOn w:val="Normln"/>
    <w:rsid w:val="00DE5A20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DE5A20"/>
  </w:style>
  <w:style w:type="character" w:styleId="Odkaznakoment">
    <w:name w:val="annotation reference"/>
    <w:rsid w:val="00DE5A20"/>
    <w:rPr>
      <w:sz w:val="16"/>
    </w:rPr>
  </w:style>
  <w:style w:type="paragraph" w:styleId="Zkladntextodsazen2">
    <w:name w:val="Body Text Indent 2"/>
    <w:basedOn w:val="Normln"/>
    <w:rsid w:val="00DE5A20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DE5A20"/>
    <w:rPr>
      <w:sz w:val="20"/>
      <w:lang w:eastAsia="x-none"/>
    </w:rPr>
  </w:style>
  <w:style w:type="paragraph" w:styleId="Zkladntextodsazen3">
    <w:name w:val="Body Text Indent 3"/>
    <w:basedOn w:val="Normln"/>
    <w:rsid w:val="00DE5A20"/>
  </w:style>
  <w:style w:type="paragraph" w:customStyle="1" w:styleId="Bullet">
    <w:name w:val="Bullet"/>
    <w:basedOn w:val="Normln"/>
    <w:rsid w:val="00DE5A20"/>
    <w:pPr>
      <w:numPr>
        <w:numId w:val="2"/>
      </w:numPr>
    </w:pPr>
  </w:style>
  <w:style w:type="paragraph" w:styleId="Textbubliny">
    <w:name w:val="Balloon Text"/>
    <w:basedOn w:val="Normln"/>
    <w:rsid w:val="00DE5A20"/>
    <w:rPr>
      <w:rFonts w:ascii="Tahoma" w:hAnsi="Tahoma" w:cs="Tahoma"/>
      <w:sz w:val="16"/>
      <w:szCs w:val="16"/>
    </w:rPr>
  </w:style>
  <w:style w:type="character" w:styleId="Hypertextovodkaz">
    <w:name w:val="Hyperlink"/>
    <w:rsid w:val="00DE5A20"/>
    <w:rPr>
      <w:color w:val="0000FF"/>
      <w:u w:val="single"/>
    </w:rPr>
  </w:style>
  <w:style w:type="paragraph" w:customStyle="1" w:styleId="AHeader1">
    <w:name w:val="AHeader 1"/>
    <w:basedOn w:val="Normln"/>
    <w:rsid w:val="00DE5A2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E5A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E5A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E5A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E5A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E5A20"/>
    <w:rPr>
      <w:color w:val="800080"/>
      <w:u w:val="single"/>
    </w:rPr>
  </w:style>
  <w:style w:type="character" w:styleId="Zvraznn">
    <w:name w:val="Emphasis"/>
    <w:qFormat/>
    <w:rsid w:val="002C41B6"/>
    <w:rPr>
      <w:i/>
      <w:iCs/>
    </w:rPr>
  </w:style>
  <w:style w:type="character" w:customStyle="1" w:styleId="apple-converted-space">
    <w:name w:val="apple-converted-space"/>
    <w:rsid w:val="002C41B6"/>
  </w:style>
  <w:style w:type="paragraph" w:customStyle="1" w:styleId="Default">
    <w:name w:val="Default"/>
    <w:rsid w:val="00200BA8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hps">
    <w:name w:val="hps"/>
    <w:rsid w:val="00162EE1"/>
  </w:style>
  <w:style w:type="paragraph" w:styleId="Datum">
    <w:name w:val="Date"/>
    <w:basedOn w:val="Normln"/>
    <w:next w:val="Normln"/>
    <w:link w:val="DatumChar"/>
    <w:rsid w:val="00B86AC8"/>
  </w:style>
  <w:style w:type="character" w:customStyle="1" w:styleId="DatumChar">
    <w:name w:val="Datum Char"/>
    <w:link w:val="Datum"/>
    <w:rsid w:val="00B86AC8"/>
    <w:rPr>
      <w:sz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9F544B"/>
    <w:rPr>
      <w:b/>
      <w:bCs/>
    </w:rPr>
  </w:style>
  <w:style w:type="character" w:customStyle="1" w:styleId="TextkomenteChar">
    <w:name w:val="Text komentáře Char"/>
    <w:link w:val="Textkomente"/>
    <w:rsid w:val="009F544B"/>
    <w:rPr>
      <w:lang w:val="cs-CZ"/>
    </w:rPr>
  </w:style>
  <w:style w:type="character" w:customStyle="1" w:styleId="PedmtkomenteChar">
    <w:name w:val="Předmět komentáře Char"/>
    <w:link w:val="Pedmtkomente"/>
    <w:rsid w:val="009F544B"/>
    <w:rPr>
      <w:b/>
      <w:bCs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A22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DE5A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DE5A2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DE5A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DE5A2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DE5A2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DE5A2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E5A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E5A2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E5A2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A2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DE5A2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DE5A20"/>
    <w:pPr>
      <w:ind w:left="1760"/>
    </w:pPr>
  </w:style>
  <w:style w:type="character" w:styleId="Odkaznavysvtlivky">
    <w:name w:val="endnote reference"/>
    <w:rsid w:val="00DE5A20"/>
    <w:rPr>
      <w:vertAlign w:val="superscript"/>
    </w:rPr>
  </w:style>
  <w:style w:type="character" w:styleId="Znakapoznpodarou">
    <w:name w:val="footnote reference"/>
    <w:rsid w:val="00DE5A20"/>
    <w:rPr>
      <w:vertAlign w:val="superscript"/>
    </w:rPr>
  </w:style>
  <w:style w:type="paragraph" w:styleId="Textpoznpodarou">
    <w:name w:val="footnote text"/>
    <w:basedOn w:val="Normln"/>
    <w:rsid w:val="00DE5A20"/>
    <w:pPr>
      <w:jc w:val="both"/>
    </w:pPr>
    <w:rPr>
      <w:sz w:val="20"/>
    </w:rPr>
  </w:style>
  <w:style w:type="paragraph" w:styleId="Zkladntext">
    <w:name w:val="Body Text"/>
    <w:basedOn w:val="Normln"/>
    <w:rsid w:val="00DE5A20"/>
    <w:pPr>
      <w:jc w:val="both"/>
    </w:pPr>
  </w:style>
  <w:style w:type="paragraph" w:styleId="Textvbloku">
    <w:name w:val="Block Text"/>
    <w:basedOn w:val="Normln"/>
    <w:rsid w:val="00DE5A20"/>
    <w:pPr>
      <w:ind w:left="2268" w:right="1711"/>
    </w:pPr>
    <w:rPr>
      <w:b/>
    </w:rPr>
  </w:style>
  <w:style w:type="paragraph" w:styleId="Zkladntext2">
    <w:name w:val="Body Text 2"/>
    <w:basedOn w:val="Normln"/>
    <w:rsid w:val="00DE5A20"/>
    <w:rPr>
      <w:b/>
    </w:rPr>
  </w:style>
  <w:style w:type="paragraph" w:styleId="Zkladntext3">
    <w:name w:val="Body Text 3"/>
    <w:basedOn w:val="Normln"/>
    <w:rsid w:val="00DE5A20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DE5A20"/>
  </w:style>
  <w:style w:type="character" w:styleId="Odkaznakoment">
    <w:name w:val="annotation reference"/>
    <w:rsid w:val="00DE5A20"/>
    <w:rPr>
      <w:sz w:val="16"/>
    </w:rPr>
  </w:style>
  <w:style w:type="paragraph" w:styleId="Zkladntextodsazen2">
    <w:name w:val="Body Text Indent 2"/>
    <w:basedOn w:val="Normln"/>
    <w:rsid w:val="00DE5A20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DE5A20"/>
    <w:rPr>
      <w:sz w:val="20"/>
      <w:lang w:eastAsia="x-none"/>
    </w:rPr>
  </w:style>
  <w:style w:type="paragraph" w:styleId="Zkladntextodsazen3">
    <w:name w:val="Body Text Indent 3"/>
    <w:basedOn w:val="Normln"/>
    <w:rsid w:val="00DE5A20"/>
  </w:style>
  <w:style w:type="paragraph" w:customStyle="1" w:styleId="Bullet">
    <w:name w:val="Bullet"/>
    <w:basedOn w:val="Normln"/>
    <w:rsid w:val="00DE5A20"/>
    <w:pPr>
      <w:numPr>
        <w:numId w:val="2"/>
      </w:numPr>
    </w:pPr>
  </w:style>
  <w:style w:type="paragraph" w:styleId="Textbubliny">
    <w:name w:val="Balloon Text"/>
    <w:basedOn w:val="Normln"/>
    <w:rsid w:val="00DE5A20"/>
    <w:rPr>
      <w:rFonts w:ascii="Tahoma" w:hAnsi="Tahoma" w:cs="Tahoma"/>
      <w:sz w:val="16"/>
      <w:szCs w:val="16"/>
    </w:rPr>
  </w:style>
  <w:style w:type="character" w:styleId="Hypertextovodkaz">
    <w:name w:val="Hyperlink"/>
    <w:rsid w:val="00DE5A20"/>
    <w:rPr>
      <w:color w:val="0000FF"/>
      <w:u w:val="single"/>
    </w:rPr>
  </w:style>
  <w:style w:type="paragraph" w:customStyle="1" w:styleId="AHeader1">
    <w:name w:val="AHeader 1"/>
    <w:basedOn w:val="Normln"/>
    <w:rsid w:val="00DE5A2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E5A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E5A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E5A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E5A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E5A20"/>
    <w:rPr>
      <w:color w:val="800080"/>
      <w:u w:val="single"/>
    </w:rPr>
  </w:style>
  <w:style w:type="character" w:styleId="Zvraznn">
    <w:name w:val="Emphasis"/>
    <w:qFormat/>
    <w:rsid w:val="002C41B6"/>
    <w:rPr>
      <w:i/>
      <w:iCs/>
    </w:rPr>
  </w:style>
  <w:style w:type="character" w:customStyle="1" w:styleId="apple-converted-space">
    <w:name w:val="apple-converted-space"/>
    <w:rsid w:val="002C41B6"/>
  </w:style>
  <w:style w:type="paragraph" w:customStyle="1" w:styleId="Default">
    <w:name w:val="Default"/>
    <w:rsid w:val="00200BA8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hps">
    <w:name w:val="hps"/>
    <w:rsid w:val="00162EE1"/>
  </w:style>
  <w:style w:type="paragraph" w:styleId="Datum">
    <w:name w:val="Date"/>
    <w:basedOn w:val="Normln"/>
    <w:next w:val="Normln"/>
    <w:link w:val="DatumChar"/>
    <w:rsid w:val="00B86AC8"/>
  </w:style>
  <w:style w:type="character" w:customStyle="1" w:styleId="DatumChar">
    <w:name w:val="Datum Char"/>
    <w:link w:val="Datum"/>
    <w:rsid w:val="00B86AC8"/>
    <w:rPr>
      <w:sz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9F544B"/>
    <w:rPr>
      <w:b/>
      <w:bCs/>
    </w:rPr>
  </w:style>
  <w:style w:type="character" w:customStyle="1" w:styleId="TextkomenteChar">
    <w:name w:val="Text komentáře Char"/>
    <w:link w:val="Textkomente"/>
    <w:rsid w:val="009F544B"/>
    <w:rPr>
      <w:lang w:val="cs-CZ"/>
    </w:rPr>
  </w:style>
  <w:style w:type="character" w:customStyle="1" w:styleId="PedmtkomenteChar">
    <w:name w:val="Předmět komentáře Char"/>
    <w:link w:val="Pedmtkomente"/>
    <w:rsid w:val="009F544B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1650</Words>
  <Characters>9735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Pruzincova,Zdena (M&amp;S PM) BI-SK-B</dc:creator>
  <cp:lastModifiedBy>Wojtylová Jana</cp:lastModifiedBy>
  <cp:revision>4</cp:revision>
  <cp:lastPrinted>2017-09-22T12:25:00Z</cp:lastPrinted>
  <dcterms:created xsi:type="dcterms:W3CDTF">2019-07-09T10:47:00Z</dcterms:created>
  <dcterms:modified xsi:type="dcterms:W3CDTF">2019-07-09T10:52:00Z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