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ab/>
      </w:r>
    </w:p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</w:p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53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8" w:line="256" w:lineRule="auto"/>
        <w:ind w:left="53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3" w:line="264" w:lineRule="auto"/>
        <w:ind w:left="3968" w:right="58" w:hanging="10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PŘÍLOHA I </w:t>
      </w:r>
    </w:p>
    <w:p w:rsidR="00D077DB" w:rsidRPr="005C75DE" w:rsidRDefault="00D077DB" w:rsidP="00D077DB">
      <w:pPr>
        <w:spacing w:after="60" w:line="256" w:lineRule="auto"/>
        <w:ind w:left="54"/>
        <w:jc w:val="center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10" w:right="2870" w:hanging="10"/>
        <w:jc w:val="right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SOUHRN ÚDAJŮ O PŘÍPRAVKU </w:t>
      </w:r>
    </w:p>
    <w:p w:rsidR="00D077DB" w:rsidRPr="005C75DE" w:rsidRDefault="00D077DB" w:rsidP="00D077DB">
      <w:pPr>
        <w:spacing w:line="237" w:lineRule="auto"/>
        <w:ind w:left="1" w:right="6149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 </w:t>
      </w:r>
      <w:r w:rsidRPr="005C75DE">
        <w:rPr>
          <w:color w:val="000000"/>
          <w:lang w:eastAsia="de-DE"/>
        </w:rPr>
        <w:tab/>
        <w:t xml:space="preserve">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160"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br w:type="page"/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  <w:r w:rsidRPr="005C75DE">
        <w:rPr>
          <w:color w:val="000000"/>
          <w:lang w:eastAsia="de-DE"/>
        </w:rPr>
        <w:tab/>
        <w:t xml:space="preserve"> </w:t>
      </w:r>
    </w:p>
    <w:p w:rsidR="00D077DB" w:rsidRPr="005C75DE" w:rsidRDefault="00D077DB" w:rsidP="00D077DB">
      <w:pPr>
        <w:tabs>
          <w:tab w:val="center" w:pos="3242"/>
        </w:tabs>
        <w:spacing w:after="3" w:line="264" w:lineRule="auto"/>
        <w:ind w:left="-14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1. </w:t>
      </w:r>
      <w:r w:rsidRPr="005C75DE">
        <w:rPr>
          <w:b/>
          <w:color w:val="000000"/>
          <w:lang w:eastAsia="de-DE"/>
        </w:rPr>
        <w:tab/>
        <w:t>NÁZEV VETERINÁRNÍHO LÉČIVÉHO PŘÍPRAVKU</w:t>
      </w: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1"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" w:line="264" w:lineRule="auto"/>
        <w:ind w:left="-4" w:hanging="10"/>
        <w:rPr>
          <w:color w:val="000000"/>
          <w:lang w:eastAsia="de-DE"/>
        </w:rPr>
      </w:pPr>
      <w:proofErr w:type="spellStart"/>
      <w:r w:rsidRPr="005C75DE">
        <w:rPr>
          <w:color w:val="000000"/>
          <w:lang w:eastAsia="de-DE"/>
        </w:rPr>
        <w:t>Tullavis</w:t>
      </w:r>
      <w:proofErr w:type="spellEnd"/>
      <w:r w:rsidRPr="005C75DE">
        <w:rPr>
          <w:color w:val="000000"/>
          <w:lang w:eastAsia="de-DE"/>
        </w:rPr>
        <w:t xml:space="preserve"> 25 mg/ml injekční roztok pro prasata 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keepNext/>
        <w:keepLines/>
        <w:tabs>
          <w:tab w:val="center" w:pos="2959"/>
        </w:tabs>
        <w:spacing w:after="10" w:line="247" w:lineRule="auto"/>
        <w:ind w:left="-14"/>
        <w:outlineLvl w:val="0"/>
        <w:rPr>
          <w:b/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2. </w:t>
      </w:r>
      <w:r w:rsidRPr="005C75DE">
        <w:rPr>
          <w:b/>
          <w:color w:val="000000"/>
          <w:lang w:eastAsia="de-DE"/>
        </w:rPr>
        <w:tab/>
        <w:t>KVALITATIVNÍ A KVANTITATIVNÍ SLOŽENÍ</w:t>
      </w: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13" w:line="247" w:lineRule="auto"/>
        <w:ind w:left="-4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Každý ml obsahuje: </w:t>
      </w:r>
    </w:p>
    <w:p w:rsidR="00D077DB" w:rsidRPr="005C75DE" w:rsidRDefault="00D077DB" w:rsidP="00D077DB">
      <w:pPr>
        <w:spacing w:after="56" w:line="256" w:lineRule="auto"/>
        <w:ind w:left="1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3" w:line="264" w:lineRule="auto"/>
        <w:ind w:left="-4" w:right="58" w:hanging="10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Léčivá látka: </w:t>
      </w:r>
    </w:p>
    <w:p w:rsidR="00D077DB" w:rsidRPr="005C75DE" w:rsidRDefault="00D077DB" w:rsidP="001353DC">
      <w:pPr>
        <w:tabs>
          <w:tab w:val="center" w:pos="2547"/>
        </w:tabs>
        <w:spacing w:after="13" w:line="247" w:lineRule="auto"/>
        <w:ind w:left="-14" w:firstLine="14"/>
        <w:rPr>
          <w:color w:val="000000"/>
          <w:lang w:eastAsia="de-DE"/>
        </w:rPr>
      </w:pPr>
      <w:proofErr w:type="spellStart"/>
      <w:r w:rsidRPr="005C75DE">
        <w:rPr>
          <w:color w:val="000000"/>
          <w:lang w:eastAsia="de-DE"/>
        </w:rPr>
        <w:t>Tulathromycinum</w:t>
      </w:r>
      <w:proofErr w:type="spellEnd"/>
      <w:r w:rsidRPr="005C75DE">
        <w:rPr>
          <w:color w:val="000000"/>
          <w:lang w:eastAsia="de-DE"/>
        </w:rPr>
        <w:t xml:space="preserve">  </w:t>
      </w:r>
      <w:r w:rsidRPr="005C75DE">
        <w:rPr>
          <w:color w:val="000000"/>
          <w:lang w:eastAsia="de-DE"/>
        </w:rPr>
        <w:tab/>
        <w:t>25 mg</w:t>
      </w: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1353DC">
      <w:pPr>
        <w:spacing w:line="256" w:lineRule="auto"/>
        <w:ind w:left="1" w:firstLine="14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10" w:line="247" w:lineRule="auto"/>
        <w:ind w:left="-4" w:hanging="10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Pomocné látky: </w:t>
      </w:r>
    </w:p>
    <w:p w:rsidR="00D077DB" w:rsidRPr="005C75DE" w:rsidRDefault="00D077DB" w:rsidP="001353DC">
      <w:pPr>
        <w:tabs>
          <w:tab w:val="center" w:pos="1703"/>
          <w:tab w:val="center" w:pos="2492"/>
        </w:tabs>
        <w:spacing w:after="13" w:line="247" w:lineRule="auto"/>
        <w:ind w:left="-14" w:firstLine="14"/>
        <w:rPr>
          <w:color w:val="000000"/>
          <w:lang w:eastAsia="de-DE"/>
        </w:rPr>
      </w:pPr>
      <w:proofErr w:type="spellStart"/>
      <w:r w:rsidRPr="005C75DE">
        <w:rPr>
          <w:color w:val="000000"/>
          <w:lang w:eastAsia="de-DE"/>
        </w:rPr>
        <w:t>Thioglycerol</w:t>
      </w:r>
      <w:proofErr w:type="spellEnd"/>
      <w:r w:rsidRPr="005C75DE">
        <w:rPr>
          <w:color w:val="000000"/>
          <w:lang w:eastAsia="de-DE"/>
        </w:rPr>
        <w:t xml:space="preserve"> </w:t>
      </w:r>
      <w:r w:rsidRPr="005C75DE">
        <w:rPr>
          <w:color w:val="000000"/>
          <w:lang w:eastAsia="de-DE"/>
        </w:rPr>
        <w:tab/>
        <w:t xml:space="preserve"> </w:t>
      </w:r>
      <w:r w:rsidRPr="005C75DE">
        <w:rPr>
          <w:color w:val="000000"/>
          <w:lang w:eastAsia="de-DE"/>
        </w:rPr>
        <w:tab/>
        <w:t xml:space="preserve">5 mg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13" w:line="247" w:lineRule="auto"/>
        <w:ind w:left="-4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Úplný seznam pomocných látek viz bod 6.1.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keepNext/>
        <w:keepLines/>
        <w:tabs>
          <w:tab w:val="center" w:pos="1488"/>
        </w:tabs>
        <w:spacing w:after="10" w:line="247" w:lineRule="auto"/>
        <w:ind w:left="-14"/>
        <w:outlineLvl w:val="0"/>
        <w:rPr>
          <w:b/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3. </w:t>
      </w:r>
      <w:r w:rsidRPr="005C75DE">
        <w:rPr>
          <w:b/>
          <w:color w:val="000000"/>
          <w:lang w:eastAsia="de-DE"/>
        </w:rPr>
        <w:tab/>
        <w:t xml:space="preserve">LÉKOVÁ FORMA </w:t>
      </w:r>
    </w:p>
    <w:p w:rsidR="00D077DB" w:rsidRPr="005C75DE" w:rsidRDefault="00D077DB" w:rsidP="00D077DB">
      <w:pPr>
        <w:spacing w:after="52"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66" w:line="264" w:lineRule="auto"/>
        <w:ind w:left="-4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Injekční roztok. </w:t>
      </w:r>
    </w:p>
    <w:p w:rsidR="00D077DB" w:rsidRPr="005C75DE" w:rsidRDefault="00D077DB" w:rsidP="001353DC">
      <w:pPr>
        <w:spacing w:line="256" w:lineRule="auto"/>
        <w:ind w:left="1" w:hanging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Čirý, bezbarvý až nažloutlý roztok.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</w:p>
    <w:p w:rsidR="00D077DB" w:rsidRPr="005C75DE" w:rsidRDefault="00D077DB" w:rsidP="00D077DB">
      <w:pPr>
        <w:keepNext/>
        <w:keepLines/>
        <w:tabs>
          <w:tab w:val="center" w:pos="1525"/>
        </w:tabs>
        <w:spacing w:after="10" w:line="247" w:lineRule="auto"/>
        <w:ind w:left="-14"/>
        <w:outlineLvl w:val="0"/>
        <w:rPr>
          <w:b/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4. </w:t>
      </w:r>
      <w:r w:rsidRPr="005C75DE">
        <w:rPr>
          <w:b/>
          <w:color w:val="000000"/>
          <w:lang w:eastAsia="de-DE"/>
        </w:rPr>
        <w:tab/>
        <w:t>KLINICKÉ ÚDAJE</w:t>
      </w: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0"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tabs>
          <w:tab w:val="center" w:pos="1485"/>
        </w:tabs>
        <w:spacing w:after="3" w:line="264" w:lineRule="auto"/>
        <w:ind w:left="-14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4.1 </w:t>
      </w:r>
      <w:r w:rsidRPr="005C75DE">
        <w:rPr>
          <w:b/>
          <w:color w:val="000000"/>
          <w:lang w:eastAsia="de-DE"/>
        </w:rPr>
        <w:tab/>
        <w:t xml:space="preserve">Cílové druhy zvířat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13" w:line="247" w:lineRule="auto"/>
        <w:ind w:left="-4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Prasata. </w:t>
      </w:r>
    </w:p>
    <w:p w:rsidR="00D077DB" w:rsidRPr="005C75DE" w:rsidRDefault="00D077DB" w:rsidP="00D077DB">
      <w:pPr>
        <w:spacing w:after="42"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tabs>
          <w:tab w:val="center" w:pos="2688"/>
        </w:tabs>
        <w:spacing w:after="3" w:line="264" w:lineRule="auto"/>
        <w:ind w:left="-14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4.2 </w:t>
      </w:r>
      <w:r w:rsidRPr="005C75DE">
        <w:rPr>
          <w:b/>
          <w:color w:val="000000"/>
          <w:lang w:eastAsia="de-DE"/>
        </w:rPr>
        <w:tab/>
        <w:t xml:space="preserve">Indikace s upřesněním pro cílový druh zvířat </w:t>
      </w: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keepNext/>
        <w:keepLines/>
        <w:spacing w:after="37" w:line="256" w:lineRule="auto"/>
        <w:ind w:left="-4" w:hanging="10"/>
        <w:outlineLvl w:val="1"/>
        <w:rPr>
          <w:color w:val="000000"/>
          <w:shd w:val="clear" w:color="auto" w:fill="C1C2C2"/>
          <w:lang w:eastAsia="de-DE"/>
        </w:rPr>
      </w:pPr>
      <w:r w:rsidRPr="005C75DE">
        <w:rPr>
          <w:color w:val="000000"/>
          <w:u w:val="single" w:color="000000"/>
          <w:lang w:eastAsia="de-DE"/>
        </w:rPr>
        <w:t>Prasata:</w:t>
      </w:r>
      <w:r w:rsidRPr="005C75DE">
        <w:rPr>
          <w:color w:val="000000"/>
          <w:lang w:eastAsia="de-DE"/>
        </w:rPr>
        <w:t xml:space="preserve">  </w:t>
      </w:r>
    </w:p>
    <w:p w:rsidR="00D077DB" w:rsidRPr="005C75DE" w:rsidRDefault="00D077DB" w:rsidP="00D077DB">
      <w:pPr>
        <w:spacing w:after="5" w:line="264" w:lineRule="auto"/>
        <w:ind w:left="-4" w:hanging="10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Léčba a </w:t>
      </w:r>
      <w:proofErr w:type="spellStart"/>
      <w:r w:rsidRPr="005C75DE">
        <w:rPr>
          <w:color w:val="000000"/>
          <w:lang w:eastAsia="de-DE"/>
        </w:rPr>
        <w:t>metafylaxe</w:t>
      </w:r>
      <w:proofErr w:type="spellEnd"/>
      <w:r w:rsidRPr="005C75DE">
        <w:rPr>
          <w:color w:val="000000"/>
          <w:lang w:eastAsia="de-DE"/>
        </w:rPr>
        <w:t xml:space="preserve"> respiračního onemocnění prasat (SRD) vyvolaného </w:t>
      </w:r>
      <w:proofErr w:type="spellStart"/>
      <w:r w:rsidRPr="005C75DE">
        <w:rPr>
          <w:i/>
          <w:color w:val="000000"/>
          <w:lang w:eastAsia="de-DE"/>
        </w:rPr>
        <w:t>Actinobacillus</w:t>
      </w:r>
      <w:proofErr w:type="spellEnd"/>
      <w:r w:rsidRPr="005C75DE">
        <w:rPr>
          <w:i/>
          <w:color w:val="000000"/>
          <w:lang w:eastAsia="de-DE"/>
        </w:rPr>
        <w:t xml:space="preserve"> </w:t>
      </w:r>
      <w:proofErr w:type="spellStart"/>
      <w:r w:rsidRPr="005C75DE">
        <w:rPr>
          <w:i/>
          <w:color w:val="000000"/>
          <w:lang w:eastAsia="de-DE"/>
        </w:rPr>
        <w:t>pleuropneumoniae</w:t>
      </w:r>
      <w:proofErr w:type="spellEnd"/>
      <w:r w:rsidRPr="005C75DE">
        <w:rPr>
          <w:color w:val="000000"/>
          <w:lang w:eastAsia="de-DE"/>
        </w:rPr>
        <w:t xml:space="preserve">, </w:t>
      </w:r>
      <w:proofErr w:type="spellStart"/>
      <w:r w:rsidRPr="005C75DE">
        <w:rPr>
          <w:i/>
          <w:color w:val="000000"/>
          <w:lang w:eastAsia="de-DE"/>
        </w:rPr>
        <w:t>Pasteurella</w:t>
      </w:r>
      <w:proofErr w:type="spellEnd"/>
      <w:r w:rsidRPr="005C75DE">
        <w:rPr>
          <w:i/>
          <w:color w:val="000000"/>
          <w:lang w:eastAsia="de-DE"/>
        </w:rPr>
        <w:t xml:space="preserve"> </w:t>
      </w:r>
      <w:proofErr w:type="spellStart"/>
      <w:r w:rsidRPr="005C75DE">
        <w:rPr>
          <w:i/>
          <w:color w:val="000000"/>
          <w:lang w:eastAsia="de-DE"/>
        </w:rPr>
        <w:t>multocida</w:t>
      </w:r>
      <w:proofErr w:type="spellEnd"/>
      <w:r w:rsidRPr="005C75DE">
        <w:rPr>
          <w:i/>
          <w:color w:val="000000"/>
          <w:lang w:eastAsia="de-DE"/>
        </w:rPr>
        <w:t xml:space="preserve">, </w:t>
      </w:r>
      <w:proofErr w:type="spellStart"/>
      <w:r w:rsidRPr="005C75DE">
        <w:rPr>
          <w:i/>
          <w:color w:val="000000"/>
          <w:lang w:eastAsia="de-DE"/>
        </w:rPr>
        <w:t>Mycoplasma</w:t>
      </w:r>
      <w:proofErr w:type="spellEnd"/>
      <w:r w:rsidRPr="005C75DE">
        <w:rPr>
          <w:i/>
          <w:color w:val="000000"/>
          <w:lang w:eastAsia="de-DE"/>
        </w:rPr>
        <w:t xml:space="preserve"> </w:t>
      </w:r>
      <w:proofErr w:type="spellStart"/>
      <w:r w:rsidRPr="005C75DE">
        <w:rPr>
          <w:i/>
          <w:color w:val="000000"/>
          <w:lang w:eastAsia="de-DE"/>
        </w:rPr>
        <w:t>hyopneumoniae</w:t>
      </w:r>
      <w:proofErr w:type="spellEnd"/>
      <w:r w:rsidRPr="005C75DE">
        <w:rPr>
          <w:color w:val="000000"/>
          <w:lang w:eastAsia="de-DE"/>
        </w:rPr>
        <w:t xml:space="preserve">, </w:t>
      </w:r>
      <w:proofErr w:type="spellStart"/>
      <w:r w:rsidRPr="005C75DE">
        <w:rPr>
          <w:i/>
          <w:color w:val="000000"/>
          <w:lang w:eastAsia="de-DE"/>
        </w:rPr>
        <w:t>Haemophilus</w:t>
      </w:r>
      <w:proofErr w:type="spellEnd"/>
      <w:r w:rsidRPr="005C75DE">
        <w:rPr>
          <w:i/>
          <w:color w:val="000000"/>
          <w:lang w:eastAsia="de-DE"/>
        </w:rPr>
        <w:t xml:space="preserve"> </w:t>
      </w:r>
      <w:proofErr w:type="spellStart"/>
      <w:r w:rsidRPr="005C75DE">
        <w:rPr>
          <w:i/>
          <w:color w:val="000000"/>
          <w:lang w:eastAsia="de-DE"/>
        </w:rPr>
        <w:t>parasuis</w:t>
      </w:r>
      <w:proofErr w:type="spellEnd"/>
      <w:r w:rsidRPr="005C75DE">
        <w:rPr>
          <w:i/>
          <w:color w:val="000000"/>
          <w:lang w:eastAsia="de-DE"/>
        </w:rPr>
        <w:t xml:space="preserve"> </w:t>
      </w:r>
      <w:r w:rsidRPr="005C75DE">
        <w:rPr>
          <w:color w:val="000000"/>
          <w:lang w:eastAsia="de-DE"/>
        </w:rPr>
        <w:t xml:space="preserve">a </w:t>
      </w:r>
      <w:proofErr w:type="spellStart"/>
      <w:r w:rsidRPr="005C75DE">
        <w:rPr>
          <w:i/>
          <w:color w:val="000000"/>
          <w:lang w:eastAsia="de-DE"/>
        </w:rPr>
        <w:t>Bordetella</w:t>
      </w:r>
      <w:proofErr w:type="spellEnd"/>
      <w:r w:rsidRPr="005C75DE">
        <w:rPr>
          <w:i/>
          <w:color w:val="000000"/>
          <w:lang w:eastAsia="de-DE"/>
        </w:rPr>
        <w:t xml:space="preserve"> </w:t>
      </w:r>
      <w:proofErr w:type="spellStart"/>
      <w:r w:rsidRPr="005C75DE">
        <w:rPr>
          <w:i/>
          <w:color w:val="000000"/>
          <w:lang w:eastAsia="de-DE"/>
        </w:rPr>
        <w:t>bronchiseptica</w:t>
      </w:r>
      <w:proofErr w:type="spellEnd"/>
      <w:r w:rsidRPr="005C75DE">
        <w:rPr>
          <w:i/>
          <w:color w:val="000000"/>
          <w:lang w:eastAsia="de-DE"/>
        </w:rPr>
        <w:t xml:space="preserve"> </w:t>
      </w:r>
      <w:r w:rsidRPr="005C75DE">
        <w:rPr>
          <w:color w:val="000000"/>
          <w:lang w:eastAsia="de-DE"/>
        </w:rPr>
        <w:t xml:space="preserve">citlivými k </w:t>
      </w:r>
      <w:proofErr w:type="spellStart"/>
      <w:r w:rsidRPr="005C75DE">
        <w:rPr>
          <w:color w:val="000000"/>
          <w:lang w:eastAsia="de-DE"/>
        </w:rPr>
        <w:t>tulathromycinu</w:t>
      </w:r>
      <w:proofErr w:type="spellEnd"/>
      <w:r w:rsidRPr="005C75DE">
        <w:rPr>
          <w:color w:val="000000"/>
          <w:lang w:eastAsia="de-DE"/>
        </w:rPr>
        <w:t>.</w:t>
      </w:r>
      <w:r w:rsidRPr="005C75DE">
        <w:t xml:space="preserve"> </w:t>
      </w:r>
      <w:r w:rsidRPr="005C75DE">
        <w:rPr>
          <w:color w:val="000000"/>
          <w:lang w:eastAsia="de-DE"/>
        </w:rPr>
        <w:t>Přítomnost onemocnění ve skupině musí být</w:t>
      </w:r>
    </w:p>
    <w:p w:rsidR="00D077DB" w:rsidRPr="005C75DE" w:rsidRDefault="00D077DB" w:rsidP="00D077DB">
      <w:pPr>
        <w:spacing w:after="5" w:line="264" w:lineRule="auto"/>
        <w:ind w:left="-4" w:hanging="10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stanovena před použitím přípravku. Přípravek by měl být použit pouze v případě, když se u prasat očekává propuknutí onemocnění během 2-3 dnů.  </w:t>
      </w:r>
    </w:p>
    <w:p w:rsidR="00D077DB" w:rsidRPr="005C75DE" w:rsidRDefault="00D077DB" w:rsidP="00D077DB">
      <w:pPr>
        <w:spacing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keepNext/>
        <w:keepLines/>
        <w:tabs>
          <w:tab w:val="center" w:pos="1307"/>
        </w:tabs>
        <w:spacing w:after="10" w:line="247" w:lineRule="auto"/>
        <w:ind w:left="-14"/>
        <w:outlineLvl w:val="2"/>
        <w:rPr>
          <w:b/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4.3 </w:t>
      </w:r>
      <w:r w:rsidRPr="005C75DE">
        <w:rPr>
          <w:b/>
          <w:color w:val="000000"/>
          <w:lang w:eastAsia="de-DE"/>
        </w:rPr>
        <w:tab/>
        <w:t xml:space="preserve">Kontraindikace </w:t>
      </w:r>
    </w:p>
    <w:p w:rsidR="00D077DB" w:rsidRPr="005C75DE" w:rsidRDefault="00D077DB" w:rsidP="00D077DB">
      <w:pPr>
        <w:spacing w:after="12"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" w:line="316" w:lineRule="auto"/>
        <w:ind w:left="-4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Nepoužívat v případech přecitlivělosti k </w:t>
      </w:r>
      <w:proofErr w:type="spellStart"/>
      <w:r w:rsidRPr="005C75DE">
        <w:rPr>
          <w:color w:val="000000"/>
          <w:lang w:eastAsia="de-DE"/>
        </w:rPr>
        <w:t>makrolidovým</w:t>
      </w:r>
      <w:proofErr w:type="spellEnd"/>
      <w:r w:rsidRPr="005C75DE">
        <w:rPr>
          <w:color w:val="000000"/>
          <w:lang w:eastAsia="de-DE"/>
        </w:rPr>
        <w:t xml:space="preserve"> antibiotikům nebo na některou z pomocných</w:t>
      </w:r>
    </w:p>
    <w:p w:rsidR="00D077DB" w:rsidRPr="005C75DE" w:rsidRDefault="00D077DB" w:rsidP="00D077DB">
      <w:pPr>
        <w:spacing w:after="52"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>látek.</w:t>
      </w:r>
    </w:p>
    <w:p w:rsidR="00D077DB" w:rsidRPr="005C75DE" w:rsidRDefault="00D077DB" w:rsidP="00D077DB">
      <w:pPr>
        <w:keepNext/>
        <w:tabs>
          <w:tab w:val="center" w:pos="2576"/>
        </w:tabs>
        <w:spacing w:after="3" w:line="264" w:lineRule="auto"/>
        <w:ind w:left="-14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4.4 </w:t>
      </w:r>
      <w:r w:rsidRPr="005C75DE">
        <w:rPr>
          <w:b/>
          <w:color w:val="000000"/>
          <w:lang w:eastAsia="de-DE"/>
        </w:rPr>
        <w:tab/>
        <w:t xml:space="preserve">Zvláštní upozornění pro každý cílový druh </w:t>
      </w:r>
    </w:p>
    <w:p w:rsidR="00D077DB" w:rsidRPr="005C75DE" w:rsidRDefault="00D077DB" w:rsidP="00D077DB">
      <w:pPr>
        <w:keepNext/>
        <w:spacing w:line="256" w:lineRule="auto"/>
        <w:rPr>
          <w:color w:val="000000"/>
          <w:lang w:eastAsia="de-DE"/>
        </w:rPr>
      </w:pPr>
    </w:p>
    <w:p w:rsidR="00D077DB" w:rsidRPr="005C75DE" w:rsidRDefault="00D077DB" w:rsidP="00D077DB">
      <w:pPr>
        <w:keepNext/>
        <w:spacing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Vyskytuje se zkřížená rezistence s jinými </w:t>
      </w:r>
      <w:proofErr w:type="spellStart"/>
      <w:r w:rsidRPr="005C75DE">
        <w:rPr>
          <w:color w:val="000000"/>
          <w:lang w:eastAsia="de-DE"/>
        </w:rPr>
        <w:t>makrolidy</w:t>
      </w:r>
      <w:proofErr w:type="spellEnd"/>
      <w:r w:rsidRPr="005C75DE">
        <w:rPr>
          <w:color w:val="000000"/>
          <w:lang w:eastAsia="de-DE"/>
        </w:rPr>
        <w:t xml:space="preserve">. Nepodávat současně s </w:t>
      </w:r>
      <w:proofErr w:type="spellStart"/>
      <w:r w:rsidRPr="005C75DE">
        <w:rPr>
          <w:color w:val="000000"/>
          <w:lang w:eastAsia="de-DE"/>
        </w:rPr>
        <w:t>antimikrobiky</w:t>
      </w:r>
      <w:proofErr w:type="spellEnd"/>
    </w:p>
    <w:p w:rsidR="00D077DB" w:rsidRPr="005C75DE" w:rsidRDefault="00D077DB" w:rsidP="00D077DB">
      <w:pPr>
        <w:keepNext/>
        <w:spacing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s podobným mechanizmem účinku, jako jsou ostatní </w:t>
      </w:r>
      <w:proofErr w:type="spellStart"/>
      <w:r w:rsidRPr="005C75DE">
        <w:rPr>
          <w:color w:val="000000"/>
          <w:lang w:eastAsia="de-DE"/>
        </w:rPr>
        <w:t>makrolidy</w:t>
      </w:r>
      <w:proofErr w:type="spellEnd"/>
      <w:r w:rsidRPr="005C75DE">
        <w:rPr>
          <w:color w:val="000000"/>
          <w:lang w:eastAsia="de-DE"/>
        </w:rPr>
        <w:t xml:space="preserve"> anebo </w:t>
      </w:r>
      <w:proofErr w:type="spellStart"/>
      <w:r w:rsidRPr="005C75DE">
        <w:rPr>
          <w:color w:val="000000"/>
          <w:lang w:eastAsia="de-DE"/>
        </w:rPr>
        <w:t>linkosamidy</w:t>
      </w:r>
      <w:proofErr w:type="spellEnd"/>
      <w:r w:rsidRPr="005C75DE">
        <w:rPr>
          <w:color w:val="000000"/>
          <w:lang w:eastAsia="de-DE"/>
        </w:rPr>
        <w:t xml:space="preserve">. </w:t>
      </w:r>
    </w:p>
    <w:p w:rsidR="00D077DB" w:rsidRPr="005C75DE" w:rsidRDefault="00D077DB" w:rsidP="00D077DB">
      <w:pPr>
        <w:spacing w:after="54" w:line="256" w:lineRule="auto"/>
        <w:rPr>
          <w:color w:val="000000"/>
          <w:lang w:eastAsia="de-DE"/>
        </w:rPr>
      </w:pPr>
    </w:p>
    <w:p w:rsidR="00D077DB" w:rsidRPr="005C75DE" w:rsidRDefault="00D077DB" w:rsidP="00D077DB">
      <w:pPr>
        <w:keepNext/>
        <w:keepLines/>
        <w:tabs>
          <w:tab w:val="center" w:pos="1921"/>
        </w:tabs>
        <w:spacing w:after="3" w:line="264" w:lineRule="auto"/>
        <w:ind w:left="-14"/>
        <w:outlineLvl w:val="2"/>
        <w:rPr>
          <w:b/>
          <w:color w:val="000000"/>
          <w:lang w:eastAsia="de-DE"/>
        </w:rPr>
      </w:pPr>
      <w:r w:rsidRPr="005C75DE">
        <w:rPr>
          <w:b/>
          <w:color w:val="000000"/>
          <w:lang w:eastAsia="de-DE"/>
        </w:rPr>
        <w:lastRenderedPageBreak/>
        <w:t xml:space="preserve">4.5 </w:t>
      </w:r>
      <w:r w:rsidRPr="005C75DE">
        <w:rPr>
          <w:b/>
          <w:color w:val="000000"/>
          <w:lang w:eastAsia="de-DE"/>
        </w:rPr>
        <w:tab/>
        <w:t>Zvláštní opatření pro použití</w:t>
      </w: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3"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-4" w:hanging="10"/>
        <w:rPr>
          <w:color w:val="000000"/>
          <w:lang w:eastAsia="de-DE"/>
        </w:rPr>
      </w:pPr>
      <w:r w:rsidRPr="005C75DE">
        <w:rPr>
          <w:color w:val="000000"/>
          <w:u w:val="single" w:color="000000"/>
          <w:lang w:eastAsia="de-DE"/>
        </w:rPr>
        <w:t>Zvláštní opatření pro použití u zvířat</w:t>
      </w: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4"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" w:line="264" w:lineRule="auto"/>
        <w:ind w:left="-4" w:hanging="10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Použití přípravku by mělo být založeno na kultivaci a stanovení citlivosti mikroorganizmů pocházejících z výskytů případů onemocnění na farmě. Pokud to není možné, je nutné založit terapii na místních (regionální, na úrovni farmy) </w:t>
      </w:r>
      <w:proofErr w:type="spellStart"/>
      <w:r w:rsidRPr="005C75DE">
        <w:rPr>
          <w:color w:val="000000"/>
          <w:lang w:eastAsia="de-DE"/>
        </w:rPr>
        <w:t>epizootologických</w:t>
      </w:r>
      <w:proofErr w:type="spellEnd"/>
      <w:r w:rsidRPr="005C75DE">
        <w:rPr>
          <w:color w:val="000000"/>
          <w:lang w:eastAsia="de-DE"/>
        </w:rPr>
        <w:t xml:space="preserve"> informacích o citlivosti cílové bakterie.</w:t>
      </w:r>
      <w:r w:rsidRPr="005C75DE">
        <w:t xml:space="preserve"> </w:t>
      </w:r>
      <w:r w:rsidRPr="005C75DE">
        <w:rPr>
          <w:color w:val="000000"/>
          <w:lang w:eastAsia="de-DE"/>
        </w:rPr>
        <w:t>Při použití přípravku je nutno vzít v úvahu oficiální a místní pravidla antibiotické politiky.</w:t>
      </w:r>
    </w:p>
    <w:p w:rsidR="00D077DB" w:rsidRPr="005C75DE" w:rsidRDefault="00D077DB" w:rsidP="00D077DB">
      <w:pPr>
        <w:spacing w:after="28" w:line="264" w:lineRule="auto"/>
        <w:ind w:left="-4" w:hanging="10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Použití přípravku, které je odlišné od pokynů uvedených v tomto souhrnu údajů o přípravku (SPC), může zvýšit prevalenci bakterií rezistentních k </w:t>
      </w:r>
      <w:proofErr w:type="spellStart"/>
      <w:r w:rsidRPr="005C75DE">
        <w:rPr>
          <w:color w:val="000000"/>
          <w:lang w:eastAsia="de-DE"/>
        </w:rPr>
        <w:t>tulathromycinu</w:t>
      </w:r>
      <w:proofErr w:type="spellEnd"/>
      <w:r w:rsidRPr="005C75DE">
        <w:rPr>
          <w:color w:val="000000"/>
          <w:lang w:eastAsia="de-DE"/>
        </w:rPr>
        <w:t xml:space="preserve"> a snížit účinnost léčby ostatními </w:t>
      </w:r>
      <w:proofErr w:type="spellStart"/>
      <w:r w:rsidRPr="005C75DE">
        <w:rPr>
          <w:color w:val="000000"/>
          <w:lang w:eastAsia="de-DE"/>
        </w:rPr>
        <w:t>makrolidy</w:t>
      </w:r>
      <w:proofErr w:type="spellEnd"/>
      <w:r w:rsidRPr="005C75DE">
        <w:rPr>
          <w:color w:val="000000"/>
          <w:lang w:eastAsia="de-DE"/>
        </w:rPr>
        <w:t xml:space="preserve">, </w:t>
      </w:r>
      <w:proofErr w:type="spellStart"/>
      <w:r w:rsidRPr="005C75DE">
        <w:rPr>
          <w:color w:val="000000"/>
          <w:lang w:eastAsia="de-DE"/>
        </w:rPr>
        <w:t>linkosamidy</w:t>
      </w:r>
      <w:proofErr w:type="spellEnd"/>
      <w:r w:rsidRPr="005C75DE">
        <w:rPr>
          <w:color w:val="000000"/>
          <w:lang w:eastAsia="de-DE"/>
        </w:rPr>
        <w:t xml:space="preserve"> a </w:t>
      </w:r>
      <w:proofErr w:type="spellStart"/>
      <w:r w:rsidRPr="005C75DE">
        <w:rPr>
          <w:color w:val="000000"/>
          <w:lang w:eastAsia="de-DE"/>
        </w:rPr>
        <w:t>streptograminy</w:t>
      </w:r>
      <w:proofErr w:type="spellEnd"/>
      <w:r w:rsidRPr="005C75DE">
        <w:rPr>
          <w:color w:val="000000"/>
          <w:lang w:eastAsia="de-DE"/>
        </w:rPr>
        <w:t xml:space="preserve"> skupiny B, z důvodu možné zkřížené rezistence. Pokud dojde k reakci přecitlivělosti, měla by být zahájena odpovídající léčba bez prodlení. </w:t>
      </w:r>
    </w:p>
    <w:p w:rsidR="00D077DB" w:rsidRPr="005C75DE" w:rsidRDefault="00D077DB" w:rsidP="00D077DB">
      <w:pPr>
        <w:spacing w:after="54"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C16605">
      <w:pPr>
        <w:keepNext/>
        <w:spacing w:line="256" w:lineRule="auto"/>
        <w:rPr>
          <w:color w:val="000000"/>
          <w:lang w:eastAsia="de-DE"/>
        </w:rPr>
      </w:pPr>
      <w:r w:rsidRPr="005C75DE">
        <w:rPr>
          <w:color w:val="000000"/>
          <w:u w:val="single" w:color="000000"/>
          <w:lang w:eastAsia="de-DE"/>
        </w:rPr>
        <w:t>Zvláštní opatření určené osobám, které podávají veterinární léčivý přípravek zvířatům</w:t>
      </w:r>
      <w:r w:rsidRPr="005C75DE">
        <w:rPr>
          <w:color w:val="000000"/>
          <w:lang w:eastAsia="de-DE"/>
        </w:rPr>
        <w:t xml:space="preserve">  </w:t>
      </w:r>
    </w:p>
    <w:p w:rsidR="00D077DB" w:rsidRPr="005C75DE" w:rsidRDefault="00D077DB" w:rsidP="00D077DB">
      <w:pPr>
        <w:spacing w:after="52"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" w:line="264" w:lineRule="auto"/>
        <w:ind w:left="-4" w:right="164" w:hanging="10"/>
        <w:rPr>
          <w:color w:val="000000"/>
          <w:lang w:eastAsia="de-DE"/>
        </w:rPr>
      </w:pPr>
      <w:proofErr w:type="spellStart"/>
      <w:r w:rsidRPr="005C75DE">
        <w:rPr>
          <w:color w:val="000000"/>
          <w:lang w:eastAsia="de-DE"/>
        </w:rPr>
        <w:t>Tulathromycin</w:t>
      </w:r>
      <w:proofErr w:type="spellEnd"/>
      <w:r w:rsidRPr="005C75DE">
        <w:rPr>
          <w:color w:val="000000"/>
          <w:lang w:eastAsia="de-DE"/>
        </w:rPr>
        <w:t xml:space="preserve"> dráždí oči. V případě náhodného kontaktu s očima je ihned vypláchněte čistou vodou.  </w:t>
      </w:r>
      <w:proofErr w:type="spellStart"/>
      <w:r w:rsidRPr="005C75DE">
        <w:rPr>
          <w:color w:val="000000"/>
          <w:lang w:eastAsia="de-DE"/>
        </w:rPr>
        <w:t>Tulathromycin</w:t>
      </w:r>
      <w:proofErr w:type="spellEnd"/>
      <w:r w:rsidRPr="005C75DE">
        <w:rPr>
          <w:color w:val="000000"/>
          <w:lang w:eastAsia="de-DE"/>
        </w:rPr>
        <w:t xml:space="preserve"> může způsobit senzibilizaci při kontaktu s pokožkou. V případě náhodného kontaktu s pokožkou je třeba okamžitě umýt pokožku mýdlem a vodou.  </w:t>
      </w:r>
    </w:p>
    <w:p w:rsidR="00D077DB" w:rsidRPr="005C75DE" w:rsidRDefault="00D077DB" w:rsidP="00D077DB">
      <w:pPr>
        <w:spacing w:after="5" w:line="264" w:lineRule="auto"/>
        <w:ind w:left="-4" w:right="164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Po použití si umyjte ruce.  </w:t>
      </w:r>
    </w:p>
    <w:p w:rsidR="00D077DB" w:rsidRPr="005C75DE" w:rsidRDefault="00D077DB" w:rsidP="00D077DB">
      <w:pPr>
        <w:spacing w:after="40" w:line="264" w:lineRule="auto"/>
        <w:ind w:left="-4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V případě náhodného sebepoškození injekčně aplikovaným přípravkem vyhledejte ihned lékařskou pomoc a ukažte příbalovou informaci nebo etiketu praktickému lékaři. </w:t>
      </w:r>
    </w:p>
    <w:p w:rsidR="00D077DB" w:rsidRPr="005C75DE" w:rsidRDefault="00D077DB" w:rsidP="00D077DB">
      <w:pPr>
        <w:spacing w:after="39"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keepNext/>
        <w:keepLines/>
        <w:tabs>
          <w:tab w:val="center" w:pos="2529"/>
        </w:tabs>
        <w:spacing w:after="3" w:line="264" w:lineRule="auto"/>
        <w:ind w:left="-14"/>
        <w:outlineLvl w:val="2"/>
        <w:rPr>
          <w:b/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4.6 </w:t>
      </w:r>
      <w:r w:rsidRPr="005C75DE">
        <w:rPr>
          <w:b/>
          <w:color w:val="000000"/>
          <w:lang w:eastAsia="de-DE"/>
        </w:rPr>
        <w:tab/>
        <w:t>Nežádoucí účinky (frekvence a závažnost)</w:t>
      </w: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" w:line="264" w:lineRule="auto"/>
        <w:ind w:left="-4" w:hanging="10"/>
        <w:rPr>
          <w:color w:val="000000"/>
          <w:lang w:eastAsia="de-DE"/>
        </w:rPr>
      </w:pPr>
      <w:proofErr w:type="spellStart"/>
      <w:r w:rsidRPr="005C75DE">
        <w:rPr>
          <w:color w:val="000000"/>
          <w:lang w:eastAsia="de-DE"/>
        </w:rPr>
        <w:t>Patomorfologické</w:t>
      </w:r>
      <w:proofErr w:type="spellEnd"/>
      <w:r w:rsidRPr="005C75DE">
        <w:rPr>
          <w:color w:val="000000"/>
          <w:lang w:eastAsia="de-DE"/>
        </w:rPr>
        <w:t xml:space="preserve"> reakce v místě injekčního podání (včetně vratných změn jako je překrvení, otok, fibróza a </w:t>
      </w:r>
      <w:proofErr w:type="spellStart"/>
      <w:r w:rsidRPr="005C75DE">
        <w:rPr>
          <w:color w:val="000000"/>
          <w:lang w:eastAsia="de-DE"/>
        </w:rPr>
        <w:t>krváceniny</w:t>
      </w:r>
      <w:proofErr w:type="spellEnd"/>
      <w:r w:rsidRPr="005C75DE">
        <w:rPr>
          <w:color w:val="000000"/>
          <w:lang w:eastAsia="de-DE"/>
        </w:rPr>
        <w:t xml:space="preserve">) jsou velmi časté přibližně 30 dní po aplikaci.  </w:t>
      </w:r>
    </w:p>
    <w:p w:rsidR="00D077DB" w:rsidRPr="005C75DE" w:rsidRDefault="00D077DB" w:rsidP="00D077DB">
      <w:pPr>
        <w:spacing w:after="53" w:line="256" w:lineRule="auto"/>
        <w:ind w:left="1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keepNext/>
        <w:keepLines/>
        <w:tabs>
          <w:tab w:val="center" w:pos="2803"/>
        </w:tabs>
        <w:spacing w:after="3" w:line="264" w:lineRule="auto"/>
        <w:ind w:left="-14"/>
        <w:outlineLvl w:val="2"/>
        <w:rPr>
          <w:b/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4.7 </w:t>
      </w:r>
      <w:r w:rsidRPr="005C75DE">
        <w:rPr>
          <w:b/>
          <w:color w:val="000000"/>
          <w:lang w:eastAsia="de-DE"/>
        </w:rPr>
        <w:tab/>
        <w:t xml:space="preserve">Použití v průběhu březosti, laktace nebo snášky </w:t>
      </w:r>
    </w:p>
    <w:p w:rsidR="00D077DB" w:rsidRPr="005C75DE" w:rsidRDefault="00D077DB" w:rsidP="00D077DB">
      <w:pPr>
        <w:spacing w:after="32"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" w:line="264" w:lineRule="auto"/>
        <w:ind w:left="-4" w:hanging="10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Laboratorní studie na potkanech a králících nepodaly důkaz o teratogenním, </w:t>
      </w:r>
      <w:proofErr w:type="spellStart"/>
      <w:r w:rsidRPr="005C75DE">
        <w:rPr>
          <w:color w:val="000000"/>
          <w:lang w:eastAsia="de-DE"/>
        </w:rPr>
        <w:t>fetotoxickém</w:t>
      </w:r>
      <w:proofErr w:type="spellEnd"/>
      <w:r w:rsidRPr="005C75DE">
        <w:rPr>
          <w:color w:val="000000"/>
          <w:lang w:eastAsia="de-DE"/>
        </w:rPr>
        <w:t xml:space="preserve"> účinku nebo </w:t>
      </w:r>
      <w:proofErr w:type="spellStart"/>
      <w:r w:rsidRPr="005C75DE">
        <w:rPr>
          <w:color w:val="000000"/>
          <w:lang w:eastAsia="de-DE"/>
        </w:rPr>
        <w:t>maternální</w:t>
      </w:r>
      <w:proofErr w:type="spellEnd"/>
      <w:r w:rsidRPr="005C75DE">
        <w:rPr>
          <w:color w:val="000000"/>
          <w:lang w:eastAsia="de-DE"/>
        </w:rPr>
        <w:t xml:space="preserve"> toxicitě. Nebyla stanovena bezpečnost veterinárního léčivého přípravku během březosti a laktace. Použít pouze po zvážení terapeutického prospěchu a rizika příslušným veterinárním lékařem. </w:t>
      </w:r>
    </w:p>
    <w:p w:rsidR="00D077DB" w:rsidRPr="005C75DE" w:rsidRDefault="00D077DB" w:rsidP="00D077DB">
      <w:pPr>
        <w:spacing w:after="61"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keepNext/>
        <w:keepLines/>
        <w:tabs>
          <w:tab w:val="center" w:pos="3495"/>
        </w:tabs>
        <w:spacing w:after="3" w:line="264" w:lineRule="auto"/>
        <w:ind w:left="-14"/>
        <w:outlineLvl w:val="2"/>
        <w:rPr>
          <w:b/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4.8 </w:t>
      </w:r>
      <w:r w:rsidRPr="005C75DE">
        <w:rPr>
          <w:b/>
          <w:color w:val="000000"/>
          <w:lang w:eastAsia="de-DE"/>
        </w:rPr>
        <w:tab/>
        <w:t>Interakce s dalšími léčivými přípravky a další formy interakce</w:t>
      </w: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C16605">
      <w:pPr>
        <w:spacing w:after="58" w:line="256" w:lineRule="auto"/>
        <w:ind w:left="1" w:hanging="15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>Nejsou známy.</w:t>
      </w:r>
    </w:p>
    <w:p w:rsidR="00D077DB" w:rsidRPr="005C75DE" w:rsidRDefault="00D077DB" w:rsidP="00D077DB">
      <w:pPr>
        <w:keepNext/>
        <w:keepLines/>
        <w:tabs>
          <w:tab w:val="center" w:pos="2268"/>
        </w:tabs>
        <w:spacing w:after="3" w:line="264" w:lineRule="auto"/>
        <w:ind w:left="-14"/>
        <w:outlineLvl w:val="2"/>
        <w:rPr>
          <w:b/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4.9 </w:t>
      </w:r>
      <w:r w:rsidRPr="005C75DE">
        <w:rPr>
          <w:b/>
          <w:color w:val="000000"/>
          <w:lang w:eastAsia="de-DE"/>
        </w:rPr>
        <w:tab/>
        <w:t xml:space="preserve">Podávané množství a způsob podání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C16605">
      <w:pPr>
        <w:spacing w:line="256" w:lineRule="auto"/>
        <w:ind w:left="1" w:hanging="15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>Intramuskulární podání.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</w:p>
    <w:p w:rsidR="00D077DB" w:rsidRPr="005C75DE" w:rsidRDefault="00D077DB" w:rsidP="00D077DB">
      <w:pPr>
        <w:spacing w:after="49" w:line="247" w:lineRule="auto"/>
        <w:ind w:left="-4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Jednorázové intramuskulární podání 2,5 mg </w:t>
      </w:r>
      <w:proofErr w:type="spellStart"/>
      <w:r w:rsidRPr="005C75DE">
        <w:rPr>
          <w:color w:val="000000"/>
          <w:lang w:eastAsia="de-DE"/>
        </w:rPr>
        <w:t>tulathromycinu</w:t>
      </w:r>
      <w:proofErr w:type="spellEnd"/>
      <w:r w:rsidRPr="005C75DE">
        <w:rPr>
          <w:color w:val="000000"/>
          <w:lang w:eastAsia="de-DE"/>
        </w:rPr>
        <w:t xml:space="preserve">/kg živé hmotnosti (což odpovídá 1 ml přípravku/10 kg živé hmotnosti) do oblasti krku.  </w:t>
      </w:r>
    </w:p>
    <w:p w:rsidR="00D077DB" w:rsidRPr="005C75DE" w:rsidRDefault="00D077DB" w:rsidP="00D077DB">
      <w:pPr>
        <w:spacing w:after="5" w:line="264" w:lineRule="auto"/>
        <w:ind w:left="-4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Při léčbě prasat nad 40 kg živé hmotnosti rozdělit dávku tak, aby na jedno místo nebylo aplikováno více jak 4 ml. 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" w:line="264" w:lineRule="auto"/>
        <w:ind w:left="-4" w:hanging="10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Při jakémkoliv respiračním onemocnění se doporučuje léčit zvířata v počátečních stádiích onemocnění a zhodnotit odpověď na léčbu za 48 hodin po podání. Pokud klinické příznaky respiračního onemocnění přetrvávají nebo se zhoršují nebo pokud dojde k recidivě, má být léčba změněna s použitím jiného antibiotika a je třeba s léčbou pokračovat až do vymizení klinických příznaků.  </w:t>
      </w:r>
    </w:p>
    <w:p w:rsidR="00D077DB" w:rsidRPr="005C75DE" w:rsidRDefault="00D077DB" w:rsidP="00D077DB">
      <w:pPr>
        <w:spacing w:after="41" w:line="256" w:lineRule="auto"/>
        <w:ind w:left="1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" w:line="264" w:lineRule="auto"/>
        <w:ind w:left="-4" w:hanging="10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lastRenderedPageBreak/>
        <w:t xml:space="preserve">K zajištění správného dávkování má být živá hmotnost stanovena co nejpřesněji, aby se předešlo </w:t>
      </w:r>
      <w:proofErr w:type="spellStart"/>
      <w:r w:rsidRPr="005C75DE">
        <w:rPr>
          <w:color w:val="000000"/>
          <w:lang w:eastAsia="de-DE"/>
        </w:rPr>
        <w:t>poddávkování</w:t>
      </w:r>
      <w:proofErr w:type="spellEnd"/>
      <w:r w:rsidRPr="005C75DE">
        <w:rPr>
          <w:color w:val="000000"/>
          <w:lang w:eastAsia="de-DE"/>
        </w:rPr>
        <w:t xml:space="preserve">. Zátku lze bezpečně propíchnout max. 100krát. Pro vícenásobné použití injekční lahvičky se doporučuje použití aspirační jehly nebo injekčního automatu, aby se předešlo nadměrnému propichování zátky.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keepNext/>
        <w:keepLines/>
        <w:spacing w:after="10" w:line="247" w:lineRule="auto"/>
        <w:ind w:left="-4" w:hanging="10"/>
        <w:outlineLvl w:val="2"/>
        <w:rPr>
          <w:b/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4.10 Předávkování (symptomy, první pomoc, </w:t>
      </w:r>
      <w:proofErr w:type="spellStart"/>
      <w:r w:rsidRPr="005C75DE">
        <w:rPr>
          <w:b/>
          <w:color w:val="000000"/>
          <w:lang w:eastAsia="de-DE"/>
        </w:rPr>
        <w:t>antidota</w:t>
      </w:r>
      <w:proofErr w:type="spellEnd"/>
      <w:r w:rsidRPr="005C75DE">
        <w:rPr>
          <w:b/>
          <w:color w:val="000000"/>
          <w:lang w:eastAsia="de-DE"/>
        </w:rPr>
        <w:t xml:space="preserve">), pokud je to nutné </w:t>
      </w:r>
    </w:p>
    <w:p w:rsidR="00D077DB" w:rsidRPr="005C75DE" w:rsidRDefault="00D077DB" w:rsidP="00D077DB">
      <w:pPr>
        <w:spacing w:after="51"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" w:line="264" w:lineRule="auto"/>
        <w:ind w:left="-4" w:hanging="10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U mladých prasat vážících přibližně 10 kg po podání </w:t>
      </w:r>
      <w:proofErr w:type="gramStart"/>
      <w:r w:rsidRPr="005C75DE">
        <w:rPr>
          <w:color w:val="000000"/>
          <w:lang w:eastAsia="de-DE"/>
        </w:rPr>
        <w:t>troj- nebo</w:t>
      </w:r>
      <w:proofErr w:type="gramEnd"/>
      <w:r w:rsidRPr="005C75DE">
        <w:rPr>
          <w:color w:val="000000"/>
          <w:lang w:eastAsia="de-DE"/>
        </w:rPr>
        <w:t xml:space="preserve"> pětinásobku léčebné dávky byly pozorovány přechodné příznaky spojené s </w:t>
      </w:r>
      <w:proofErr w:type="spellStart"/>
      <w:r w:rsidRPr="005C75DE">
        <w:rPr>
          <w:color w:val="000000"/>
          <w:lang w:eastAsia="de-DE"/>
        </w:rPr>
        <w:t>diskomfortem</w:t>
      </w:r>
      <w:proofErr w:type="spellEnd"/>
      <w:r w:rsidRPr="005C75DE">
        <w:rPr>
          <w:color w:val="000000"/>
          <w:lang w:eastAsia="de-DE"/>
        </w:rPr>
        <w:t xml:space="preserve"> v místě podání, nadměrnou vokalizaci a neklid. Taktéž bylo pozorováno kulhání, pokud byla místem aplikace pánevní končetina. 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 </w:t>
      </w:r>
      <w:r w:rsidRPr="005C75DE">
        <w:rPr>
          <w:color w:val="000000"/>
          <w:lang w:eastAsia="de-DE"/>
        </w:rPr>
        <w:tab/>
        <w:t xml:space="preserve"> </w:t>
      </w:r>
    </w:p>
    <w:p w:rsidR="00D077DB" w:rsidRPr="005C75DE" w:rsidRDefault="00D077DB" w:rsidP="00D077DB">
      <w:pPr>
        <w:spacing w:after="3" w:line="264" w:lineRule="auto"/>
        <w:ind w:left="-4" w:right="58" w:hanging="10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>4.11 Ochranná(é) lhůta(y)</w:t>
      </w: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13" w:line="247" w:lineRule="auto"/>
        <w:ind w:left="-4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Maso: 13 dní  </w:t>
      </w:r>
    </w:p>
    <w:p w:rsidR="00D077DB" w:rsidRPr="005C75DE" w:rsidRDefault="00D077DB" w:rsidP="00D077DB">
      <w:pPr>
        <w:spacing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keepNext/>
        <w:keepLines/>
        <w:tabs>
          <w:tab w:val="center" w:pos="2410"/>
        </w:tabs>
        <w:spacing w:after="10" w:line="247" w:lineRule="auto"/>
        <w:ind w:left="-14"/>
        <w:outlineLvl w:val="0"/>
        <w:rPr>
          <w:b/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5. </w:t>
      </w:r>
      <w:r w:rsidRPr="005C75DE">
        <w:rPr>
          <w:b/>
          <w:color w:val="000000"/>
          <w:lang w:eastAsia="de-DE"/>
        </w:rPr>
        <w:tab/>
        <w:t xml:space="preserve">FARMAKOLOGICKÉ VLASTNOSTI </w:t>
      </w:r>
    </w:p>
    <w:p w:rsidR="00D077DB" w:rsidRPr="005C75DE" w:rsidRDefault="00D077DB" w:rsidP="00D077DB">
      <w:pPr>
        <w:keepNext/>
        <w:spacing w:after="52"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keepNext/>
        <w:spacing w:after="5" w:line="264" w:lineRule="auto"/>
        <w:ind w:left="-4" w:right="426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Farmakoterapeutická skupina: antibakteriální léčiva pro systémovou aplikaci, </w:t>
      </w:r>
      <w:proofErr w:type="spellStart"/>
      <w:r w:rsidRPr="005C75DE">
        <w:rPr>
          <w:color w:val="000000"/>
          <w:lang w:eastAsia="de-DE"/>
        </w:rPr>
        <w:t>makrolidy</w:t>
      </w:r>
      <w:proofErr w:type="spellEnd"/>
      <w:r w:rsidRPr="005C75DE">
        <w:rPr>
          <w:color w:val="000000"/>
          <w:lang w:eastAsia="de-DE"/>
        </w:rPr>
        <w:t xml:space="preserve">.  </w:t>
      </w:r>
    </w:p>
    <w:p w:rsidR="00D077DB" w:rsidRPr="005C75DE" w:rsidRDefault="00D077DB" w:rsidP="00D077DB">
      <w:pPr>
        <w:keepNext/>
        <w:spacing w:after="5" w:line="264" w:lineRule="auto"/>
        <w:ind w:left="-4" w:right="426" w:hanging="10"/>
        <w:rPr>
          <w:color w:val="000000"/>
          <w:lang w:eastAsia="de-DE"/>
        </w:rPr>
      </w:pPr>
      <w:proofErr w:type="spellStart"/>
      <w:r w:rsidRPr="005C75DE">
        <w:rPr>
          <w:color w:val="000000"/>
          <w:lang w:eastAsia="de-DE"/>
        </w:rPr>
        <w:t>ATCvet</w:t>
      </w:r>
      <w:proofErr w:type="spellEnd"/>
      <w:r w:rsidRPr="005C75DE">
        <w:rPr>
          <w:color w:val="000000"/>
          <w:lang w:eastAsia="de-DE"/>
        </w:rPr>
        <w:t xml:space="preserve"> kód: QJ01FA94. </w:t>
      </w:r>
    </w:p>
    <w:p w:rsidR="00D077DB" w:rsidRPr="005C75DE" w:rsidRDefault="00D077DB" w:rsidP="00D077DB">
      <w:pPr>
        <w:spacing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keepNext/>
        <w:keepLines/>
        <w:tabs>
          <w:tab w:val="center" w:pos="1988"/>
        </w:tabs>
        <w:spacing w:after="10" w:line="247" w:lineRule="auto"/>
        <w:ind w:left="-14"/>
        <w:outlineLvl w:val="1"/>
        <w:rPr>
          <w:color w:val="000000"/>
          <w:shd w:val="clear" w:color="auto" w:fill="C1C2C2"/>
          <w:lang w:eastAsia="de-DE"/>
        </w:rPr>
      </w:pPr>
      <w:r w:rsidRPr="005C75DE">
        <w:rPr>
          <w:b/>
          <w:color w:val="000000"/>
          <w:lang w:eastAsia="de-DE"/>
        </w:rPr>
        <w:t xml:space="preserve">5.1 </w:t>
      </w:r>
      <w:r w:rsidRPr="005C75DE">
        <w:rPr>
          <w:b/>
          <w:color w:val="000000"/>
          <w:lang w:eastAsia="de-DE"/>
        </w:rPr>
        <w:tab/>
        <w:t xml:space="preserve">Farmakodynamické vlastnosti </w:t>
      </w:r>
    </w:p>
    <w:p w:rsidR="00D077DB" w:rsidRPr="005C75DE" w:rsidRDefault="00D077DB" w:rsidP="00D077DB">
      <w:pPr>
        <w:spacing w:line="256" w:lineRule="auto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" w:line="264" w:lineRule="auto"/>
        <w:ind w:left="-4" w:hanging="10"/>
        <w:jc w:val="both"/>
        <w:rPr>
          <w:color w:val="000000"/>
          <w:lang w:eastAsia="de-DE"/>
        </w:rPr>
      </w:pPr>
      <w:proofErr w:type="spellStart"/>
      <w:r w:rsidRPr="005C75DE">
        <w:rPr>
          <w:color w:val="000000"/>
          <w:lang w:eastAsia="de-DE"/>
        </w:rPr>
        <w:t>Tulathromycin</w:t>
      </w:r>
      <w:proofErr w:type="spellEnd"/>
      <w:r w:rsidRPr="005C75DE">
        <w:rPr>
          <w:color w:val="000000"/>
          <w:lang w:eastAsia="de-DE"/>
        </w:rPr>
        <w:t xml:space="preserve"> je </w:t>
      </w:r>
      <w:proofErr w:type="spellStart"/>
      <w:r w:rsidRPr="005C75DE">
        <w:rPr>
          <w:color w:val="000000"/>
          <w:lang w:eastAsia="de-DE"/>
        </w:rPr>
        <w:t>semisyntetická</w:t>
      </w:r>
      <w:proofErr w:type="spellEnd"/>
      <w:r w:rsidRPr="005C75DE">
        <w:rPr>
          <w:color w:val="000000"/>
          <w:lang w:eastAsia="de-DE"/>
        </w:rPr>
        <w:t xml:space="preserve"> </w:t>
      </w:r>
      <w:proofErr w:type="spellStart"/>
      <w:r w:rsidRPr="005C75DE">
        <w:rPr>
          <w:color w:val="000000"/>
          <w:lang w:eastAsia="de-DE"/>
        </w:rPr>
        <w:t>makrolidová</w:t>
      </w:r>
      <w:proofErr w:type="spellEnd"/>
      <w:r w:rsidRPr="005C75DE">
        <w:rPr>
          <w:color w:val="000000"/>
          <w:lang w:eastAsia="de-DE"/>
        </w:rPr>
        <w:t xml:space="preserve"> antimikrobiální látka, která pochází z fermentačního produktu. Odlišuje se od mnohých jiných </w:t>
      </w:r>
      <w:proofErr w:type="spellStart"/>
      <w:r w:rsidRPr="005C75DE">
        <w:rPr>
          <w:color w:val="000000"/>
          <w:lang w:eastAsia="de-DE"/>
        </w:rPr>
        <w:t>makrolidů</w:t>
      </w:r>
      <w:proofErr w:type="spellEnd"/>
      <w:r w:rsidRPr="005C75DE">
        <w:rPr>
          <w:color w:val="000000"/>
          <w:lang w:eastAsia="de-DE"/>
        </w:rPr>
        <w:t xml:space="preserve"> v tom, že má dlouhotrvající účinek, který je částečně způsoben jeho třemi aminovými skupinami; proto dostal chemické </w:t>
      </w:r>
      <w:proofErr w:type="spellStart"/>
      <w:r w:rsidRPr="005C75DE">
        <w:rPr>
          <w:color w:val="000000"/>
          <w:lang w:eastAsia="de-DE"/>
        </w:rPr>
        <w:t>podskupinové</w:t>
      </w:r>
      <w:proofErr w:type="spellEnd"/>
      <w:r w:rsidRPr="005C75DE">
        <w:rPr>
          <w:color w:val="000000"/>
          <w:lang w:eastAsia="de-DE"/>
        </w:rPr>
        <w:t xml:space="preserve"> označení </w:t>
      </w:r>
      <w:proofErr w:type="spellStart"/>
      <w:r w:rsidRPr="005C75DE">
        <w:rPr>
          <w:color w:val="000000"/>
          <w:lang w:eastAsia="de-DE"/>
        </w:rPr>
        <w:t>triamilid</w:t>
      </w:r>
      <w:proofErr w:type="spellEnd"/>
      <w:r w:rsidRPr="005C75DE">
        <w:rPr>
          <w:color w:val="000000"/>
          <w:lang w:eastAsia="de-DE"/>
        </w:rPr>
        <w:t xml:space="preserve">.  </w:t>
      </w:r>
    </w:p>
    <w:p w:rsidR="00D077DB" w:rsidRPr="005C75DE" w:rsidRDefault="00D077DB" w:rsidP="00D077DB">
      <w:pPr>
        <w:spacing w:line="256" w:lineRule="auto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" w:line="264" w:lineRule="auto"/>
        <w:ind w:left="-4" w:hanging="10"/>
        <w:jc w:val="both"/>
        <w:rPr>
          <w:color w:val="000000"/>
          <w:lang w:eastAsia="de-DE"/>
        </w:rPr>
      </w:pPr>
      <w:proofErr w:type="spellStart"/>
      <w:r w:rsidRPr="005C75DE">
        <w:rPr>
          <w:color w:val="000000"/>
          <w:lang w:eastAsia="de-DE"/>
        </w:rPr>
        <w:t>Makrolidy</w:t>
      </w:r>
      <w:proofErr w:type="spellEnd"/>
      <w:r w:rsidRPr="005C75DE">
        <w:rPr>
          <w:color w:val="000000"/>
          <w:lang w:eastAsia="de-DE"/>
        </w:rPr>
        <w:t xml:space="preserve"> jsou bakteriostaticky působící antibiotika inhibující nepostradatelnou biosyntézu bílkovin díky jejich schopnosti selektivně se vázat na bakteriální ribozomální RNA. Působí prostřednictvím stimulace disociace </w:t>
      </w:r>
      <w:proofErr w:type="spellStart"/>
      <w:r w:rsidRPr="005C75DE">
        <w:rPr>
          <w:color w:val="000000"/>
          <w:lang w:eastAsia="de-DE"/>
        </w:rPr>
        <w:t>peptidyl-tRNA</w:t>
      </w:r>
      <w:proofErr w:type="spellEnd"/>
      <w:r w:rsidRPr="005C75DE">
        <w:rPr>
          <w:color w:val="000000"/>
          <w:lang w:eastAsia="de-DE"/>
        </w:rPr>
        <w:t xml:space="preserve"> od ribozomu během procesu translokace. </w:t>
      </w:r>
    </w:p>
    <w:p w:rsidR="00D077DB" w:rsidRPr="005C75DE" w:rsidRDefault="00D077DB" w:rsidP="00D077DB">
      <w:pPr>
        <w:spacing w:line="256" w:lineRule="auto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" w:line="264" w:lineRule="auto"/>
        <w:ind w:left="-4" w:hanging="10"/>
        <w:jc w:val="both"/>
        <w:rPr>
          <w:color w:val="000000"/>
          <w:lang w:eastAsia="de-DE"/>
        </w:rPr>
      </w:pPr>
      <w:proofErr w:type="spellStart"/>
      <w:r w:rsidRPr="005C75DE">
        <w:rPr>
          <w:color w:val="000000"/>
          <w:lang w:eastAsia="de-DE"/>
        </w:rPr>
        <w:t>Tulathromycin</w:t>
      </w:r>
      <w:proofErr w:type="spellEnd"/>
      <w:r w:rsidRPr="005C75DE">
        <w:rPr>
          <w:color w:val="000000"/>
          <w:lang w:eastAsia="de-DE"/>
        </w:rPr>
        <w:t xml:space="preserve"> má </w:t>
      </w:r>
      <w:r w:rsidRPr="005C75DE">
        <w:rPr>
          <w:i/>
          <w:color w:val="000000"/>
          <w:lang w:eastAsia="de-DE"/>
        </w:rPr>
        <w:t xml:space="preserve">in vitro </w:t>
      </w:r>
      <w:r w:rsidRPr="005C75DE">
        <w:rPr>
          <w:color w:val="000000"/>
          <w:lang w:eastAsia="de-DE"/>
        </w:rPr>
        <w:t xml:space="preserve">účinnost proti </w:t>
      </w:r>
      <w:proofErr w:type="spellStart"/>
      <w:r w:rsidRPr="005C75DE">
        <w:rPr>
          <w:i/>
          <w:color w:val="000000"/>
          <w:lang w:eastAsia="de-DE"/>
        </w:rPr>
        <w:t>Actinobacillus</w:t>
      </w:r>
      <w:proofErr w:type="spellEnd"/>
      <w:r w:rsidRPr="005C75DE">
        <w:rPr>
          <w:i/>
          <w:color w:val="000000"/>
          <w:lang w:eastAsia="de-DE"/>
        </w:rPr>
        <w:t xml:space="preserve"> </w:t>
      </w:r>
      <w:proofErr w:type="spellStart"/>
      <w:r w:rsidRPr="005C75DE">
        <w:rPr>
          <w:i/>
          <w:color w:val="000000"/>
          <w:lang w:eastAsia="de-DE"/>
        </w:rPr>
        <w:t>pleuropneumoniae</w:t>
      </w:r>
      <w:proofErr w:type="spellEnd"/>
      <w:r w:rsidRPr="005C75DE">
        <w:rPr>
          <w:color w:val="000000"/>
          <w:lang w:eastAsia="de-DE"/>
        </w:rPr>
        <w:t xml:space="preserve">, </w:t>
      </w:r>
      <w:proofErr w:type="spellStart"/>
      <w:r w:rsidRPr="005C75DE">
        <w:rPr>
          <w:i/>
          <w:color w:val="000000"/>
          <w:lang w:eastAsia="de-DE"/>
        </w:rPr>
        <w:t>Pasteurella</w:t>
      </w:r>
      <w:proofErr w:type="spellEnd"/>
      <w:r w:rsidRPr="005C75DE">
        <w:rPr>
          <w:i/>
          <w:color w:val="000000"/>
          <w:lang w:eastAsia="de-DE"/>
        </w:rPr>
        <w:t xml:space="preserve"> </w:t>
      </w:r>
      <w:proofErr w:type="spellStart"/>
      <w:r w:rsidRPr="005C75DE">
        <w:rPr>
          <w:i/>
          <w:color w:val="000000"/>
          <w:lang w:eastAsia="de-DE"/>
        </w:rPr>
        <w:t>multocida</w:t>
      </w:r>
      <w:proofErr w:type="spellEnd"/>
      <w:r w:rsidRPr="005C75DE">
        <w:rPr>
          <w:i/>
          <w:color w:val="000000"/>
          <w:lang w:eastAsia="de-DE"/>
        </w:rPr>
        <w:t xml:space="preserve">, </w:t>
      </w:r>
      <w:proofErr w:type="spellStart"/>
      <w:r w:rsidRPr="005C75DE">
        <w:rPr>
          <w:i/>
          <w:color w:val="000000"/>
          <w:lang w:eastAsia="de-DE"/>
        </w:rPr>
        <w:t>Mycoplasma</w:t>
      </w:r>
      <w:proofErr w:type="spellEnd"/>
      <w:r w:rsidRPr="005C75DE">
        <w:rPr>
          <w:i/>
          <w:color w:val="000000"/>
          <w:lang w:eastAsia="de-DE"/>
        </w:rPr>
        <w:t xml:space="preserve"> </w:t>
      </w:r>
      <w:proofErr w:type="spellStart"/>
      <w:r w:rsidRPr="005C75DE">
        <w:rPr>
          <w:i/>
          <w:color w:val="000000"/>
          <w:lang w:eastAsia="de-DE"/>
        </w:rPr>
        <w:t>hyopneumoniae</w:t>
      </w:r>
      <w:proofErr w:type="spellEnd"/>
      <w:r w:rsidRPr="005C75DE">
        <w:rPr>
          <w:color w:val="000000"/>
          <w:lang w:eastAsia="de-DE"/>
        </w:rPr>
        <w:t xml:space="preserve">, </w:t>
      </w:r>
      <w:proofErr w:type="spellStart"/>
      <w:r w:rsidRPr="005C75DE">
        <w:rPr>
          <w:i/>
          <w:color w:val="000000"/>
          <w:lang w:eastAsia="de-DE"/>
        </w:rPr>
        <w:t>Haemophilus</w:t>
      </w:r>
      <w:proofErr w:type="spellEnd"/>
      <w:r w:rsidRPr="005C75DE">
        <w:rPr>
          <w:i/>
          <w:color w:val="000000"/>
          <w:lang w:eastAsia="de-DE"/>
        </w:rPr>
        <w:t xml:space="preserve"> </w:t>
      </w:r>
      <w:proofErr w:type="spellStart"/>
      <w:r w:rsidRPr="005C75DE">
        <w:rPr>
          <w:i/>
          <w:color w:val="000000"/>
          <w:lang w:eastAsia="de-DE"/>
        </w:rPr>
        <w:t>parasuis</w:t>
      </w:r>
      <w:proofErr w:type="spellEnd"/>
      <w:r w:rsidRPr="005C75DE">
        <w:rPr>
          <w:i/>
          <w:color w:val="000000"/>
          <w:lang w:eastAsia="de-DE"/>
        </w:rPr>
        <w:t xml:space="preserve"> </w:t>
      </w:r>
      <w:r w:rsidRPr="005C75DE">
        <w:rPr>
          <w:color w:val="000000"/>
          <w:lang w:eastAsia="de-DE"/>
        </w:rPr>
        <w:t xml:space="preserve">a </w:t>
      </w:r>
      <w:proofErr w:type="spellStart"/>
      <w:r w:rsidRPr="005C75DE">
        <w:rPr>
          <w:i/>
          <w:color w:val="000000"/>
          <w:lang w:eastAsia="de-DE"/>
        </w:rPr>
        <w:t>Bordetella</w:t>
      </w:r>
      <w:proofErr w:type="spellEnd"/>
      <w:r w:rsidRPr="005C75DE">
        <w:rPr>
          <w:i/>
          <w:color w:val="000000"/>
          <w:lang w:eastAsia="de-DE"/>
        </w:rPr>
        <w:t xml:space="preserve"> </w:t>
      </w:r>
      <w:proofErr w:type="spellStart"/>
      <w:r w:rsidRPr="005C75DE">
        <w:rPr>
          <w:i/>
          <w:color w:val="000000"/>
          <w:lang w:eastAsia="de-DE"/>
        </w:rPr>
        <w:t>bronchiseptica</w:t>
      </w:r>
      <w:proofErr w:type="spellEnd"/>
      <w:r w:rsidRPr="005C75DE">
        <w:rPr>
          <w:color w:val="000000"/>
          <w:lang w:eastAsia="de-DE"/>
        </w:rPr>
        <w:t xml:space="preserve">, bakteriálním patogenům nejčastěji spojovanými s respiračními onemocněními prasat. Zvýšené hodnoty minimální inhibiční koncentrace (MIC) byly zjištěny u některých izolátů </w:t>
      </w:r>
      <w:proofErr w:type="spellStart"/>
      <w:r w:rsidRPr="005C75DE">
        <w:rPr>
          <w:i/>
          <w:color w:val="000000"/>
          <w:lang w:eastAsia="de-DE"/>
        </w:rPr>
        <w:t>Actinobacillus</w:t>
      </w:r>
      <w:proofErr w:type="spellEnd"/>
      <w:r w:rsidRPr="005C75DE">
        <w:rPr>
          <w:i/>
          <w:color w:val="000000"/>
          <w:lang w:eastAsia="de-DE"/>
        </w:rPr>
        <w:t xml:space="preserve"> </w:t>
      </w:r>
      <w:proofErr w:type="spellStart"/>
      <w:r w:rsidRPr="005C75DE">
        <w:rPr>
          <w:i/>
          <w:color w:val="000000"/>
          <w:lang w:eastAsia="de-DE"/>
        </w:rPr>
        <w:t>pleuropneumoniae</w:t>
      </w:r>
      <w:proofErr w:type="spellEnd"/>
      <w:r w:rsidRPr="005C75DE">
        <w:rPr>
          <w:color w:val="000000"/>
          <w:lang w:eastAsia="de-DE"/>
        </w:rPr>
        <w:t xml:space="preserve">.  </w:t>
      </w:r>
    </w:p>
    <w:p w:rsidR="00D077DB" w:rsidRPr="005C75DE" w:rsidRDefault="00D077DB" w:rsidP="00D077DB">
      <w:pPr>
        <w:spacing w:after="37" w:line="256" w:lineRule="auto"/>
        <w:jc w:val="both"/>
        <w:rPr>
          <w:color w:val="000000"/>
          <w:lang w:eastAsia="de-DE"/>
        </w:rPr>
      </w:pPr>
      <w:proofErr w:type="spellStart"/>
      <w:r w:rsidRPr="005C75DE">
        <w:rPr>
          <w:color w:val="000000"/>
          <w:lang w:eastAsia="de-DE"/>
        </w:rPr>
        <w:t>Clinical</w:t>
      </w:r>
      <w:proofErr w:type="spellEnd"/>
      <w:r w:rsidRPr="005C75DE">
        <w:rPr>
          <w:color w:val="000000"/>
          <w:lang w:eastAsia="de-DE"/>
        </w:rPr>
        <w:t xml:space="preserve"> and </w:t>
      </w:r>
      <w:proofErr w:type="spellStart"/>
      <w:r w:rsidRPr="005C75DE">
        <w:rPr>
          <w:color w:val="000000"/>
          <w:lang w:eastAsia="de-DE"/>
        </w:rPr>
        <w:t>Laboratory</w:t>
      </w:r>
      <w:proofErr w:type="spellEnd"/>
      <w:r w:rsidRPr="005C75DE">
        <w:rPr>
          <w:color w:val="000000"/>
          <w:lang w:eastAsia="de-DE"/>
        </w:rPr>
        <w:t xml:space="preserve"> </w:t>
      </w:r>
      <w:proofErr w:type="spellStart"/>
      <w:r w:rsidRPr="005C75DE">
        <w:rPr>
          <w:color w:val="000000"/>
          <w:lang w:eastAsia="de-DE"/>
        </w:rPr>
        <w:t>Standards</w:t>
      </w:r>
      <w:proofErr w:type="spellEnd"/>
      <w:r w:rsidRPr="005C75DE">
        <w:rPr>
          <w:color w:val="000000"/>
          <w:lang w:eastAsia="de-DE"/>
        </w:rPr>
        <w:t xml:space="preserve"> Institute (CLSI) stanovil klinické hraniční hodnoty </w:t>
      </w:r>
      <w:proofErr w:type="spellStart"/>
      <w:r w:rsidRPr="005C75DE">
        <w:rPr>
          <w:color w:val="000000"/>
          <w:lang w:eastAsia="de-DE"/>
        </w:rPr>
        <w:t>tulathromycinu</w:t>
      </w:r>
      <w:proofErr w:type="spellEnd"/>
    </w:p>
    <w:p w:rsidR="00D077DB" w:rsidRPr="005C75DE" w:rsidRDefault="00D077DB" w:rsidP="00D077DB">
      <w:pPr>
        <w:spacing w:after="37" w:line="256" w:lineRule="auto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proti </w:t>
      </w:r>
      <w:r w:rsidRPr="005C75DE">
        <w:rPr>
          <w:i/>
          <w:iCs/>
          <w:color w:val="000000"/>
          <w:lang w:eastAsia="de-DE"/>
        </w:rPr>
        <w:t xml:space="preserve">P. </w:t>
      </w:r>
      <w:proofErr w:type="spellStart"/>
      <w:r w:rsidRPr="005C75DE">
        <w:rPr>
          <w:i/>
          <w:iCs/>
          <w:color w:val="000000"/>
          <w:lang w:eastAsia="de-DE"/>
        </w:rPr>
        <w:t>multocida</w:t>
      </w:r>
      <w:proofErr w:type="spellEnd"/>
      <w:r w:rsidRPr="005C75DE">
        <w:rPr>
          <w:color w:val="000000"/>
          <w:lang w:eastAsia="de-DE"/>
        </w:rPr>
        <w:t xml:space="preserve"> a </w:t>
      </w:r>
      <w:r w:rsidRPr="005C75DE">
        <w:rPr>
          <w:i/>
          <w:iCs/>
          <w:color w:val="000000"/>
          <w:lang w:eastAsia="de-DE"/>
        </w:rPr>
        <w:t xml:space="preserve">B. </w:t>
      </w:r>
      <w:proofErr w:type="spellStart"/>
      <w:r w:rsidRPr="005C75DE">
        <w:rPr>
          <w:i/>
          <w:iCs/>
          <w:color w:val="000000"/>
          <w:lang w:eastAsia="de-DE"/>
        </w:rPr>
        <w:t>bronchiseptica</w:t>
      </w:r>
      <w:proofErr w:type="spellEnd"/>
      <w:r w:rsidRPr="005C75DE">
        <w:rPr>
          <w:color w:val="000000"/>
          <w:lang w:eastAsia="de-DE"/>
        </w:rPr>
        <w:t xml:space="preserve"> prasečího respiratorního původu takto: ≤ 16 </w:t>
      </w:r>
      <w:proofErr w:type="spellStart"/>
      <w:r w:rsidRPr="005C75DE">
        <w:rPr>
          <w:color w:val="000000"/>
          <w:lang w:eastAsia="de-DE"/>
        </w:rPr>
        <w:t>μg</w:t>
      </w:r>
      <w:proofErr w:type="spellEnd"/>
      <w:r w:rsidRPr="005C75DE">
        <w:rPr>
          <w:color w:val="000000"/>
          <w:lang w:eastAsia="de-DE"/>
        </w:rPr>
        <w:t>/ml citlivé a ≥ 64</w:t>
      </w:r>
    </w:p>
    <w:p w:rsidR="00D077DB" w:rsidRPr="005C75DE" w:rsidRDefault="00D077DB" w:rsidP="00D077DB">
      <w:pPr>
        <w:spacing w:after="37" w:line="256" w:lineRule="auto"/>
        <w:jc w:val="both"/>
        <w:rPr>
          <w:color w:val="000000"/>
          <w:lang w:eastAsia="de-DE"/>
        </w:rPr>
      </w:pPr>
      <w:proofErr w:type="spellStart"/>
      <w:r w:rsidRPr="005C75DE">
        <w:rPr>
          <w:color w:val="000000"/>
          <w:lang w:eastAsia="de-DE"/>
        </w:rPr>
        <w:t>μg</w:t>
      </w:r>
      <w:proofErr w:type="spellEnd"/>
      <w:r w:rsidRPr="005C75DE">
        <w:rPr>
          <w:color w:val="000000"/>
          <w:lang w:eastAsia="de-DE"/>
        </w:rPr>
        <w:t xml:space="preserve">/ml rezistentní. Pro </w:t>
      </w:r>
      <w:r w:rsidRPr="005C75DE">
        <w:rPr>
          <w:i/>
          <w:iCs/>
          <w:color w:val="000000"/>
          <w:lang w:eastAsia="de-DE"/>
        </w:rPr>
        <w:t xml:space="preserve">A. </w:t>
      </w:r>
      <w:proofErr w:type="spellStart"/>
      <w:r w:rsidRPr="005C75DE">
        <w:rPr>
          <w:i/>
          <w:iCs/>
          <w:color w:val="000000"/>
          <w:lang w:eastAsia="de-DE"/>
        </w:rPr>
        <w:t>pleuropneumoniae</w:t>
      </w:r>
      <w:proofErr w:type="spellEnd"/>
      <w:r w:rsidRPr="005C75DE">
        <w:rPr>
          <w:color w:val="000000"/>
          <w:lang w:eastAsia="de-DE"/>
        </w:rPr>
        <w:t xml:space="preserve"> prasečího respiratorního původu byla stanovena hraniční</w:t>
      </w:r>
    </w:p>
    <w:p w:rsidR="00C16605" w:rsidRDefault="00D077DB" w:rsidP="00D077DB">
      <w:pPr>
        <w:spacing w:after="37" w:line="256" w:lineRule="auto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hodnota citlivosti ≤ 64 </w:t>
      </w:r>
      <w:proofErr w:type="spellStart"/>
      <w:r w:rsidRPr="005C75DE">
        <w:rPr>
          <w:color w:val="000000"/>
          <w:lang w:eastAsia="de-DE"/>
        </w:rPr>
        <w:t>μg</w:t>
      </w:r>
      <w:proofErr w:type="spellEnd"/>
      <w:r w:rsidRPr="005C75DE">
        <w:rPr>
          <w:color w:val="000000"/>
          <w:lang w:eastAsia="de-DE"/>
        </w:rPr>
        <w:t xml:space="preserve">/ml. CLSI také zveřejnil klinické hraniční hodnoty pro </w:t>
      </w:r>
      <w:proofErr w:type="spellStart"/>
      <w:r w:rsidRPr="005C75DE">
        <w:rPr>
          <w:color w:val="000000"/>
          <w:lang w:eastAsia="de-DE"/>
        </w:rPr>
        <w:t>tulathromycin</w:t>
      </w:r>
      <w:proofErr w:type="spellEnd"/>
      <w:r w:rsidRPr="005C75DE">
        <w:rPr>
          <w:color w:val="000000"/>
          <w:lang w:eastAsia="de-DE"/>
        </w:rPr>
        <w:t xml:space="preserve"> založené </w:t>
      </w:r>
    </w:p>
    <w:p w:rsidR="00C16605" w:rsidRDefault="00D077DB" w:rsidP="00D077DB">
      <w:pPr>
        <w:spacing w:after="37" w:line="256" w:lineRule="auto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na diskové difúzní metodě (CLSI dokument VET08, 4. vyd., 2018). Pro </w:t>
      </w:r>
      <w:r w:rsidRPr="005C75DE">
        <w:rPr>
          <w:i/>
          <w:iCs/>
          <w:color w:val="000000"/>
          <w:lang w:eastAsia="de-DE"/>
        </w:rPr>
        <w:t xml:space="preserve">H. </w:t>
      </w:r>
      <w:proofErr w:type="spellStart"/>
      <w:r w:rsidRPr="005C75DE">
        <w:rPr>
          <w:i/>
          <w:iCs/>
          <w:color w:val="000000"/>
          <w:lang w:eastAsia="de-DE"/>
        </w:rPr>
        <w:t>parasuis</w:t>
      </w:r>
      <w:proofErr w:type="spellEnd"/>
      <w:r w:rsidRPr="005C75DE">
        <w:rPr>
          <w:color w:val="000000"/>
          <w:lang w:eastAsia="de-DE"/>
        </w:rPr>
        <w:t xml:space="preserve"> nejsou klinické </w:t>
      </w:r>
    </w:p>
    <w:p w:rsidR="00C16605" w:rsidRDefault="00D077DB" w:rsidP="00D077DB">
      <w:pPr>
        <w:spacing w:after="37" w:line="256" w:lineRule="auto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hraniční hodnoty k dispozici. EUCAST ani CLSI nevytvořily standardní metody pro testování účinnosti </w:t>
      </w:r>
    </w:p>
    <w:p w:rsidR="00C16605" w:rsidRDefault="00D077DB" w:rsidP="00D077DB">
      <w:pPr>
        <w:spacing w:after="37" w:line="256" w:lineRule="auto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antibakteriálních látek proti veterinárním druhům bakterií rodu </w:t>
      </w:r>
      <w:proofErr w:type="spellStart"/>
      <w:r w:rsidRPr="005C75DE">
        <w:rPr>
          <w:i/>
          <w:iCs/>
          <w:color w:val="000000"/>
          <w:lang w:eastAsia="de-DE"/>
        </w:rPr>
        <w:t>Mycoplasma</w:t>
      </w:r>
      <w:proofErr w:type="spellEnd"/>
      <w:r w:rsidRPr="005C75DE">
        <w:rPr>
          <w:color w:val="000000"/>
          <w:lang w:eastAsia="de-DE"/>
        </w:rPr>
        <w:t xml:space="preserve">, a proto nebyla stanovena </w:t>
      </w:r>
    </w:p>
    <w:p w:rsidR="00D077DB" w:rsidRPr="005C75DE" w:rsidRDefault="00D077DB" w:rsidP="00D077DB">
      <w:pPr>
        <w:spacing w:after="37" w:line="256" w:lineRule="auto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žádná interpretační kritéria </w:t>
      </w:r>
    </w:p>
    <w:p w:rsidR="00D077DB" w:rsidRPr="005C75DE" w:rsidRDefault="00D077DB" w:rsidP="00D077DB">
      <w:pPr>
        <w:spacing w:after="5" w:line="264" w:lineRule="auto"/>
        <w:ind w:left="-4" w:hanging="10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Rezistence na </w:t>
      </w:r>
      <w:proofErr w:type="spellStart"/>
      <w:r w:rsidRPr="005C75DE">
        <w:rPr>
          <w:color w:val="000000"/>
          <w:lang w:eastAsia="de-DE"/>
        </w:rPr>
        <w:t>makrolidy</w:t>
      </w:r>
      <w:proofErr w:type="spellEnd"/>
      <w:r w:rsidRPr="005C75DE">
        <w:rPr>
          <w:color w:val="000000"/>
          <w:lang w:eastAsia="de-DE"/>
        </w:rPr>
        <w:t xml:space="preserve"> se může vyvinout mutacemi genů, které kódují ribozomální RNA (</w:t>
      </w:r>
      <w:proofErr w:type="spellStart"/>
      <w:r w:rsidRPr="005C75DE">
        <w:rPr>
          <w:color w:val="000000"/>
          <w:lang w:eastAsia="de-DE"/>
        </w:rPr>
        <w:t>rRNA</w:t>
      </w:r>
      <w:proofErr w:type="spellEnd"/>
      <w:r w:rsidRPr="005C75DE">
        <w:rPr>
          <w:color w:val="000000"/>
          <w:lang w:eastAsia="de-DE"/>
        </w:rPr>
        <w:t xml:space="preserve">), nebo některých ribozomálních proteinů; enzymatickou modifikací (metylací) cílového místa </w:t>
      </w:r>
      <w:proofErr w:type="gramStart"/>
      <w:r w:rsidRPr="005C75DE">
        <w:rPr>
          <w:color w:val="000000"/>
          <w:lang w:eastAsia="de-DE"/>
        </w:rPr>
        <w:t>23S</w:t>
      </w:r>
      <w:proofErr w:type="gramEnd"/>
      <w:r w:rsidRPr="005C75DE">
        <w:rPr>
          <w:color w:val="000000"/>
          <w:lang w:eastAsia="de-DE"/>
        </w:rPr>
        <w:t xml:space="preserve"> </w:t>
      </w:r>
      <w:proofErr w:type="spellStart"/>
      <w:r w:rsidRPr="005C75DE">
        <w:rPr>
          <w:color w:val="000000"/>
          <w:lang w:eastAsia="de-DE"/>
        </w:rPr>
        <w:t>rRNA</w:t>
      </w:r>
      <w:proofErr w:type="spellEnd"/>
      <w:r w:rsidRPr="005C75DE">
        <w:rPr>
          <w:color w:val="000000"/>
          <w:lang w:eastAsia="de-DE"/>
        </w:rPr>
        <w:t xml:space="preserve">, obvykle se tím zvyšuje zkřížená rezistence s </w:t>
      </w:r>
      <w:proofErr w:type="spellStart"/>
      <w:r w:rsidRPr="005C75DE">
        <w:rPr>
          <w:color w:val="000000"/>
          <w:lang w:eastAsia="de-DE"/>
        </w:rPr>
        <w:t>linkosamidy</w:t>
      </w:r>
      <w:proofErr w:type="spellEnd"/>
      <w:r w:rsidRPr="005C75DE">
        <w:rPr>
          <w:color w:val="000000"/>
          <w:lang w:eastAsia="de-DE"/>
        </w:rPr>
        <w:t xml:space="preserve"> a </w:t>
      </w:r>
      <w:proofErr w:type="spellStart"/>
      <w:r w:rsidRPr="005C75DE">
        <w:rPr>
          <w:color w:val="000000"/>
          <w:lang w:eastAsia="de-DE"/>
        </w:rPr>
        <w:t>streptograminy</w:t>
      </w:r>
      <w:proofErr w:type="spellEnd"/>
      <w:r w:rsidRPr="005C75DE">
        <w:rPr>
          <w:color w:val="000000"/>
          <w:lang w:eastAsia="de-DE"/>
        </w:rPr>
        <w:t xml:space="preserve"> skupiny B (MLS</w:t>
      </w:r>
      <w:r w:rsidRPr="005C75DE">
        <w:rPr>
          <w:color w:val="000000"/>
          <w:vertAlign w:val="subscript"/>
          <w:lang w:eastAsia="de-DE"/>
        </w:rPr>
        <w:t xml:space="preserve">B </w:t>
      </w:r>
      <w:r w:rsidRPr="005C75DE">
        <w:rPr>
          <w:color w:val="000000"/>
          <w:lang w:eastAsia="de-DE"/>
        </w:rPr>
        <w:t xml:space="preserve">rezistence); nebo enzymatickou inaktivací, a nebo </w:t>
      </w:r>
      <w:proofErr w:type="spellStart"/>
      <w:r w:rsidRPr="005C75DE">
        <w:rPr>
          <w:color w:val="000000"/>
          <w:lang w:eastAsia="de-DE"/>
        </w:rPr>
        <w:t>efluxem</w:t>
      </w:r>
      <w:proofErr w:type="spellEnd"/>
      <w:r w:rsidRPr="005C75DE">
        <w:rPr>
          <w:color w:val="000000"/>
          <w:lang w:eastAsia="de-DE"/>
        </w:rPr>
        <w:t xml:space="preserve"> </w:t>
      </w:r>
      <w:proofErr w:type="spellStart"/>
      <w:r w:rsidRPr="005C75DE">
        <w:rPr>
          <w:color w:val="000000"/>
          <w:lang w:eastAsia="de-DE"/>
        </w:rPr>
        <w:t>makrolidů</w:t>
      </w:r>
      <w:proofErr w:type="spellEnd"/>
      <w:r w:rsidRPr="005C75DE">
        <w:rPr>
          <w:color w:val="000000"/>
          <w:lang w:eastAsia="de-DE"/>
        </w:rPr>
        <w:t>. MLS</w:t>
      </w:r>
      <w:r w:rsidRPr="005C75DE">
        <w:rPr>
          <w:color w:val="000000"/>
          <w:vertAlign w:val="subscript"/>
          <w:lang w:eastAsia="de-DE"/>
        </w:rPr>
        <w:t xml:space="preserve">B </w:t>
      </w:r>
      <w:r w:rsidRPr="005C75DE">
        <w:rPr>
          <w:color w:val="000000"/>
          <w:lang w:eastAsia="de-DE"/>
        </w:rPr>
        <w:t xml:space="preserve">rezistence může být konstitutivní nebo </w:t>
      </w:r>
      <w:proofErr w:type="spellStart"/>
      <w:r w:rsidRPr="005C75DE">
        <w:rPr>
          <w:color w:val="000000"/>
          <w:lang w:eastAsia="de-DE"/>
        </w:rPr>
        <w:t>inducibilní</w:t>
      </w:r>
      <w:proofErr w:type="spellEnd"/>
      <w:r w:rsidRPr="005C75DE">
        <w:rPr>
          <w:color w:val="000000"/>
          <w:lang w:eastAsia="de-DE"/>
        </w:rPr>
        <w:t xml:space="preserve">. Rezistence může být chromozomální nebo kódována </w:t>
      </w:r>
      <w:proofErr w:type="spellStart"/>
      <w:r w:rsidRPr="005C75DE">
        <w:rPr>
          <w:color w:val="000000"/>
          <w:lang w:eastAsia="de-DE"/>
        </w:rPr>
        <w:t>plazmidem</w:t>
      </w:r>
      <w:proofErr w:type="spellEnd"/>
      <w:r w:rsidRPr="005C75DE">
        <w:rPr>
          <w:color w:val="000000"/>
          <w:lang w:eastAsia="de-DE"/>
        </w:rPr>
        <w:t xml:space="preserve"> a může být přenosná, pokud je spojena s </w:t>
      </w:r>
      <w:proofErr w:type="spellStart"/>
      <w:r w:rsidRPr="005C75DE">
        <w:rPr>
          <w:color w:val="000000"/>
          <w:lang w:eastAsia="de-DE"/>
        </w:rPr>
        <w:t>transpozony</w:t>
      </w:r>
      <w:proofErr w:type="spellEnd"/>
      <w:r w:rsidRPr="005C75DE">
        <w:rPr>
          <w:color w:val="000000"/>
          <w:lang w:eastAsia="de-DE"/>
        </w:rPr>
        <w:t xml:space="preserve">, </w:t>
      </w:r>
      <w:proofErr w:type="spellStart"/>
      <w:r w:rsidRPr="005C75DE">
        <w:rPr>
          <w:color w:val="000000"/>
          <w:lang w:eastAsia="de-DE"/>
        </w:rPr>
        <w:t>plazmidy</w:t>
      </w:r>
      <w:proofErr w:type="spellEnd"/>
      <w:r w:rsidRPr="005C75DE">
        <w:rPr>
          <w:color w:val="000000"/>
          <w:lang w:eastAsia="de-DE"/>
        </w:rPr>
        <w:t xml:space="preserve">, integračními a konjugačními elementy. Navíc plasticitu genomu </w:t>
      </w:r>
      <w:proofErr w:type="spellStart"/>
      <w:r w:rsidRPr="005C75DE">
        <w:rPr>
          <w:i/>
          <w:iCs/>
          <w:color w:val="000000"/>
          <w:lang w:eastAsia="de-DE"/>
        </w:rPr>
        <w:t>Mycoplasma</w:t>
      </w:r>
      <w:proofErr w:type="spellEnd"/>
      <w:r w:rsidRPr="005C75DE">
        <w:rPr>
          <w:color w:val="000000"/>
          <w:lang w:eastAsia="de-DE"/>
        </w:rPr>
        <w:t xml:space="preserve"> zvyšuje horizontální transfer velkých fragmentů chromozomů.  </w:t>
      </w:r>
    </w:p>
    <w:p w:rsidR="00D077DB" w:rsidRPr="005C75DE" w:rsidRDefault="00D077DB" w:rsidP="00D077DB">
      <w:pPr>
        <w:spacing w:after="32" w:line="256" w:lineRule="auto"/>
        <w:ind w:left="1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lastRenderedPageBreak/>
        <w:t xml:space="preserve"> </w:t>
      </w:r>
    </w:p>
    <w:p w:rsidR="00D077DB" w:rsidRPr="005C75DE" w:rsidRDefault="00D077DB" w:rsidP="00D077DB">
      <w:pPr>
        <w:spacing w:after="5" w:line="264" w:lineRule="auto"/>
        <w:ind w:left="-4" w:hanging="10"/>
        <w:jc w:val="both"/>
        <w:rPr>
          <w:color w:val="000000"/>
          <w:lang w:eastAsia="de-DE"/>
        </w:rPr>
      </w:pPr>
      <w:proofErr w:type="spellStart"/>
      <w:r w:rsidRPr="005C75DE">
        <w:rPr>
          <w:color w:val="000000"/>
          <w:lang w:eastAsia="de-DE"/>
        </w:rPr>
        <w:t>Tulathromycin</w:t>
      </w:r>
      <w:proofErr w:type="spellEnd"/>
      <w:r w:rsidRPr="005C75DE">
        <w:rPr>
          <w:color w:val="000000"/>
          <w:lang w:eastAsia="de-DE"/>
        </w:rPr>
        <w:t xml:space="preserve"> kromě svých antimikrobiálních vlastností vykazuje v pokusných studiích </w:t>
      </w:r>
      <w:proofErr w:type="spellStart"/>
      <w:r w:rsidRPr="005C75DE">
        <w:rPr>
          <w:color w:val="000000"/>
          <w:lang w:eastAsia="de-DE"/>
        </w:rPr>
        <w:t>imunomodulační</w:t>
      </w:r>
      <w:proofErr w:type="spellEnd"/>
      <w:r w:rsidRPr="005C75DE">
        <w:rPr>
          <w:color w:val="000000"/>
          <w:lang w:eastAsia="de-DE"/>
        </w:rPr>
        <w:t xml:space="preserve"> a protizánětlivý účinek. </w:t>
      </w:r>
      <w:proofErr w:type="spellStart"/>
      <w:r w:rsidRPr="005C75DE">
        <w:rPr>
          <w:color w:val="000000"/>
          <w:lang w:eastAsia="de-DE"/>
        </w:rPr>
        <w:t>Tulathromycin</w:t>
      </w:r>
      <w:proofErr w:type="spellEnd"/>
      <w:r w:rsidRPr="005C75DE">
        <w:rPr>
          <w:color w:val="000000"/>
          <w:lang w:eastAsia="de-DE"/>
        </w:rPr>
        <w:t xml:space="preserve"> spouští </w:t>
      </w:r>
      <w:proofErr w:type="spellStart"/>
      <w:r w:rsidRPr="005C75DE">
        <w:rPr>
          <w:color w:val="000000"/>
          <w:lang w:eastAsia="de-DE"/>
        </w:rPr>
        <w:t>apoptózu</w:t>
      </w:r>
      <w:proofErr w:type="spellEnd"/>
      <w:r w:rsidRPr="005C75DE">
        <w:rPr>
          <w:color w:val="000000"/>
          <w:lang w:eastAsia="de-DE"/>
        </w:rPr>
        <w:t xml:space="preserve"> (programovanou buněčnou smrt) v </w:t>
      </w:r>
      <w:proofErr w:type="spellStart"/>
      <w:r w:rsidRPr="005C75DE">
        <w:rPr>
          <w:color w:val="000000"/>
          <w:lang w:eastAsia="de-DE"/>
        </w:rPr>
        <w:t>polymorfonukleárních</w:t>
      </w:r>
      <w:proofErr w:type="spellEnd"/>
      <w:r w:rsidRPr="005C75DE">
        <w:rPr>
          <w:color w:val="000000"/>
          <w:lang w:eastAsia="de-DE"/>
        </w:rPr>
        <w:t xml:space="preserve"> buňkách (PMN; </w:t>
      </w:r>
      <w:proofErr w:type="spellStart"/>
      <w:r w:rsidRPr="005C75DE">
        <w:rPr>
          <w:color w:val="000000"/>
          <w:lang w:eastAsia="de-DE"/>
        </w:rPr>
        <w:t>neutrofily</w:t>
      </w:r>
      <w:proofErr w:type="spellEnd"/>
      <w:r w:rsidRPr="005C75DE">
        <w:rPr>
          <w:color w:val="000000"/>
          <w:lang w:eastAsia="de-DE"/>
        </w:rPr>
        <w:t xml:space="preserve">) prasat a odstranění </w:t>
      </w:r>
      <w:proofErr w:type="spellStart"/>
      <w:r w:rsidRPr="005C75DE">
        <w:rPr>
          <w:color w:val="000000"/>
          <w:lang w:eastAsia="de-DE"/>
        </w:rPr>
        <w:t>apoptických</w:t>
      </w:r>
      <w:proofErr w:type="spellEnd"/>
      <w:r w:rsidRPr="005C75DE">
        <w:rPr>
          <w:color w:val="000000"/>
          <w:lang w:eastAsia="de-DE"/>
        </w:rPr>
        <w:t xml:space="preserve"> buněk makrofágy. Snižuje tvorbu prozánětlivých mediátorů </w:t>
      </w:r>
      <w:proofErr w:type="spellStart"/>
      <w:r w:rsidRPr="005C75DE">
        <w:rPr>
          <w:color w:val="000000"/>
          <w:lang w:eastAsia="de-DE"/>
        </w:rPr>
        <w:t>leukotrienu</w:t>
      </w:r>
      <w:proofErr w:type="spellEnd"/>
      <w:r w:rsidRPr="005C75DE">
        <w:rPr>
          <w:color w:val="000000"/>
          <w:lang w:eastAsia="de-DE"/>
        </w:rPr>
        <w:t xml:space="preserve"> B4 a CXCL-8 a indukuje tvorbu protizánětlivého lipidu </w:t>
      </w:r>
      <w:proofErr w:type="spellStart"/>
      <w:r w:rsidRPr="005C75DE">
        <w:rPr>
          <w:color w:val="000000"/>
          <w:lang w:eastAsia="de-DE"/>
        </w:rPr>
        <w:t>lipoxinu</w:t>
      </w:r>
      <w:proofErr w:type="spellEnd"/>
      <w:r w:rsidRPr="005C75DE">
        <w:rPr>
          <w:color w:val="000000"/>
          <w:lang w:eastAsia="de-DE"/>
        </w:rPr>
        <w:t xml:space="preserve"> A4 podporujícího hojení zánětu.</w:t>
      </w: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keepNext/>
        <w:keepLines/>
        <w:tabs>
          <w:tab w:val="center" w:pos="1720"/>
        </w:tabs>
        <w:spacing w:after="10" w:line="247" w:lineRule="auto"/>
        <w:ind w:left="-14"/>
        <w:outlineLvl w:val="1"/>
        <w:rPr>
          <w:color w:val="000000"/>
          <w:shd w:val="clear" w:color="auto" w:fill="C1C2C2"/>
          <w:lang w:eastAsia="de-DE"/>
        </w:rPr>
      </w:pPr>
      <w:r w:rsidRPr="005C75DE">
        <w:rPr>
          <w:b/>
          <w:color w:val="000000"/>
          <w:lang w:eastAsia="de-DE"/>
        </w:rPr>
        <w:t xml:space="preserve">5.2 </w:t>
      </w:r>
      <w:r w:rsidRPr="005C75DE">
        <w:rPr>
          <w:b/>
          <w:color w:val="000000"/>
          <w:lang w:eastAsia="de-DE"/>
        </w:rPr>
        <w:tab/>
        <w:t>Farmakokinetické údaje</w:t>
      </w: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C16605" w:rsidRDefault="00D077DB" w:rsidP="00C16605">
      <w:pPr>
        <w:spacing w:line="256" w:lineRule="auto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Farmakokinetický profil </w:t>
      </w:r>
      <w:proofErr w:type="spellStart"/>
      <w:r w:rsidRPr="005C75DE">
        <w:rPr>
          <w:color w:val="000000"/>
          <w:lang w:eastAsia="de-DE"/>
        </w:rPr>
        <w:t>tulathromycinu</w:t>
      </w:r>
      <w:proofErr w:type="spellEnd"/>
      <w:r w:rsidRPr="005C75DE">
        <w:rPr>
          <w:color w:val="000000"/>
          <w:lang w:eastAsia="de-DE"/>
        </w:rPr>
        <w:t xml:space="preserve"> u prasat po podání jednorázové intramuskulární dávky 2,5 </w:t>
      </w:r>
    </w:p>
    <w:p w:rsidR="00C16605" w:rsidRDefault="00D077DB" w:rsidP="00C16605">
      <w:pPr>
        <w:spacing w:line="256" w:lineRule="auto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mg/kg živé hmotnosti byl taktéž charakterizován rychlou a výraznou absorpcí a následně rozsáhlou </w:t>
      </w:r>
    </w:p>
    <w:p w:rsidR="00C16605" w:rsidRDefault="00D077DB" w:rsidP="00C16605">
      <w:pPr>
        <w:spacing w:line="256" w:lineRule="auto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>distribucí a pomalou eliminací. Maximální koncentrace (</w:t>
      </w:r>
      <w:proofErr w:type="spellStart"/>
      <w:r w:rsidRPr="005C75DE">
        <w:rPr>
          <w:color w:val="000000"/>
          <w:lang w:eastAsia="de-DE"/>
        </w:rPr>
        <w:t>c</w:t>
      </w:r>
      <w:r w:rsidRPr="005C75DE">
        <w:rPr>
          <w:color w:val="000000"/>
          <w:vertAlign w:val="subscript"/>
          <w:lang w:eastAsia="de-DE"/>
        </w:rPr>
        <w:t>max</w:t>
      </w:r>
      <w:proofErr w:type="spellEnd"/>
      <w:r w:rsidRPr="005C75DE">
        <w:rPr>
          <w:color w:val="000000"/>
          <w:lang w:eastAsia="de-DE"/>
        </w:rPr>
        <w:t xml:space="preserve">) v plazmě byla přibližně 0,6 </w:t>
      </w:r>
      <w:proofErr w:type="spellStart"/>
      <w:r w:rsidRPr="005C75DE">
        <w:rPr>
          <w:color w:val="000000"/>
          <w:lang w:eastAsia="de-DE"/>
        </w:rPr>
        <w:t>μg</w:t>
      </w:r>
      <w:proofErr w:type="spellEnd"/>
      <w:r w:rsidRPr="005C75DE">
        <w:rPr>
          <w:color w:val="000000"/>
          <w:lang w:eastAsia="de-DE"/>
        </w:rPr>
        <w:t xml:space="preserve"> /ml; </w:t>
      </w:r>
    </w:p>
    <w:p w:rsidR="00C16605" w:rsidRDefault="00D077DB" w:rsidP="00C16605">
      <w:pPr>
        <w:spacing w:line="256" w:lineRule="auto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>dosažena přibližně 30 minut po aplikaci dávky (</w:t>
      </w:r>
      <w:proofErr w:type="spellStart"/>
      <w:r w:rsidRPr="005C75DE">
        <w:rPr>
          <w:color w:val="000000"/>
          <w:lang w:eastAsia="de-DE"/>
        </w:rPr>
        <w:t>t</w:t>
      </w:r>
      <w:r w:rsidRPr="005C75DE">
        <w:rPr>
          <w:color w:val="000000"/>
          <w:vertAlign w:val="subscript"/>
          <w:lang w:eastAsia="de-DE"/>
        </w:rPr>
        <w:t>max</w:t>
      </w:r>
      <w:proofErr w:type="spellEnd"/>
      <w:r w:rsidRPr="005C75DE">
        <w:rPr>
          <w:color w:val="000000"/>
          <w:lang w:eastAsia="de-DE"/>
        </w:rPr>
        <w:t xml:space="preserve">). Koncentrace </w:t>
      </w:r>
      <w:proofErr w:type="spellStart"/>
      <w:r w:rsidRPr="005C75DE">
        <w:rPr>
          <w:color w:val="000000"/>
          <w:lang w:eastAsia="de-DE"/>
        </w:rPr>
        <w:t>tulathromycinu</w:t>
      </w:r>
      <w:proofErr w:type="spellEnd"/>
      <w:r w:rsidRPr="005C75DE">
        <w:rPr>
          <w:color w:val="000000"/>
          <w:lang w:eastAsia="de-DE"/>
        </w:rPr>
        <w:t xml:space="preserve"> v plicním </w:t>
      </w:r>
    </w:p>
    <w:p w:rsidR="00C16605" w:rsidRDefault="00D077DB" w:rsidP="00C16605">
      <w:pPr>
        <w:spacing w:line="256" w:lineRule="auto"/>
        <w:jc w:val="both"/>
        <w:rPr>
          <w:color w:val="000000"/>
          <w:lang w:eastAsia="de-DE"/>
        </w:rPr>
      </w:pPr>
      <w:proofErr w:type="spellStart"/>
      <w:r w:rsidRPr="005C75DE">
        <w:rPr>
          <w:color w:val="000000"/>
          <w:lang w:eastAsia="de-DE"/>
        </w:rPr>
        <w:t>homogenátu</w:t>
      </w:r>
      <w:proofErr w:type="spellEnd"/>
      <w:r w:rsidRPr="005C75DE">
        <w:rPr>
          <w:color w:val="000000"/>
          <w:lang w:eastAsia="de-DE"/>
        </w:rPr>
        <w:t xml:space="preserve"> byly podstatně vyšší než v plazmě. Existují jasné důkazy o významné akumulaci </w:t>
      </w:r>
    </w:p>
    <w:p w:rsidR="00C16605" w:rsidRDefault="00D077DB" w:rsidP="00C16605">
      <w:pPr>
        <w:spacing w:line="256" w:lineRule="auto"/>
        <w:jc w:val="both"/>
        <w:rPr>
          <w:color w:val="000000"/>
          <w:lang w:eastAsia="de-DE"/>
        </w:rPr>
      </w:pPr>
      <w:proofErr w:type="spellStart"/>
      <w:r w:rsidRPr="005C75DE">
        <w:rPr>
          <w:color w:val="000000"/>
          <w:lang w:eastAsia="de-DE"/>
        </w:rPr>
        <w:t>tulathromycinu</w:t>
      </w:r>
      <w:proofErr w:type="spellEnd"/>
      <w:r w:rsidRPr="005C75DE">
        <w:rPr>
          <w:color w:val="000000"/>
          <w:lang w:eastAsia="de-DE"/>
        </w:rPr>
        <w:t xml:space="preserve"> v </w:t>
      </w:r>
      <w:proofErr w:type="spellStart"/>
      <w:r w:rsidRPr="005C75DE">
        <w:rPr>
          <w:color w:val="000000"/>
          <w:lang w:eastAsia="de-DE"/>
        </w:rPr>
        <w:t>neutrofilech</w:t>
      </w:r>
      <w:proofErr w:type="spellEnd"/>
      <w:r w:rsidRPr="005C75DE">
        <w:rPr>
          <w:color w:val="000000"/>
          <w:lang w:eastAsia="de-DE"/>
        </w:rPr>
        <w:t xml:space="preserve"> a alveolárních makrofázích. Avšak </w:t>
      </w:r>
      <w:r w:rsidRPr="005C75DE">
        <w:rPr>
          <w:i/>
          <w:color w:val="000000"/>
          <w:lang w:eastAsia="de-DE"/>
        </w:rPr>
        <w:t xml:space="preserve">in </w:t>
      </w:r>
      <w:proofErr w:type="spellStart"/>
      <w:r w:rsidRPr="005C75DE">
        <w:rPr>
          <w:i/>
          <w:color w:val="000000"/>
          <w:lang w:eastAsia="de-DE"/>
        </w:rPr>
        <w:t>vivo</w:t>
      </w:r>
      <w:proofErr w:type="spellEnd"/>
      <w:r w:rsidRPr="005C75DE">
        <w:rPr>
          <w:i/>
          <w:color w:val="000000"/>
          <w:lang w:eastAsia="de-DE"/>
        </w:rPr>
        <w:t xml:space="preserve"> </w:t>
      </w:r>
      <w:r w:rsidRPr="005C75DE">
        <w:rPr>
          <w:color w:val="000000"/>
          <w:lang w:eastAsia="de-DE"/>
        </w:rPr>
        <w:t xml:space="preserve">koncentrace </w:t>
      </w:r>
      <w:proofErr w:type="spellStart"/>
      <w:r w:rsidRPr="005C75DE">
        <w:rPr>
          <w:color w:val="000000"/>
          <w:lang w:eastAsia="de-DE"/>
        </w:rPr>
        <w:t>tulathromycinu</w:t>
      </w:r>
      <w:proofErr w:type="spellEnd"/>
      <w:r w:rsidRPr="005C75DE">
        <w:rPr>
          <w:color w:val="000000"/>
          <w:lang w:eastAsia="de-DE"/>
        </w:rPr>
        <w:t xml:space="preserve"> v </w:t>
      </w:r>
    </w:p>
    <w:p w:rsidR="00C16605" w:rsidRDefault="00D077DB" w:rsidP="00C16605">
      <w:pPr>
        <w:spacing w:line="256" w:lineRule="auto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místě infekce plic není známa. Maximální koncentrace byly následovány pomalým systémovým </w:t>
      </w:r>
    </w:p>
    <w:p w:rsidR="00C16605" w:rsidRDefault="00D077DB" w:rsidP="00C16605">
      <w:pPr>
        <w:spacing w:line="256" w:lineRule="auto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>poklesem s biologickým poločasem eliminace (t</w:t>
      </w:r>
      <w:r w:rsidRPr="005C75DE">
        <w:rPr>
          <w:color w:val="000000"/>
          <w:vertAlign w:val="subscript"/>
          <w:lang w:eastAsia="de-DE"/>
        </w:rPr>
        <w:t>1/2</w:t>
      </w:r>
      <w:r w:rsidRPr="005C75DE">
        <w:rPr>
          <w:color w:val="000000"/>
          <w:lang w:eastAsia="de-DE"/>
        </w:rPr>
        <w:t xml:space="preserve">) v plazmě 91 hodin. Vazba na proteiny plazmy byla </w:t>
      </w:r>
    </w:p>
    <w:p w:rsidR="00C16605" w:rsidRDefault="00D077DB" w:rsidP="00C16605">
      <w:pPr>
        <w:spacing w:line="256" w:lineRule="auto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>nízká, přibližně 40 %. Distribuční objem v ustáleném stavu (V</w:t>
      </w:r>
      <w:r w:rsidRPr="005C75DE">
        <w:rPr>
          <w:color w:val="000000"/>
          <w:vertAlign w:val="subscript"/>
          <w:lang w:eastAsia="de-DE"/>
        </w:rPr>
        <w:t>SS</w:t>
      </w:r>
      <w:r w:rsidRPr="005C75DE">
        <w:rPr>
          <w:color w:val="000000"/>
          <w:lang w:eastAsia="de-DE"/>
        </w:rPr>
        <w:t xml:space="preserve">) stanovený po intravenózní aplikaci byl </w:t>
      </w:r>
    </w:p>
    <w:p w:rsidR="00C16605" w:rsidRDefault="00D077DB" w:rsidP="00C16605">
      <w:pPr>
        <w:spacing w:line="256" w:lineRule="auto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13,2 l/kg. Biologická dostupnost </w:t>
      </w:r>
      <w:proofErr w:type="spellStart"/>
      <w:r w:rsidRPr="005C75DE">
        <w:rPr>
          <w:color w:val="000000"/>
          <w:lang w:eastAsia="de-DE"/>
        </w:rPr>
        <w:t>tulathromycinu</w:t>
      </w:r>
      <w:proofErr w:type="spellEnd"/>
      <w:r w:rsidRPr="005C75DE">
        <w:rPr>
          <w:color w:val="000000"/>
          <w:lang w:eastAsia="de-DE"/>
        </w:rPr>
        <w:t xml:space="preserve"> po intramuskulární aplikaci u prasat byla přibližně 88 </w:t>
      </w:r>
    </w:p>
    <w:p w:rsidR="00D077DB" w:rsidRPr="005C75DE" w:rsidRDefault="00D077DB" w:rsidP="00C16605">
      <w:pPr>
        <w:spacing w:line="256" w:lineRule="auto"/>
        <w:jc w:val="both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>%.</w:t>
      </w:r>
      <w:r w:rsidRPr="005C75DE">
        <w:rPr>
          <w:b/>
          <w:color w:val="000000"/>
          <w:lang w:eastAsia="de-DE"/>
        </w:rPr>
        <w:t xml:space="preserve"> 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  <w:r w:rsidRPr="005C75DE">
        <w:rPr>
          <w:b/>
          <w:color w:val="000000"/>
          <w:lang w:eastAsia="de-DE"/>
        </w:rPr>
        <w:tab/>
        <w:t xml:space="preserve"> </w:t>
      </w:r>
    </w:p>
    <w:p w:rsidR="00D077DB" w:rsidRPr="005C75DE" w:rsidRDefault="00D077DB" w:rsidP="00D077DB">
      <w:pPr>
        <w:keepNext/>
        <w:keepLines/>
        <w:tabs>
          <w:tab w:val="center" w:pos="1957"/>
        </w:tabs>
        <w:spacing w:after="10" w:line="247" w:lineRule="auto"/>
        <w:ind w:left="-14"/>
        <w:outlineLvl w:val="0"/>
        <w:rPr>
          <w:b/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6. </w:t>
      </w:r>
      <w:r w:rsidRPr="005C75DE">
        <w:rPr>
          <w:b/>
          <w:color w:val="000000"/>
          <w:lang w:eastAsia="de-DE"/>
        </w:rPr>
        <w:tab/>
        <w:t xml:space="preserve">FARMACEUTICKÉ ÚDAJE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keepNext/>
        <w:keepLines/>
        <w:tabs>
          <w:tab w:val="center" w:pos="1760"/>
        </w:tabs>
        <w:spacing w:after="10" w:line="247" w:lineRule="auto"/>
        <w:ind w:left="-14"/>
        <w:outlineLvl w:val="1"/>
        <w:rPr>
          <w:color w:val="000000"/>
          <w:shd w:val="clear" w:color="auto" w:fill="C1C2C2"/>
          <w:lang w:eastAsia="de-DE"/>
        </w:rPr>
      </w:pPr>
      <w:r w:rsidRPr="005C75DE">
        <w:rPr>
          <w:b/>
          <w:color w:val="000000"/>
          <w:lang w:eastAsia="de-DE"/>
        </w:rPr>
        <w:t xml:space="preserve">6.1 </w:t>
      </w:r>
      <w:r w:rsidRPr="005C75DE">
        <w:rPr>
          <w:b/>
          <w:color w:val="000000"/>
          <w:lang w:eastAsia="de-DE"/>
        </w:rPr>
        <w:tab/>
        <w:t xml:space="preserve">Seznam pomocných látek </w:t>
      </w:r>
    </w:p>
    <w:p w:rsidR="00D077DB" w:rsidRPr="005C75DE" w:rsidRDefault="00D077DB" w:rsidP="00D077DB">
      <w:pPr>
        <w:spacing w:line="256" w:lineRule="auto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13" w:line="247" w:lineRule="auto"/>
        <w:ind w:left="-4" w:hanging="10"/>
        <w:rPr>
          <w:color w:val="000000"/>
          <w:lang w:eastAsia="de-DE"/>
        </w:rPr>
      </w:pPr>
      <w:proofErr w:type="spellStart"/>
      <w:r w:rsidRPr="005C75DE">
        <w:rPr>
          <w:color w:val="000000"/>
          <w:lang w:eastAsia="de-DE"/>
        </w:rPr>
        <w:t>Thioglycerol</w:t>
      </w:r>
      <w:proofErr w:type="spellEnd"/>
      <w:r w:rsidRPr="005C75DE">
        <w:rPr>
          <w:color w:val="000000"/>
          <w:lang w:eastAsia="de-DE"/>
        </w:rPr>
        <w:t xml:space="preserve">  </w:t>
      </w:r>
    </w:p>
    <w:p w:rsidR="00D077DB" w:rsidRPr="005C75DE" w:rsidRDefault="00D077DB" w:rsidP="00D077DB">
      <w:pPr>
        <w:spacing w:after="13" w:line="247" w:lineRule="auto"/>
        <w:ind w:left="-4" w:hanging="10"/>
        <w:rPr>
          <w:color w:val="000000"/>
          <w:lang w:eastAsia="de-DE"/>
        </w:rPr>
      </w:pPr>
      <w:proofErr w:type="spellStart"/>
      <w:r w:rsidRPr="005C75DE">
        <w:rPr>
          <w:color w:val="000000"/>
          <w:lang w:eastAsia="de-DE"/>
        </w:rPr>
        <w:t>Propylenglykol</w:t>
      </w:r>
      <w:proofErr w:type="spellEnd"/>
      <w:r w:rsidRPr="005C75DE">
        <w:rPr>
          <w:color w:val="000000"/>
          <w:lang w:eastAsia="de-DE"/>
        </w:rPr>
        <w:t xml:space="preserve">  </w:t>
      </w:r>
    </w:p>
    <w:p w:rsidR="00D077DB" w:rsidRPr="005C75DE" w:rsidRDefault="00D077DB" w:rsidP="00D077DB">
      <w:pPr>
        <w:spacing w:after="13" w:line="247" w:lineRule="auto"/>
        <w:ind w:left="-4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Kyselina citronová  </w:t>
      </w:r>
    </w:p>
    <w:p w:rsidR="00D077DB" w:rsidRPr="005C75DE" w:rsidRDefault="00D077DB" w:rsidP="00D077DB">
      <w:pPr>
        <w:spacing w:after="13" w:line="247" w:lineRule="auto"/>
        <w:ind w:left="-4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Kyselina chlorovodíková (pro úpravu pH) </w:t>
      </w:r>
    </w:p>
    <w:p w:rsidR="00D077DB" w:rsidRPr="005C75DE" w:rsidRDefault="00D077DB" w:rsidP="00D077DB">
      <w:pPr>
        <w:spacing w:after="13" w:line="247" w:lineRule="auto"/>
        <w:ind w:left="-4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Hydroxid sodný (pro úpravu pH) </w:t>
      </w:r>
    </w:p>
    <w:p w:rsidR="00D077DB" w:rsidRPr="005C75DE" w:rsidRDefault="00D077DB" w:rsidP="00D077DB">
      <w:pPr>
        <w:spacing w:after="13" w:line="247" w:lineRule="auto"/>
        <w:ind w:left="-4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>Voda pro injekci</w:t>
      </w: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keepNext/>
        <w:keepLines/>
        <w:tabs>
          <w:tab w:val="center" w:pos="1641"/>
        </w:tabs>
        <w:spacing w:after="10" w:line="247" w:lineRule="auto"/>
        <w:ind w:left="-14"/>
        <w:outlineLvl w:val="1"/>
        <w:rPr>
          <w:color w:val="000000"/>
          <w:shd w:val="clear" w:color="auto" w:fill="C1C2C2"/>
          <w:lang w:eastAsia="de-DE"/>
        </w:rPr>
      </w:pPr>
      <w:r w:rsidRPr="005C75DE">
        <w:rPr>
          <w:b/>
          <w:color w:val="000000"/>
          <w:lang w:eastAsia="de-DE"/>
        </w:rPr>
        <w:t xml:space="preserve">6.2 </w:t>
      </w:r>
      <w:r w:rsidRPr="005C75DE">
        <w:rPr>
          <w:b/>
          <w:color w:val="000000"/>
          <w:lang w:eastAsia="de-DE"/>
        </w:rPr>
        <w:tab/>
        <w:t>Hlavní inkompatibility</w:t>
      </w: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4"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" w:line="324" w:lineRule="auto"/>
        <w:ind w:left="-4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Studie kompatibility nejsou k dispozici, a proto tento veterinární léčivý přípravek nesmí být mísen s žádnými dalšími veterinárními léčivými přípravky. </w:t>
      </w:r>
    </w:p>
    <w:p w:rsidR="00D077DB" w:rsidRPr="005C75DE" w:rsidRDefault="00D077DB" w:rsidP="00D077DB">
      <w:pPr>
        <w:spacing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keepNext/>
        <w:keepLines/>
        <w:tabs>
          <w:tab w:val="center" w:pos="1444"/>
        </w:tabs>
        <w:spacing w:after="10" w:line="247" w:lineRule="auto"/>
        <w:ind w:left="-14"/>
        <w:outlineLvl w:val="1"/>
        <w:rPr>
          <w:color w:val="000000"/>
          <w:shd w:val="clear" w:color="auto" w:fill="C1C2C2"/>
          <w:lang w:eastAsia="de-DE"/>
        </w:rPr>
      </w:pPr>
      <w:r w:rsidRPr="005C75DE">
        <w:rPr>
          <w:b/>
          <w:color w:val="000000"/>
          <w:lang w:eastAsia="de-DE"/>
        </w:rPr>
        <w:t xml:space="preserve">6.3 </w:t>
      </w:r>
      <w:r w:rsidRPr="005C75DE">
        <w:rPr>
          <w:b/>
          <w:color w:val="000000"/>
          <w:lang w:eastAsia="de-DE"/>
        </w:rPr>
        <w:tab/>
        <w:t>Doba použitelnosti</w:t>
      </w: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4"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5"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Doba použitelnosti veterinárního léčivého přípravku v neporušeném obalu: </w:t>
      </w:r>
      <w:r w:rsidR="005C75DE">
        <w:rPr>
          <w:color w:val="000000"/>
          <w:lang w:eastAsia="de-DE"/>
        </w:rPr>
        <w:t>3</w:t>
      </w:r>
      <w:r w:rsidR="005C75DE" w:rsidRPr="005C75DE">
        <w:rPr>
          <w:color w:val="000000"/>
          <w:lang w:eastAsia="de-DE"/>
        </w:rPr>
        <w:t xml:space="preserve"> </w:t>
      </w:r>
      <w:r w:rsidRPr="005C75DE">
        <w:rPr>
          <w:color w:val="000000"/>
          <w:lang w:eastAsia="de-DE"/>
        </w:rPr>
        <w:t>roky.</w:t>
      </w:r>
    </w:p>
    <w:p w:rsidR="00D077DB" w:rsidRPr="005C75DE" w:rsidRDefault="00D077DB" w:rsidP="00D077DB">
      <w:pPr>
        <w:spacing w:after="55"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>Doba použitelnosti po prvním otevření vnitřního obalu: 28 dní.</w:t>
      </w:r>
    </w:p>
    <w:p w:rsidR="00D077DB" w:rsidRPr="005C75DE" w:rsidRDefault="00D077DB" w:rsidP="00D077DB">
      <w:pPr>
        <w:spacing w:after="55"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tabs>
          <w:tab w:val="center" w:pos="2136"/>
        </w:tabs>
        <w:spacing w:after="3" w:line="264" w:lineRule="auto"/>
        <w:ind w:left="-14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 xml:space="preserve">6.4 </w:t>
      </w:r>
      <w:r w:rsidRPr="005C75DE">
        <w:rPr>
          <w:b/>
          <w:color w:val="000000"/>
          <w:lang w:eastAsia="de-DE"/>
        </w:rPr>
        <w:tab/>
        <w:t>Zvláštní opatření pro uchovávání</w:t>
      </w: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40"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7"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Uchovávejte při teplotě do 30 </w:t>
      </w:r>
      <w:r w:rsidRPr="005C75DE">
        <w:rPr>
          <w:color w:val="000000"/>
          <w:lang w:eastAsia="de-DE"/>
        </w:rPr>
        <w:sym w:font="Symbol" w:char="F0B0"/>
      </w:r>
      <w:r w:rsidRPr="005C75DE">
        <w:rPr>
          <w:color w:val="000000"/>
          <w:lang w:eastAsia="de-DE"/>
        </w:rPr>
        <w:t xml:space="preserve">C. </w:t>
      </w:r>
    </w:p>
    <w:p w:rsidR="00D077DB" w:rsidRPr="005C75DE" w:rsidRDefault="00D077DB" w:rsidP="00D077DB">
      <w:pPr>
        <w:spacing w:after="57" w:line="256" w:lineRule="auto"/>
        <w:rPr>
          <w:color w:val="000000"/>
          <w:lang w:eastAsia="de-DE"/>
        </w:rPr>
      </w:pPr>
    </w:p>
    <w:p w:rsidR="00D077DB" w:rsidRPr="005C75DE" w:rsidRDefault="00D077DB" w:rsidP="00D077DB">
      <w:pPr>
        <w:keepNext/>
        <w:keepLines/>
        <w:tabs>
          <w:tab w:val="center" w:pos="2004"/>
        </w:tabs>
        <w:spacing w:after="3" w:line="264" w:lineRule="auto"/>
        <w:ind w:left="-14"/>
        <w:outlineLvl w:val="1"/>
        <w:rPr>
          <w:color w:val="000000"/>
          <w:shd w:val="clear" w:color="auto" w:fill="C1C2C2"/>
          <w:lang w:eastAsia="de-DE"/>
        </w:rPr>
      </w:pPr>
      <w:r w:rsidRPr="005C75DE">
        <w:rPr>
          <w:b/>
          <w:color w:val="000000"/>
          <w:lang w:eastAsia="de-DE"/>
        </w:rPr>
        <w:t xml:space="preserve">6.5 </w:t>
      </w:r>
      <w:r w:rsidRPr="005C75DE">
        <w:rPr>
          <w:b/>
          <w:color w:val="000000"/>
          <w:lang w:eastAsia="de-DE"/>
        </w:rPr>
        <w:tab/>
        <w:t>Druh a složení vnitřního obalu</w:t>
      </w: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C16605" w:rsidRDefault="00D077DB" w:rsidP="00D077DB">
      <w:pPr>
        <w:spacing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Injekční lahvičky z čirého skla (typ II </w:t>
      </w:r>
      <w:proofErr w:type="spellStart"/>
      <w:r w:rsidRPr="005C75DE">
        <w:rPr>
          <w:color w:val="000000"/>
          <w:lang w:eastAsia="de-DE"/>
        </w:rPr>
        <w:t>Ph</w:t>
      </w:r>
      <w:proofErr w:type="spellEnd"/>
      <w:r w:rsidRPr="005C75DE">
        <w:rPr>
          <w:color w:val="000000"/>
          <w:lang w:eastAsia="de-DE"/>
        </w:rPr>
        <w:t xml:space="preserve">. Eur.) uzavřené </w:t>
      </w:r>
      <w:proofErr w:type="spellStart"/>
      <w:r w:rsidRPr="005C75DE">
        <w:rPr>
          <w:color w:val="000000"/>
          <w:lang w:eastAsia="de-DE"/>
        </w:rPr>
        <w:t>brombutylovou</w:t>
      </w:r>
      <w:proofErr w:type="spellEnd"/>
      <w:r w:rsidRPr="005C75DE">
        <w:rPr>
          <w:color w:val="000000"/>
          <w:lang w:eastAsia="de-DE"/>
        </w:rPr>
        <w:t xml:space="preserve"> gumovou zátkou a </w:t>
      </w:r>
    </w:p>
    <w:p w:rsidR="00D077DB" w:rsidRPr="005C75DE" w:rsidRDefault="00CD326C" w:rsidP="00D077DB">
      <w:pPr>
        <w:spacing w:line="256" w:lineRule="auto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>hliníkov</w:t>
      </w:r>
      <w:r>
        <w:rPr>
          <w:color w:val="000000"/>
          <w:lang w:eastAsia="de-DE"/>
        </w:rPr>
        <w:t>ým</w:t>
      </w:r>
      <w:r w:rsidRPr="005C75DE">
        <w:rPr>
          <w:color w:val="000000"/>
          <w:lang w:eastAsia="de-DE"/>
        </w:rPr>
        <w:t xml:space="preserve"> </w:t>
      </w:r>
      <w:proofErr w:type="spellStart"/>
      <w:r w:rsidR="00D077DB" w:rsidRPr="005C75DE">
        <w:rPr>
          <w:color w:val="000000"/>
          <w:lang w:eastAsia="de-DE"/>
        </w:rPr>
        <w:t>pertl</w:t>
      </w:r>
      <w:r>
        <w:rPr>
          <w:color w:val="000000"/>
          <w:lang w:eastAsia="de-DE"/>
        </w:rPr>
        <w:t>em</w:t>
      </w:r>
      <w:proofErr w:type="spellEnd"/>
      <w:r w:rsidR="00D077DB" w:rsidRPr="005C75DE">
        <w:rPr>
          <w:color w:val="000000"/>
          <w:lang w:eastAsia="de-DE"/>
        </w:rPr>
        <w:t>.</w:t>
      </w:r>
    </w:p>
    <w:p w:rsidR="00D077DB" w:rsidRPr="005C75DE" w:rsidRDefault="00D077DB" w:rsidP="00D077DB">
      <w:pPr>
        <w:spacing w:after="41" w:line="256" w:lineRule="auto"/>
        <w:ind w:left="-4" w:hanging="10"/>
        <w:rPr>
          <w:color w:val="000000"/>
          <w:u w:val="single" w:color="000000"/>
          <w:lang w:eastAsia="de-DE"/>
        </w:rPr>
      </w:pPr>
    </w:p>
    <w:p w:rsidR="00D077DB" w:rsidRPr="005C75DE" w:rsidRDefault="00D077DB" w:rsidP="00D077DB">
      <w:pPr>
        <w:spacing w:after="41" w:line="256" w:lineRule="auto"/>
        <w:ind w:left="-4" w:hanging="10"/>
        <w:rPr>
          <w:color w:val="000000"/>
          <w:lang w:eastAsia="de-DE"/>
        </w:rPr>
      </w:pPr>
      <w:r w:rsidRPr="005C75DE">
        <w:rPr>
          <w:color w:val="000000"/>
          <w:u w:val="single" w:color="000000"/>
          <w:lang w:eastAsia="de-DE"/>
        </w:rPr>
        <w:lastRenderedPageBreak/>
        <w:t>Velikosti balení:</w:t>
      </w:r>
      <w:r w:rsidRPr="005C75DE">
        <w:rPr>
          <w:color w:val="000000"/>
          <w:lang w:eastAsia="de-DE"/>
        </w:rPr>
        <w:t xml:space="preserve"> </w:t>
      </w:r>
    </w:p>
    <w:p w:rsidR="00CD326C" w:rsidRDefault="00CD326C" w:rsidP="00D077DB">
      <w:pPr>
        <w:spacing w:after="5" w:line="324" w:lineRule="auto"/>
        <w:ind w:left="-4" w:right="1544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Papírová krabička obsahující 1 injekční lahvičku o objemu </w:t>
      </w:r>
      <w:r>
        <w:rPr>
          <w:color w:val="000000"/>
          <w:lang w:eastAsia="de-DE"/>
        </w:rPr>
        <w:t>5</w:t>
      </w:r>
      <w:r w:rsidRPr="005C75DE">
        <w:rPr>
          <w:color w:val="000000"/>
          <w:lang w:eastAsia="de-DE"/>
        </w:rPr>
        <w:t>0 ml</w:t>
      </w:r>
    </w:p>
    <w:p w:rsidR="00D077DB" w:rsidRPr="005C75DE" w:rsidRDefault="00D077DB" w:rsidP="00D077DB">
      <w:pPr>
        <w:spacing w:after="5" w:line="324" w:lineRule="auto"/>
        <w:ind w:left="-4" w:right="1544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Papírová krabička obsahující 1 injekční lahvičku o objemu 100 ml </w:t>
      </w:r>
    </w:p>
    <w:p w:rsidR="00D077DB" w:rsidRPr="005C75DE" w:rsidRDefault="00D077DB" w:rsidP="00D077DB">
      <w:pPr>
        <w:spacing w:after="5" w:line="324" w:lineRule="auto"/>
        <w:ind w:left="-4" w:right="1544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Papírová krabička obsahující 1 injekční lahvičku o objemu 250 ml </w:t>
      </w:r>
    </w:p>
    <w:p w:rsidR="00D077DB" w:rsidRPr="005C75DE" w:rsidRDefault="00D077DB" w:rsidP="00C16605">
      <w:pPr>
        <w:spacing w:line="256" w:lineRule="auto"/>
        <w:ind w:left="1" w:hanging="15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Na trhu nemusí být všechny velikosti balení. </w:t>
      </w:r>
    </w:p>
    <w:p w:rsidR="00D077DB" w:rsidRPr="005C75DE" w:rsidRDefault="00D077DB" w:rsidP="00D077DB">
      <w:pPr>
        <w:spacing w:after="63"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keepNext/>
        <w:keepLines/>
        <w:spacing w:after="3" w:line="264" w:lineRule="auto"/>
        <w:ind w:left="-4" w:right="58" w:hanging="10"/>
        <w:outlineLvl w:val="1"/>
        <w:rPr>
          <w:color w:val="000000"/>
          <w:shd w:val="clear" w:color="auto" w:fill="C1C2C2"/>
          <w:lang w:eastAsia="de-DE"/>
        </w:rPr>
      </w:pPr>
      <w:r w:rsidRPr="005C75DE">
        <w:rPr>
          <w:b/>
          <w:color w:val="000000"/>
          <w:lang w:eastAsia="de-DE"/>
        </w:rPr>
        <w:t xml:space="preserve">6.6 </w:t>
      </w:r>
      <w:r w:rsidRPr="005C75DE">
        <w:rPr>
          <w:b/>
          <w:color w:val="000000"/>
          <w:lang w:eastAsia="de-DE"/>
        </w:rPr>
        <w:tab/>
        <w:t xml:space="preserve">Zvláštní opatření pro zneškodňování nepoužitého veterinárního léčivého přípravku nebo odpadu, který pochází z tohoto přípravku  </w:t>
      </w:r>
    </w:p>
    <w:p w:rsidR="00D077DB" w:rsidRPr="005C75DE" w:rsidRDefault="00D077DB" w:rsidP="00D077DB">
      <w:pPr>
        <w:keepNext/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" w:line="264" w:lineRule="auto"/>
        <w:ind w:left="-4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Všechen nepoužitý veterinární léčivý přípravek nebo odpad, který pochází z tohoto přípravku, musí být likvidován podle místních právních předpisů.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line="256" w:lineRule="auto"/>
        <w:ind w:left="1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 </w:t>
      </w:r>
    </w:p>
    <w:p w:rsidR="00D077DB" w:rsidRPr="005C75DE" w:rsidRDefault="00D077DB" w:rsidP="00D077DB">
      <w:pPr>
        <w:spacing w:after="5"/>
        <w:ind w:left="11" w:hanging="10"/>
        <w:rPr>
          <w:b/>
          <w:color w:val="000000"/>
          <w:lang w:eastAsia="de-DE"/>
        </w:rPr>
      </w:pPr>
      <w:r w:rsidRPr="005C75DE">
        <w:rPr>
          <w:b/>
          <w:color w:val="000000"/>
          <w:lang w:eastAsia="de-DE"/>
        </w:rPr>
        <w:t>7.</w:t>
      </w:r>
      <w:r w:rsidRPr="005C75DE">
        <w:rPr>
          <w:b/>
          <w:color w:val="000000"/>
          <w:lang w:eastAsia="de-DE"/>
        </w:rPr>
        <w:tab/>
        <w:t>DRŽITEL ROZHODNUTÍ O REGISTRACI</w:t>
      </w: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LIVISTO </w:t>
      </w:r>
      <w:proofErr w:type="spellStart"/>
      <w:r w:rsidRPr="005C75DE">
        <w:rPr>
          <w:color w:val="000000"/>
          <w:lang w:eastAsia="de-DE"/>
        </w:rPr>
        <w:t>Int’l</w:t>
      </w:r>
      <w:proofErr w:type="spellEnd"/>
      <w:r w:rsidRPr="005C75DE">
        <w:rPr>
          <w:color w:val="000000"/>
          <w:lang w:eastAsia="de-DE"/>
        </w:rPr>
        <w:t>, S.L.</w:t>
      </w: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  <w:proofErr w:type="spellStart"/>
      <w:r w:rsidRPr="005C75DE">
        <w:rPr>
          <w:color w:val="000000"/>
          <w:lang w:eastAsia="de-DE"/>
        </w:rPr>
        <w:t>Av</w:t>
      </w:r>
      <w:proofErr w:type="spellEnd"/>
      <w:r w:rsidRPr="005C75DE">
        <w:rPr>
          <w:color w:val="000000"/>
          <w:lang w:eastAsia="de-DE"/>
        </w:rPr>
        <w:t xml:space="preserve">. </w:t>
      </w:r>
      <w:proofErr w:type="spellStart"/>
      <w:r w:rsidRPr="005C75DE">
        <w:rPr>
          <w:color w:val="000000"/>
          <w:lang w:eastAsia="de-DE"/>
        </w:rPr>
        <w:t>Universitat</w:t>
      </w:r>
      <w:proofErr w:type="spellEnd"/>
      <w:r w:rsidRPr="005C75DE">
        <w:rPr>
          <w:color w:val="000000"/>
          <w:lang w:eastAsia="de-DE"/>
        </w:rPr>
        <w:t xml:space="preserve"> </w:t>
      </w:r>
      <w:proofErr w:type="spellStart"/>
      <w:r w:rsidRPr="005C75DE">
        <w:rPr>
          <w:color w:val="000000"/>
          <w:lang w:eastAsia="de-DE"/>
        </w:rPr>
        <w:t>Autònoma</w:t>
      </w:r>
      <w:proofErr w:type="spellEnd"/>
      <w:r w:rsidRPr="005C75DE">
        <w:rPr>
          <w:color w:val="000000"/>
          <w:lang w:eastAsia="de-DE"/>
        </w:rPr>
        <w:t>, 29</w:t>
      </w: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 xml:space="preserve">08290 </w:t>
      </w:r>
      <w:proofErr w:type="spellStart"/>
      <w:r w:rsidRPr="005C75DE">
        <w:rPr>
          <w:color w:val="000000"/>
          <w:lang w:eastAsia="de-DE"/>
        </w:rPr>
        <w:t>Cerdanyola</w:t>
      </w:r>
      <w:proofErr w:type="spellEnd"/>
      <w:r w:rsidRPr="005C75DE">
        <w:rPr>
          <w:color w:val="000000"/>
          <w:lang w:eastAsia="de-DE"/>
        </w:rPr>
        <w:t xml:space="preserve"> </w:t>
      </w:r>
      <w:proofErr w:type="spellStart"/>
      <w:r w:rsidRPr="005C75DE">
        <w:rPr>
          <w:color w:val="000000"/>
          <w:lang w:eastAsia="de-DE"/>
        </w:rPr>
        <w:t>del</w:t>
      </w:r>
      <w:proofErr w:type="spellEnd"/>
      <w:r w:rsidRPr="005C75DE">
        <w:rPr>
          <w:color w:val="000000"/>
          <w:lang w:eastAsia="de-DE"/>
        </w:rPr>
        <w:t xml:space="preserve"> </w:t>
      </w:r>
      <w:proofErr w:type="spellStart"/>
      <w:r w:rsidRPr="005C75DE">
        <w:rPr>
          <w:color w:val="000000"/>
          <w:lang w:eastAsia="de-DE"/>
        </w:rPr>
        <w:t>Vallès</w:t>
      </w:r>
      <w:proofErr w:type="spellEnd"/>
      <w:r w:rsidRPr="005C75DE">
        <w:rPr>
          <w:color w:val="000000"/>
          <w:lang w:eastAsia="de-DE"/>
        </w:rPr>
        <w:t xml:space="preserve"> (Barcelona)</w:t>
      </w: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>Španělsko</w:t>
      </w: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>8.</w:t>
      </w:r>
      <w:r w:rsidRPr="005C75DE">
        <w:rPr>
          <w:b/>
          <w:color w:val="000000"/>
          <w:lang w:eastAsia="de-DE"/>
        </w:rPr>
        <w:tab/>
        <w:t>REGISTRAČNÍ ČÍSLO(A)</w:t>
      </w: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>96/069/</w:t>
      </w:r>
      <w:proofErr w:type="gramStart"/>
      <w:r w:rsidRPr="005C75DE">
        <w:rPr>
          <w:color w:val="000000"/>
          <w:lang w:eastAsia="de-DE"/>
        </w:rPr>
        <w:t>20-C</w:t>
      </w:r>
      <w:proofErr w:type="gramEnd"/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  <w:r w:rsidRPr="005C75DE">
        <w:rPr>
          <w:b/>
          <w:color w:val="000000"/>
          <w:lang w:eastAsia="de-DE"/>
        </w:rPr>
        <w:t>9.</w:t>
      </w:r>
      <w:r w:rsidRPr="005C75DE">
        <w:rPr>
          <w:b/>
          <w:color w:val="000000"/>
          <w:lang w:eastAsia="de-DE"/>
        </w:rPr>
        <w:tab/>
        <w:t>DATUM REGISTRACE/ PRODLOUŽENÍ REGISTRACE</w:t>
      </w: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>10. 11. 2020</w:t>
      </w: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</w:p>
    <w:p w:rsidR="00D077DB" w:rsidRPr="005C75DE" w:rsidRDefault="00D077DB" w:rsidP="00D077DB">
      <w:pPr>
        <w:spacing w:after="5"/>
        <w:ind w:left="11" w:hanging="10"/>
        <w:rPr>
          <w:b/>
          <w:color w:val="000000"/>
          <w:lang w:eastAsia="de-DE"/>
        </w:rPr>
      </w:pPr>
      <w:r w:rsidRPr="005C75DE">
        <w:rPr>
          <w:b/>
          <w:color w:val="000000"/>
          <w:lang w:eastAsia="de-DE"/>
        </w:rPr>
        <w:t>10.</w:t>
      </w:r>
      <w:r w:rsidRPr="005C75DE">
        <w:rPr>
          <w:b/>
          <w:color w:val="000000"/>
          <w:lang w:eastAsia="de-DE"/>
        </w:rPr>
        <w:tab/>
        <w:t>DATUM REVIZE TEXTU</w:t>
      </w: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</w:p>
    <w:p w:rsidR="00D077DB" w:rsidRDefault="00CD326C" w:rsidP="00D077DB">
      <w:pPr>
        <w:spacing w:after="5"/>
        <w:ind w:left="11" w:hanging="10"/>
        <w:rPr>
          <w:color w:val="000000"/>
          <w:lang w:eastAsia="de-DE"/>
        </w:rPr>
      </w:pPr>
      <w:proofErr w:type="gramStart"/>
      <w:r>
        <w:rPr>
          <w:color w:val="000000"/>
          <w:lang w:eastAsia="de-DE"/>
        </w:rPr>
        <w:t>Červen</w:t>
      </w:r>
      <w:proofErr w:type="gramEnd"/>
      <w:r w:rsidRPr="005C75DE">
        <w:rPr>
          <w:color w:val="000000"/>
          <w:lang w:eastAsia="de-DE"/>
        </w:rPr>
        <w:t xml:space="preserve"> </w:t>
      </w:r>
      <w:r w:rsidR="005C75DE" w:rsidRPr="005C75DE">
        <w:rPr>
          <w:color w:val="000000"/>
          <w:lang w:eastAsia="de-DE"/>
        </w:rPr>
        <w:t>202</w:t>
      </w:r>
      <w:r>
        <w:rPr>
          <w:color w:val="000000"/>
          <w:lang w:eastAsia="de-DE"/>
        </w:rPr>
        <w:t>3</w:t>
      </w:r>
    </w:p>
    <w:p w:rsidR="005D15FE" w:rsidRDefault="005D15FE" w:rsidP="00D077DB">
      <w:pPr>
        <w:spacing w:after="5"/>
        <w:ind w:left="11" w:hanging="10"/>
        <w:rPr>
          <w:color w:val="000000"/>
          <w:lang w:eastAsia="de-DE"/>
        </w:rPr>
      </w:pPr>
    </w:p>
    <w:p w:rsidR="005D15FE" w:rsidRDefault="005D15FE" w:rsidP="005D15FE">
      <w:pPr>
        <w:spacing w:after="5"/>
        <w:ind w:left="11" w:hanging="10"/>
        <w:rPr>
          <w:color w:val="000000"/>
          <w:lang w:eastAsia="de-DE"/>
        </w:rPr>
      </w:pPr>
      <w:r w:rsidRPr="005D15FE">
        <w:rPr>
          <w:color w:val="000000"/>
          <w:lang w:eastAsia="de-DE"/>
        </w:rPr>
        <w:t>Podrobné informace o tomto veterinárním léčivém přípravku jsou k dispozici v databázi přípravků Unie</w:t>
      </w:r>
      <w:r w:rsidRPr="005D15FE">
        <w:rPr>
          <w:color w:val="000000"/>
          <w:lang w:eastAsia="de-DE"/>
        </w:rPr>
        <w:br/>
        <w:t>(</w:t>
      </w:r>
      <w:hyperlink r:id="rId7" w:history="1">
        <w:r w:rsidRPr="005D15FE">
          <w:rPr>
            <w:rStyle w:val="Hypertextovodkaz"/>
            <w:lang w:eastAsia="de-DE"/>
          </w:rPr>
          <w:t>https://medicines.health.europa.eu/veterinary</w:t>
        </w:r>
      </w:hyperlink>
      <w:r w:rsidRPr="005D15FE">
        <w:rPr>
          <w:color w:val="000000"/>
          <w:lang w:eastAsia="de-DE"/>
        </w:rPr>
        <w:t>).</w:t>
      </w:r>
    </w:p>
    <w:p w:rsidR="005D15FE" w:rsidRPr="005D15FE" w:rsidRDefault="005D15FE" w:rsidP="005D15FE">
      <w:pPr>
        <w:spacing w:after="5"/>
        <w:ind w:left="11" w:hanging="10"/>
        <w:rPr>
          <w:color w:val="000000"/>
          <w:lang w:eastAsia="de-DE"/>
        </w:rPr>
      </w:pPr>
      <w:bookmarkStart w:id="0" w:name="_GoBack"/>
      <w:bookmarkEnd w:id="0"/>
    </w:p>
    <w:p w:rsidR="005D15FE" w:rsidRPr="005D15FE" w:rsidRDefault="005D15FE" w:rsidP="005D15FE">
      <w:pPr>
        <w:spacing w:after="5"/>
        <w:ind w:left="11" w:hanging="10"/>
        <w:rPr>
          <w:color w:val="000000"/>
          <w:lang w:eastAsia="de-DE"/>
        </w:rPr>
      </w:pPr>
      <w:r w:rsidRPr="005D15FE">
        <w:rPr>
          <w:color w:val="000000"/>
          <w:lang w:eastAsia="de-DE"/>
        </w:rPr>
        <w:t>Podrobné informace o tomto veterinárním léčivém přípravku naleznete také v národní databázi (</w:t>
      </w:r>
      <w:hyperlink r:id="rId8" w:history="1">
        <w:r w:rsidRPr="005D15FE">
          <w:rPr>
            <w:rStyle w:val="Hypertextovodkaz"/>
            <w:lang w:eastAsia="de-DE"/>
          </w:rPr>
          <w:t>https://www.uskvbl.cz</w:t>
        </w:r>
      </w:hyperlink>
      <w:r w:rsidRPr="005D15FE">
        <w:rPr>
          <w:color w:val="000000"/>
          <w:lang w:eastAsia="de-DE"/>
        </w:rPr>
        <w:t xml:space="preserve">). </w:t>
      </w:r>
    </w:p>
    <w:p w:rsidR="005D15FE" w:rsidRPr="005C75DE" w:rsidRDefault="005D15FE" w:rsidP="00D077DB">
      <w:pPr>
        <w:spacing w:after="5"/>
        <w:ind w:left="11" w:hanging="10"/>
        <w:rPr>
          <w:color w:val="000000"/>
          <w:lang w:eastAsia="de-DE"/>
        </w:rPr>
      </w:pP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</w:p>
    <w:p w:rsidR="00D077DB" w:rsidRPr="005C75DE" w:rsidRDefault="00D077DB" w:rsidP="00D077DB">
      <w:pPr>
        <w:spacing w:after="5"/>
        <w:ind w:left="11" w:hanging="10"/>
        <w:rPr>
          <w:b/>
          <w:color w:val="000000"/>
          <w:lang w:eastAsia="de-DE"/>
        </w:rPr>
      </w:pPr>
      <w:r w:rsidRPr="005C75DE">
        <w:rPr>
          <w:b/>
          <w:color w:val="000000"/>
          <w:lang w:eastAsia="de-DE"/>
        </w:rPr>
        <w:t>DALŠÍ INFORMACE</w:t>
      </w: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</w:p>
    <w:p w:rsidR="00D077DB" w:rsidRPr="005C75DE" w:rsidRDefault="00D077DB" w:rsidP="00D077DB">
      <w:pPr>
        <w:spacing w:after="5"/>
        <w:ind w:left="11" w:hanging="10"/>
        <w:rPr>
          <w:color w:val="000000"/>
          <w:lang w:eastAsia="de-DE"/>
        </w:rPr>
      </w:pPr>
      <w:r w:rsidRPr="005C75DE">
        <w:rPr>
          <w:color w:val="000000"/>
          <w:lang w:eastAsia="de-DE"/>
        </w:rPr>
        <w:t>Veterinární léčivý přípravek je vydáván pouze na předpis.</w:t>
      </w:r>
    </w:p>
    <w:p w:rsidR="00990659" w:rsidRPr="005C75DE" w:rsidRDefault="00990659" w:rsidP="00D077DB"/>
    <w:sectPr w:rsidR="00990659" w:rsidRPr="005C75DE" w:rsidSect="0023064F">
      <w:footerReference w:type="default" r:id="rId9"/>
      <w:footerReference w:type="first" r:id="rId10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B3E" w:rsidRDefault="00F55B3E">
      <w:r>
        <w:separator/>
      </w:r>
    </w:p>
  </w:endnote>
  <w:endnote w:type="continuationSeparator" w:id="0">
    <w:p w:rsidR="00F55B3E" w:rsidRDefault="00F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706B7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D077D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706B7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D077D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B3E" w:rsidRDefault="00F55B3E">
      <w:r>
        <w:separator/>
      </w:r>
    </w:p>
  </w:footnote>
  <w:footnote w:type="continuationSeparator" w:id="0">
    <w:p w:rsidR="00F55B3E" w:rsidRDefault="00F5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1353DC"/>
    <w:rsid w:val="00196D10"/>
    <w:rsid w:val="001C21FF"/>
    <w:rsid w:val="0023064F"/>
    <w:rsid w:val="0023229B"/>
    <w:rsid w:val="002A0BAF"/>
    <w:rsid w:val="00502C30"/>
    <w:rsid w:val="005C75DE"/>
    <w:rsid w:val="005D15FE"/>
    <w:rsid w:val="00627B9C"/>
    <w:rsid w:val="00644463"/>
    <w:rsid w:val="006E113D"/>
    <w:rsid w:val="006F52B7"/>
    <w:rsid w:val="00706B7F"/>
    <w:rsid w:val="00726F15"/>
    <w:rsid w:val="007856CC"/>
    <w:rsid w:val="007A0120"/>
    <w:rsid w:val="007A45A9"/>
    <w:rsid w:val="00990659"/>
    <w:rsid w:val="009C298D"/>
    <w:rsid w:val="00A82534"/>
    <w:rsid w:val="00A90943"/>
    <w:rsid w:val="00AB3C40"/>
    <w:rsid w:val="00AC2FEC"/>
    <w:rsid w:val="00B04F14"/>
    <w:rsid w:val="00B61E77"/>
    <w:rsid w:val="00C16605"/>
    <w:rsid w:val="00CD326C"/>
    <w:rsid w:val="00CD4ACF"/>
    <w:rsid w:val="00D00C42"/>
    <w:rsid w:val="00D077DB"/>
    <w:rsid w:val="00D13EC1"/>
    <w:rsid w:val="00D73B2F"/>
    <w:rsid w:val="00DD16BD"/>
    <w:rsid w:val="00E541DF"/>
    <w:rsid w:val="00E71162"/>
    <w:rsid w:val="00F55B3E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DEEFE"/>
  <w15:docId w15:val="{1BA349BD-B866-4B8D-A1EE-523B0D1F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3064F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3064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064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064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064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064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064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064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pPr>
      <w:jc w:val="both"/>
    </w:pPr>
    <w:rPr>
      <w:sz w:val="20"/>
    </w:rPr>
  </w:style>
  <w:style w:type="paragraph" w:styleId="Zkladntext">
    <w:name w:val="Body Text"/>
    <w:basedOn w:val="Normln"/>
    <w:rsid w:val="0023064F"/>
    <w:pPr>
      <w:jc w:val="both"/>
    </w:pPr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pPr>
      <w:jc w:val="both"/>
    </w:pPr>
    <w:rPr>
      <w:b/>
    </w:rPr>
  </w:style>
  <w:style w:type="paragraph" w:styleId="Textkomente">
    <w:name w:val="annotation text"/>
    <w:basedOn w:val="Normln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1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1586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Zemek Jiří</dc:creator>
  <cp:keywords/>
  <dc:description/>
  <cp:lastModifiedBy>Neugebauerová Kateřina</cp:lastModifiedBy>
  <cp:revision>6</cp:revision>
  <cp:lastPrinted>2022-09-15T10:08:00Z</cp:lastPrinted>
  <dcterms:created xsi:type="dcterms:W3CDTF">2023-06-12T11:06:00Z</dcterms:created>
  <dcterms:modified xsi:type="dcterms:W3CDTF">2023-06-23T13:17:00Z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