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34" w:rsidRDefault="00C27134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Default="00DE1A63" w:rsidP="00C27134">
      <w:pPr>
        <w:jc w:val="center"/>
        <w:rPr>
          <w:b/>
        </w:rPr>
      </w:pPr>
    </w:p>
    <w:p w:rsidR="00DE1A63" w:rsidRPr="00F30D3F" w:rsidRDefault="00DE1A63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C27134" w:rsidRPr="00F30D3F" w:rsidRDefault="00C27134" w:rsidP="00C27134">
      <w:pPr>
        <w:jc w:val="center"/>
        <w:rPr>
          <w:b/>
        </w:rPr>
      </w:pPr>
    </w:p>
    <w:p w:rsidR="003F109B" w:rsidRPr="003F109B" w:rsidRDefault="003F109B" w:rsidP="003F109B">
      <w:pPr>
        <w:ind w:right="113"/>
        <w:jc w:val="center"/>
      </w:pPr>
      <w:r w:rsidRPr="003F109B">
        <w:rPr>
          <w:b/>
        </w:rPr>
        <w:t>PŘÍBALOVÁ INFORMACE</w:t>
      </w:r>
    </w:p>
    <w:p w:rsidR="003F109B" w:rsidRPr="003F109B" w:rsidRDefault="003F109B" w:rsidP="00EB337A">
      <w:pPr>
        <w:jc w:val="center"/>
      </w:pPr>
      <w:r w:rsidRPr="003F109B">
        <w:br w:type="page"/>
      </w:r>
      <w:r w:rsidRPr="003F109B">
        <w:rPr>
          <w:b/>
        </w:rPr>
        <w:lastRenderedPageBreak/>
        <w:t>PŘÍBALOVÁ INFORMACE</w:t>
      </w:r>
    </w:p>
    <w:p w:rsidR="003F109B" w:rsidRPr="003F109B" w:rsidRDefault="003F109B" w:rsidP="003F109B"/>
    <w:p w:rsidR="003F109B" w:rsidRPr="003F109B" w:rsidRDefault="003F109B" w:rsidP="00EB337A">
      <w:pPr>
        <w:jc w:val="center"/>
      </w:pPr>
      <w:r w:rsidRPr="003F109B">
        <w:rPr>
          <w:b/>
        </w:rPr>
        <w:t xml:space="preserve">FIXR M </w:t>
      </w:r>
      <w:proofErr w:type="spellStart"/>
      <w:r w:rsidRPr="003F109B">
        <w:rPr>
          <w:b/>
        </w:rPr>
        <w:t>Hyo</w:t>
      </w:r>
      <w:proofErr w:type="spellEnd"/>
      <w:r w:rsidRPr="003F109B">
        <w:rPr>
          <w:b/>
        </w:rPr>
        <w:t xml:space="preserve"> </w:t>
      </w:r>
      <w:proofErr w:type="spellStart"/>
      <w:r w:rsidRPr="003F109B">
        <w:rPr>
          <w:b/>
        </w:rPr>
        <w:t>One</w:t>
      </w:r>
      <w:proofErr w:type="spellEnd"/>
      <w:r w:rsidRPr="003F109B">
        <w:t xml:space="preserve"> injekční emulze pro prasata</w:t>
      </w:r>
    </w:p>
    <w:p w:rsidR="003F109B" w:rsidRPr="003F109B" w:rsidRDefault="003F109B" w:rsidP="003F109B"/>
    <w:p w:rsidR="003F109B" w:rsidRPr="003F109B" w:rsidRDefault="003F109B" w:rsidP="003F109B"/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1.</w:t>
      </w:r>
      <w:r w:rsidRPr="003F109B">
        <w:rPr>
          <w:b/>
        </w:rPr>
        <w:tab/>
        <w:t>JMÉNO A ADRESA DRŽITELE ROZHODNUTÍ O REGISTRACI A DRŽITELE POVOLENÍ K VÝROBĚ ODPOVĚDNÉHO ZA UVOLNĚNÍ ŠARŽE, POKUD SE NESHODUJE</w:t>
      </w:r>
    </w:p>
    <w:p w:rsidR="003F109B" w:rsidRPr="003F109B" w:rsidRDefault="003F109B" w:rsidP="003F109B"/>
    <w:p w:rsidR="003F109B" w:rsidRPr="003F109B" w:rsidRDefault="003F109B" w:rsidP="003F109B">
      <w:pPr>
        <w:rPr>
          <w:iCs/>
        </w:rPr>
      </w:pPr>
      <w:r w:rsidRPr="003F109B">
        <w:rPr>
          <w:iCs/>
          <w:u w:val="single"/>
        </w:rPr>
        <w:t>Držitel rozhodnutí o registraci</w:t>
      </w:r>
      <w:r w:rsidRPr="003F109B">
        <w:rPr>
          <w:iCs/>
        </w:rPr>
        <w:t>:</w:t>
      </w:r>
    </w:p>
    <w:p w:rsidR="003F109B" w:rsidRPr="003F109B" w:rsidRDefault="003F109B" w:rsidP="003F109B">
      <w:pPr>
        <w:autoSpaceDE w:val="0"/>
        <w:autoSpaceDN w:val="0"/>
        <w:adjustRightInd w:val="0"/>
        <w:ind w:left="0" w:firstLine="0"/>
        <w:rPr>
          <w:rFonts w:ascii="EUAlbertina" w:hAnsi="EUAlbertina" w:cs="EUAlbertina"/>
          <w:color w:val="000000"/>
          <w:sz w:val="24"/>
          <w:szCs w:val="24"/>
          <w:lang w:val="it-IT" w:eastAsia="it-IT"/>
        </w:rPr>
      </w:pPr>
      <w:r w:rsidRPr="003F109B">
        <w:rPr>
          <w:rFonts w:ascii="EUAlbertina" w:hAnsi="EUAlbertina" w:cs="EUAlbertina"/>
          <w:bCs/>
          <w:color w:val="000000"/>
          <w:sz w:val="24"/>
          <w:szCs w:val="24"/>
          <w:lang w:val="it-IT" w:eastAsia="it-IT"/>
        </w:rPr>
        <w:t xml:space="preserve">Kernfarm B.V. </w:t>
      </w:r>
    </w:p>
    <w:p w:rsidR="003F109B" w:rsidRPr="003F109B" w:rsidRDefault="003F109B" w:rsidP="003F109B">
      <w:pPr>
        <w:autoSpaceDE w:val="0"/>
        <w:autoSpaceDN w:val="0"/>
        <w:adjustRightInd w:val="0"/>
        <w:ind w:left="0" w:firstLine="0"/>
        <w:rPr>
          <w:rFonts w:ascii="EUAlbertina" w:hAnsi="EUAlbertina" w:cs="EUAlbertina"/>
          <w:color w:val="000000"/>
          <w:sz w:val="24"/>
          <w:szCs w:val="24"/>
          <w:lang w:val="nl-NL" w:eastAsia="it-IT"/>
        </w:rPr>
      </w:pPr>
      <w:r w:rsidRPr="003F109B">
        <w:rPr>
          <w:rFonts w:ascii="EUAlbertina" w:hAnsi="EUAlbertina" w:cs="EUAlbertina"/>
          <w:color w:val="000000"/>
          <w:sz w:val="24"/>
          <w:szCs w:val="24"/>
          <w:lang w:val="nl-NL" w:eastAsia="it-IT"/>
        </w:rPr>
        <w:t xml:space="preserve">De Corridor 14D </w:t>
      </w:r>
    </w:p>
    <w:p w:rsidR="003F109B" w:rsidRPr="003F109B" w:rsidRDefault="003F109B" w:rsidP="003F109B">
      <w:pPr>
        <w:autoSpaceDE w:val="0"/>
        <w:autoSpaceDN w:val="0"/>
        <w:adjustRightInd w:val="0"/>
        <w:ind w:left="0" w:firstLine="0"/>
        <w:rPr>
          <w:rFonts w:ascii="EUAlbertina" w:hAnsi="EUAlbertina" w:cs="EUAlbertina"/>
          <w:color w:val="000000"/>
          <w:sz w:val="24"/>
          <w:szCs w:val="24"/>
          <w:lang w:val="nl-NL" w:eastAsia="it-IT"/>
        </w:rPr>
      </w:pPr>
      <w:r w:rsidRPr="003F109B">
        <w:rPr>
          <w:rFonts w:ascii="EUAlbertina" w:hAnsi="EUAlbertina" w:cs="EUAlbertina"/>
          <w:color w:val="000000"/>
          <w:sz w:val="24"/>
          <w:szCs w:val="24"/>
          <w:lang w:val="nl-NL" w:eastAsia="it-IT"/>
        </w:rPr>
        <w:t xml:space="preserve">3621 ZB Breukelen </w:t>
      </w:r>
    </w:p>
    <w:p w:rsidR="0072777B" w:rsidRPr="0072777B" w:rsidRDefault="0072777B" w:rsidP="0072777B">
      <w:pPr>
        <w:ind w:left="0" w:firstLine="0"/>
        <w:rPr>
          <w:szCs w:val="22"/>
        </w:rPr>
      </w:pPr>
      <w:r w:rsidRPr="0072777B">
        <w:rPr>
          <w:szCs w:val="22"/>
        </w:rPr>
        <w:t>Nizozemsko</w:t>
      </w:r>
    </w:p>
    <w:p w:rsidR="003F109B" w:rsidRPr="003F109B" w:rsidRDefault="003F109B" w:rsidP="003F109B"/>
    <w:p w:rsidR="003F109B" w:rsidRPr="003F109B" w:rsidRDefault="003F109B" w:rsidP="003F109B">
      <w:pPr>
        <w:rPr>
          <w:bCs/>
          <w:u w:val="single"/>
        </w:rPr>
      </w:pPr>
      <w:r w:rsidRPr="003F109B">
        <w:rPr>
          <w:bCs/>
          <w:u w:val="single"/>
        </w:rPr>
        <w:t>Výrobce odpovědný za uvolnění šarže</w:t>
      </w:r>
      <w:r w:rsidRPr="003F109B">
        <w:t>:</w:t>
      </w:r>
    </w:p>
    <w:p w:rsidR="003F109B" w:rsidRPr="003F109B" w:rsidRDefault="003F109B" w:rsidP="003F109B">
      <w:pPr>
        <w:autoSpaceDE w:val="0"/>
        <w:autoSpaceDN w:val="0"/>
        <w:adjustRightInd w:val="0"/>
        <w:ind w:left="0" w:firstLine="0"/>
        <w:rPr>
          <w:rFonts w:ascii="EUAlbertina" w:hAnsi="EUAlbertina" w:cs="EUAlbertina"/>
          <w:color w:val="000000"/>
          <w:sz w:val="24"/>
          <w:szCs w:val="24"/>
          <w:lang w:val="nl-NL" w:eastAsia="it-IT"/>
        </w:rPr>
      </w:pPr>
      <w:r w:rsidRPr="003F109B">
        <w:rPr>
          <w:rFonts w:ascii="EUAlbertina" w:hAnsi="EUAlbertina" w:cs="EUAlbertina"/>
          <w:color w:val="000000"/>
          <w:sz w:val="24"/>
          <w:szCs w:val="24"/>
          <w:lang w:val="nl-NL" w:eastAsia="it-IT"/>
        </w:rPr>
        <w:t xml:space="preserve">Bioveta, a.s. </w:t>
      </w:r>
    </w:p>
    <w:p w:rsidR="003F109B" w:rsidRPr="003F109B" w:rsidRDefault="003F109B" w:rsidP="003F109B">
      <w:pPr>
        <w:autoSpaceDE w:val="0"/>
        <w:autoSpaceDN w:val="0"/>
        <w:adjustRightInd w:val="0"/>
        <w:ind w:left="0" w:firstLine="0"/>
        <w:rPr>
          <w:rFonts w:ascii="EUAlbertina" w:hAnsi="EUAlbertina" w:cs="EUAlbertina"/>
          <w:color w:val="000000"/>
          <w:sz w:val="24"/>
          <w:szCs w:val="24"/>
          <w:lang w:val="nl-NL" w:eastAsia="it-IT"/>
        </w:rPr>
      </w:pPr>
      <w:r w:rsidRPr="003F109B">
        <w:rPr>
          <w:rFonts w:ascii="EUAlbertina" w:hAnsi="EUAlbertina" w:cs="EUAlbertina"/>
          <w:color w:val="000000"/>
          <w:sz w:val="24"/>
          <w:szCs w:val="24"/>
          <w:lang w:val="nl-NL" w:eastAsia="it-IT"/>
        </w:rPr>
        <w:t xml:space="preserve">Komenského 212/12 </w:t>
      </w:r>
    </w:p>
    <w:p w:rsidR="003F109B" w:rsidRPr="003F109B" w:rsidRDefault="0072777B" w:rsidP="003F109B">
      <w:pPr>
        <w:autoSpaceDE w:val="0"/>
        <w:autoSpaceDN w:val="0"/>
        <w:adjustRightInd w:val="0"/>
        <w:ind w:left="0" w:firstLine="0"/>
        <w:rPr>
          <w:rFonts w:ascii="EUAlbertina" w:hAnsi="EUAlbertina" w:cs="EUAlbertina"/>
          <w:color w:val="000000"/>
          <w:sz w:val="24"/>
          <w:szCs w:val="24"/>
          <w:lang w:val="nl-NL" w:eastAsia="it-IT"/>
        </w:rPr>
      </w:pPr>
      <w:r w:rsidRPr="0072777B">
        <w:rPr>
          <w:rFonts w:ascii="EUAlbertina" w:hAnsi="EUAlbertina" w:cs="EUAlbertina"/>
          <w:color w:val="000000"/>
          <w:sz w:val="24"/>
          <w:szCs w:val="24"/>
          <w:lang w:val="nl-NL" w:eastAsia="it-IT"/>
        </w:rPr>
        <w:t xml:space="preserve">683 23 </w:t>
      </w:r>
      <w:r w:rsidR="003F109B" w:rsidRPr="003F109B">
        <w:rPr>
          <w:rFonts w:ascii="EUAlbertina" w:hAnsi="EUAlbertina" w:cs="EUAlbertina"/>
          <w:color w:val="000000"/>
          <w:sz w:val="24"/>
          <w:szCs w:val="24"/>
          <w:lang w:val="nl-NL" w:eastAsia="it-IT"/>
        </w:rPr>
        <w:t xml:space="preserve">Ivanovice na Hané </w:t>
      </w:r>
    </w:p>
    <w:p w:rsidR="0072777B" w:rsidRPr="0072777B" w:rsidRDefault="0072777B" w:rsidP="0072777B">
      <w:pPr>
        <w:autoSpaceDE w:val="0"/>
        <w:autoSpaceDN w:val="0"/>
        <w:adjustRightInd w:val="0"/>
        <w:ind w:left="0" w:firstLine="0"/>
        <w:rPr>
          <w:rFonts w:ascii="EUAlbertina" w:hAnsi="EUAlbertina" w:cs="EUAlbertina"/>
          <w:color w:val="000000"/>
          <w:sz w:val="24"/>
          <w:szCs w:val="24"/>
          <w:lang w:eastAsia="it-IT"/>
        </w:rPr>
      </w:pPr>
      <w:r w:rsidRPr="0072777B">
        <w:rPr>
          <w:rFonts w:ascii="EUAlbertina" w:hAnsi="EUAlbertina" w:cs="EUAlbertina"/>
          <w:color w:val="000000"/>
          <w:sz w:val="24"/>
          <w:szCs w:val="24"/>
          <w:lang w:eastAsia="it-IT"/>
        </w:rPr>
        <w:t>Česká republika</w:t>
      </w:r>
    </w:p>
    <w:p w:rsidR="003F109B" w:rsidRPr="003F109B" w:rsidRDefault="003F109B" w:rsidP="003F109B"/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2.</w:t>
      </w:r>
      <w:r w:rsidRPr="003F109B">
        <w:rPr>
          <w:b/>
        </w:rPr>
        <w:tab/>
        <w:t>NÁZEV VETERINÁRNÍHO LÉČIVÉHO PŘÍPRAVKU</w:t>
      </w:r>
    </w:p>
    <w:p w:rsidR="003F109B" w:rsidRPr="003F109B" w:rsidRDefault="003F109B" w:rsidP="003F109B">
      <w:pPr>
        <w:ind w:left="0" w:firstLine="0"/>
      </w:pPr>
    </w:p>
    <w:p w:rsidR="003F109B" w:rsidRPr="003F109B" w:rsidRDefault="003F109B" w:rsidP="003F109B">
      <w:r w:rsidRPr="003F109B">
        <w:t xml:space="preserve">FIXR M </w:t>
      </w:r>
      <w:proofErr w:type="spellStart"/>
      <w:r w:rsidRPr="003F109B">
        <w:t>Hyo</w:t>
      </w:r>
      <w:proofErr w:type="spellEnd"/>
      <w:r w:rsidRPr="003F109B">
        <w:t xml:space="preserve"> </w:t>
      </w:r>
      <w:proofErr w:type="spellStart"/>
      <w:r w:rsidRPr="003F109B">
        <w:t>One</w:t>
      </w:r>
      <w:proofErr w:type="spellEnd"/>
      <w:r w:rsidRPr="003F109B">
        <w:t xml:space="preserve"> injekční emulze pro prasata</w:t>
      </w:r>
    </w:p>
    <w:p w:rsidR="003F109B" w:rsidRPr="003F109B" w:rsidRDefault="003F109B" w:rsidP="003F109B"/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3.</w:t>
      </w:r>
      <w:r w:rsidRPr="003F109B">
        <w:rPr>
          <w:b/>
        </w:rPr>
        <w:tab/>
        <w:t>OBSAH LÉČIVÝCH A OSTATNÍCH LÁTEK</w:t>
      </w:r>
    </w:p>
    <w:p w:rsidR="003F109B" w:rsidRPr="003F109B" w:rsidRDefault="003F109B" w:rsidP="003F109B"/>
    <w:p w:rsidR="003F109B" w:rsidRPr="003F109B" w:rsidRDefault="0072777B" w:rsidP="003F109B">
      <w:pPr>
        <w:spacing w:line="360" w:lineRule="auto"/>
        <w:ind w:left="0" w:firstLine="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Každá</w:t>
      </w:r>
      <w:r w:rsidRPr="003F109B">
        <w:rPr>
          <w:rFonts w:eastAsia="Calibri"/>
          <w:szCs w:val="22"/>
        </w:rPr>
        <w:t xml:space="preserve"> </w:t>
      </w:r>
      <w:r w:rsidR="003F109B" w:rsidRPr="003F109B">
        <w:rPr>
          <w:rFonts w:eastAsia="Calibri"/>
          <w:szCs w:val="22"/>
        </w:rPr>
        <w:t>vakcinační dávka</w:t>
      </w:r>
      <w:r w:rsidR="003F109B" w:rsidRPr="003F109B" w:rsidDel="00B67F82">
        <w:rPr>
          <w:rFonts w:eastAsia="Calibri"/>
          <w:szCs w:val="22"/>
        </w:rPr>
        <w:t xml:space="preserve"> </w:t>
      </w:r>
      <w:r w:rsidR="003F109B" w:rsidRPr="003F109B">
        <w:rPr>
          <w:rFonts w:eastAsia="Calibri"/>
          <w:szCs w:val="22"/>
        </w:rPr>
        <w:t>(2 ml) obsahuje:</w:t>
      </w:r>
    </w:p>
    <w:p w:rsidR="003F109B" w:rsidRPr="003F109B" w:rsidRDefault="003F109B" w:rsidP="003F109B">
      <w:pPr>
        <w:spacing w:line="360" w:lineRule="auto"/>
        <w:ind w:left="0" w:firstLine="0"/>
        <w:jc w:val="both"/>
        <w:rPr>
          <w:rFonts w:eastAsia="Calibri"/>
          <w:b/>
          <w:szCs w:val="22"/>
        </w:rPr>
      </w:pPr>
      <w:r w:rsidRPr="003F109B">
        <w:rPr>
          <w:rFonts w:eastAsia="Calibri"/>
          <w:b/>
          <w:szCs w:val="22"/>
        </w:rPr>
        <w:t>Léčivé látky:</w:t>
      </w:r>
    </w:p>
    <w:p w:rsidR="003F109B" w:rsidRPr="003F109B" w:rsidRDefault="003F109B" w:rsidP="003F109B">
      <w:pPr>
        <w:spacing w:line="360" w:lineRule="auto"/>
        <w:ind w:left="0" w:firstLine="0"/>
        <w:jc w:val="both"/>
        <w:rPr>
          <w:rFonts w:eastAsia="Calibri"/>
          <w:szCs w:val="22"/>
        </w:rPr>
      </w:pPr>
      <w:proofErr w:type="spellStart"/>
      <w:r w:rsidRPr="003F109B">
        <w:rPr>
          <w:rFonts w:eastAsia="Calibri"/>
          <w:i/>
          <w:szCs w:val="22"/>
        </w:rPr>
        <w:t>Mycoplasma</w:t>
      </w:r>
      <w:proofErr w:type="spellEnd"/>
      <w:r w:rsidRPr="003F109B">
        <w:rPr>
          <w:rFonts w:eastAsia="Calibri"/>
          <w:i/>
          <w:szCs w:val="22"/>
        </w:rPr>
        <w:t xml:space="preserve"> </w:t>
      </w:r>
      <w:proofErr w:type="spellStart"/>
      <w:r w:rsidRPr="003F109B">
        <w:rPr>
          <w:rFonts w:eastAsia="Calibri"/>
          <w:i/>
          <w:szCs w:val="22"/>
        </w:rPr>
        <w:t>hyopneumoniae</w:t>
      </w:r>
      <w:proofErr w:type="spellEnd"/>
      <w:r w:rsidR="0072777B">
        <w:rPr>
          <w:rFonts w:eastAsia="Calibri"/>
          <w:szCs w:val="22"/>
        </w:rPr>
        <w:t xml:space="preserve">, </w:t>
      </w:r>
      <w:r w:rsidR="0072777B" w:rsidRPr="0072777B">
        <w:rPr>
          <w:rFonts w:eastAsia="Calibri"/>
          <w:szCs w:val="22"/>
        </w:rPr>
        <w:t>inaktivovaná</w:t>
      </w:r>
      <w:r w:rsidR="00647C7D">
        <w:rPr>
          <w:rFonts w:eastAsia="Calibri"/>
          <w:szCs w:val="22"/>
        </w:rPr>
        <w:t>,</w:t>
      </w:r>
      <w:r w:rsidRPr="003F109B">
        <w:rPr>
          <w:rFonts w:eastAsia="Calibri"/>
          <w:i/>
          <w:szCs w:val="22"/>
        </w:rPr>
        <w:t xml:space="preserve"> </w:t>
      </w:r>
      <w:r w:rsidRPr="003F109B">
        <w:rPr>
          <w:rFonts w:eastAsia="Calibri"/>
          <w:szCs w:val="22"/>
        </w:rPr>
        <w:t>kmen 1137</w:t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  <w:t>RP ≥ 1*</w:t>
      </w:r>
    </w:p>
    <w:p w:rsidR="003F109B" w:rsidRPr="003F109B" w:rsidRDefault="003F109B" w:rsidP="003F109B">
      <w:pPr>
        <w:widowControl w:val="0"/>
        <w:autoSpaceDE w:val="0"/>
        <w:autoSpaceDN w:val="0"/>
        <w:adjustRightInd w:val="0"/>
        <w:ind w:left="851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*RP = Relativní účinnost (ELISA test) ve srovnání s referenčním sérem získaném po vakcinaci myší šarží vakcíny, která vyhověla v </w:t>
      </w:r>
      <w:proofErr w:type="spellStart"/>
      <w:r w:rsidRPr="003F109B">
        <w:rPr>
          <w:rFonts w:eastAsia="Calibri"/>
          <w:szCs w:val="22"/>
        </w:rPr>
        <w:t>čelenžním</w:t>
      </w:r>
      <w:proofErr w:type="spellEnd"/>
      <w:r w:rsidRPr="003F109B">
        <w:rPr>
          <w:rFonts w:eastAsia="Calibri"/>
          <w:szCs w:val="22"/>
        </w:rPr>
        <w:t xml:space="preserve"> testu na cílovém druhu zvířat.</w:t>
      </w:r>
    </w:p>
    <w:p w:rsidR="003F109B" w:rsidRPr="003F109B" w:rsidRDefault="003F109B" w:rsidP="003F109B">
      <w:pPr>
        <w:autoSpaceDE w:val="0"/>
        <w:autoSpaceDN w:val="0"/>
        <w:adjustRightInd w:val="0"/>
        <w:ind w:left="0" w:firstLine="0"/>
        <w:jc w:val="both"/>
        <w:rPr>
          <w:rFonts w:eastAsia="Calibri" w:cs="Arial"/>
          <w:noProof/>
          <w:szCs w:val="22"/>
          <w:lang w:val="yo-NG" w:eastAsia="cs-CZ" w:bidi="cs-CZ"/>
        </w:rPr>
      </w:pPr>
    </w:p>
    <w:p w:rsidR="003F109B" w:rsidRPr="003F109B" w:rsidRDefault="003F109B" w:rsidP="003F109B">
      <w:pPr>
        <w:ind w:left="0" w:firstLine="0"/>
        <w:jc w:val="both"/>
        <w:rPr>
          <w:rFonts w:eastAsia="Calibri"/>
          <w:b/>
          <w:szCs w:val="22"/>
        </w:rPr>
      </w:pPr>
      <w:r w:rsidRPr="003F109B">
        <w:rPr>
          <w:rFonts w:eastAsia="Calibri"/>
          <w:b/>
          <w:szCs w:val="22"/>
        </w:rPr>
        <w:t>Adjuvans: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proofErr w:type="spellStart"/>
      <w:r w:rsidRPr="003F109B">
        <w:rPr>
          <w:rFonts w:eastAsia="Calibri"/>
          <w:szCs w:val="22"/>
        </w:rPr>
        <w:t>Montanide</w:t>
      </w:r>
      <w:proofErr w:type="spellEnd"/>
      <w:r w:rsidRPr="003F109B">
        <w:rPr>
          <w:rFonts w:eastAsia="Calibri"/>
          <w:szCs w:val="22"/>
        </w:rPr>
        <w:t xml:space="preserve"> ISA 35 VG</w:t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  <w:t xml:space="preserve">            0,2 ml</w:t>
      </w:r>
    </w:p>
    <w:p w:rsidR="003F109B" w:rsidRPr="003F109B" w:rsidRDefault="003F109B" w:rsidP="003F109B">
      <w:pPr>
        <w:spacing w:line="360" w:lineRule="auto"/>
        <w:ind w:left="0" w:firstLine="0"/>
        <w:jc w:val="both"/>
        <w:rPr>
          <w:rFonts w:eastAsia="Calibri"/>
          <w:szCs w:val="22"/>
        </w:rPr>
      </w:pPr>
    </w:p>
    <w:p w:rsidR="003F109B" w:rsidRPr="003F109B" w:rsidRDefault="003F109B" w:rsidP="003F109B">
      <w:pPr>
        <w:ind w:left="0" w:firstLine="0"/>
        <w:jc w:val="both"/>
        <w:rPr>
          <w:rFonts w:eastAsia="Calibri"/>
          <w:b/>
          <w:szCs w:val="22"/>
        </w:rPr>
      </w:pPr>
      <w:proofErr w:type="spellStart"/>
      <w:r w:rsidRPr="003F109B">
        <w:rPr>
          <w:rFonts w:eastAsia="Calibri"/>
          <w:b/>
          <w:szCs w:val="22"/>
        </w:rPr>
        <w:t>Excipiens</w:t>
      </w:r>
      <w:proofErr w:type="spellEnd"/>
      <w:r w:rsidRPr="003F109B">
        <w:rPr>
          <w:rFonts w:eastAsia="Calibri"/>
          <w:b/>
          <w:szCs w:val="22"/>
        </w:rPr>
        <w:t>: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Roztok formaldehydu 35% </w:t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  <w:t>max. 2 mg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Thiomersal                                                                            </w:t>
      </w:r>
      <w:r w:rsidRPr="003F109B">
        <w:rPr>
          <w:rFonts w:eastAsia="Calibri"/>
          <w:szCs w:val="22"/>
        </w:rPr>
        <w:tab/>
        <w:t>0,2 mg</w:t>
      </w:r>
    </w:p>
    <w:p w:rsidR="003F109B" w:rsidRPr="003F109B" w:rsidRDefault="003F109B" w:rsidP="003F109B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 w:cs="Arial"/>
          <w:noProof/>
          <w:szCs w:val="22"/>
          <w:lang w:val="yo-NG" w:eastAsia="cs-CZ" w:bidi="cs-CZ"/>
        </w:rPr>
      </w:pPr>
    </w:p>
    <w:p w:rsidR="003F109B" w:rsidRPr="003F109B" w:rsidRDefault="003F109B" w:rsidP="003F109B">
      <w:pPr>
        <w:autoSpaceDE w:val="0"/>
        <w:autoSpaceDN w:val="0"/>
        <w:adjustRightInd w:val="0"/>
        <w:ind w:left="0" w:firstLine="0"/>
        <w:jc w:val="both"/>
        <w:rPr>
          <w:noProof/>
          <w:szCs w:val="22"/>
          <w:lang w:val="yo-NG" w:eastAsia="cs-CZ" w:bidi="cs-CZ"/>
        </w:rPr>
      </w:pPr>
      <w:r w:rsidRPr="003F109B">
        <w:rPr>
          <w:rFonts w:eastAsia="Calibri" w:cs="Arial"/>
          <w:noProof/>
          <w:szCs w:val="22"/>
          <w:lang w:val="yo-NG" w:eastAsia="cs-CZ" w:bidi="cs-CZ"/>
        </w:rPr>
        <w:t xml:space="preserve">Vzhled: </w:t>
      </w:r>
      <w:r w:rsidRPr="003F109B">
        <w:rPr>
          <w:rFonts w:eastAsia="Calibri" w:cs="Arial"/>
          <w:noProof/>
          <w:sz w:val="24"/>
          <w:szCs w:val="22"/>
          <w:lang w:val="yo-NG" w:eastAsia="cs-CZ" w:bidi="cs-CZ"/>
        </w:rPr>
        <w:t xml:space="preserve">Mléčná tekutina žlutobílé až světle růžové barvy bez </w:t>
      </w:r>
      <w:r w:rsidRPr="003F109B">
        <w:rPr>
          <w:rFonts w:eastAsia="Calibri" w:cs="Arial"/>
          <w:noProof/>
          <w:sz w:val="24"/>
          <w:szCs w:val="22"/>
          <w:lang w:eastAsia="cs-CZ" w:bidi="cs-CZ"/>
        </w:rPr>
        <w:t>sedimentu</w:t>
      </w:r>
      <w:r w:rsidRPr="003F109B">
        <w:rPr>
          <w:rFonts w:eastAsia="Calibri" w:cs="Arial"/>
          <w:noProof/>
          <w:sz w:val="24"/>
          <w:szCs w:val="22"/>
          <w:lang w:val="yo-NG" w:eastAsia="cs-CZ" w:bidi="cs-CZ"/>
        </w:rPr>
        <w:t xml:space="preserve">, nebo s malým množstvím </w:t>
      </w:r>
      <w:r w:rsidRPr="003F109B">
        <w:rPr>
          <w:rFonts w:eastAsia="Calibri" w:cs="Arial"/>
          <w:noProof/>
          <w:sz w:val="24"/>
          <w:szCs w:val="22"/>
          <w:lang w:eastAsia="cs-CZ" w:bidi="cs-CZ"/>
        </w:rPr>
        <w:t>sedimentu</w:t>
      </w:r>
      <w:r w:rsidRPr="003F109B">
        <w:rPr>
          <w:rFonts w:eastAsia="Calibri" w:cs="Arial"/>
          <w:noProof/>
          <w:sz w:val="24"/>
          <w:szCs w:val="22"/>
          <w:lang w:val="yo-NG" w:eastAsia="cs-CZ" w:bidi="cs-CZ"/>
        </w:rPr>
        <w:t>, kter</w:t>
      </w:r>
      <w:r w:rsidRPr="003F109B">
        <w:rPr>
          <w:rFonts w:eastAsia="Calibri" w:cs="Arial"/>
          <w:noProof/>
          <w:sz w:val="24"/>
          <w:szCs w:val="22"/>
          <w:lang w:eastAsia="cs-CZ" w:bidi="cs-CZ"/>
        </w:rPr>
        <w:t>ý</w:t>
      </w:r>
      <w:r w:rsidRPr="003F109B">
        <w:rPr>
          <w:rFonts w:eastAsia="Calibri" w:cs="Arial"/>
          <w:noProof/>
          <w:sz w:val="24"/>
          <w:szCs w:val="22"/>
          <w:lang w:val="yo-NG" w:eastAsia="cs-CZ" w:bidi="cs-CZ"/>
        </w:rPr>
        <w:t xml:space="preserve"> se po protřepání rozptýlí.</w:t>
      </w:r>
    </w:p>
    <w:p w:rsidR="003F109B" w:rsidRPr="003F109B" w:rsidRDefault="003F109B" w:rsidP="003F109B"/>
    <w:p w:rsidR="003F109B" w:rsidRPr="003F109B" w:rsidRDefault="003F109B" w:rsidP="003F109B"/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4.</w:t>
      </w:r>
      <w:r w:rsidRPr="003F109B">
        <w:rPr>
          <w:b/>
        </w:rPr>
        <w:tab/>
        <w:t>INDIKACE</w:t>
      </w:r>
    </w:p>
    <w:p w:rsidR="003F109B" w:rsidRPr="003F109B" w:rsidRDefault="003F109B" w:rsidP="003F109B">
      <w:pPr>
        <w:rPr>
          <w:b/>
        </w:rPr>
      </w:pP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Pro aktivní imunizaci výkrmových prasat od 7 dnů věku ke snížení plicních lézí způsobených </w:t>
      </w:r>
      <w:proofErr w:type="spellStart"/>
      <w:r w:rsidRPr="00647C7D">
        <w:rPr>
          <w:rFonts w:eastAsia="Calibri"/>
          <w:i/>
          <w:szCs w:val="22"/>
        </w:rPr>
        <w:t>Mycoplasma</w:t>
      </w:r>
      <w:proofErr w:type="spellEnd"/>
      <w:r w:rsidRPr="00647C7D">
        <w:rPr>
          <w:rFonts w:eastAsia="Calibri"/>
          <w:i/>
          <w:szCs w:val="22"/>
        </w:rPr>
        <w:t xml:space="preserve"> </w:t>
      </w:r>
      <w:proofErr w:type="spellStart"/>
      <w:r w:rsidRPr="00647C7D">
        <w:rPr>
          <w:rFonts w:eastAsia="Calibri"/>
          <w:i/>
          <w:szCs w:val="22"/>
        </w:rPr>
        <w:t>hyopneumoniae</w:t>
      </w:r>
      <w:proofErr w:type="spellEnd"/>
      <w:r w:rsidRPr="003F109B">
        <w:rPr>
          <w:rFonts w:eastAsia="Calibri"/>
          <w:szCs w:val="22"/>
        </w:rPr>
        <w:t xml:space="preserve"> - původcem enzootické pneumonie u prasat.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>Nástup imunity: 14 dní po vakcinaci jednou dávkou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Na farmách s vysokým infekčním tlakem </w:t>
      </w:r>
      <w:proofErr w:type="spellStart"/>
      <w:r w:rsidRPr="00647C7D">
        <w:rPr>
          <w:rFonts w:eastAsia="Calibri"/>
          <w:i/>
          <w:szCs w:val="22"/>
        </w:rPr>
        <w:t>Mycoplasma</w:t>
      </w:r>
      <w:proofErr w:type="spellEnd"/>
      <w:r w:rsidRPr="00647C7D">
        <w:rPr>
          <w:rFonts w:eastAsia="Calibri"/>
          <w:i/>
          <w:szCs w:val="22"/>
        </w:rPr>
        <w:t xml:space="preserve"> </w:t>
      </w:r>
      <w:proofErr w:type="spellStart"/>
      <w:r w:rsidRPr="00647C7D">
        <w:rPr>
          <w:rFonts w:eastAsia="Calibri"/>
          <w:i/>
          <w:szCs w:val="22"/>
        </w:rPr>
        <w:t>hyopneumoniae</w:t>
      </w:r>
      <w:proofErr w:type="spellEnd"/>
      <w:r w:rsidRPr="003F109B">
        <w:rPr>
          <w:rFonts w:eastAsia="Calibri"/>
          <w:szCs w:val="22"/>
        </w:rPr>
        <w:t>, kde lze podat 2 dávky v intervalu 3 týdnů: 14 dní po dokončení vakcinačního schématu.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</w:p>
    <w:p w:rsidR="003F109B" w:rsidRPr="003F109B" w:rsidRDefault="003F109B" w:rsidP="003F109B">
      <w:pPr>
        <w:rPr>
          <w:szCs w:val="22"/>
        </w:rPr>
      </w:pPr>
      <w:r w:rsidRPr="003F109B">
        <w:rPr>
          <w:szCs w:val="22"/>
        </w:rPr>
        <w:t>Trvání imunity: 26 týdnů po vakcinaci jednou dávkou</w:t>
      </w:r>
    </w:p>
    <w:p w:rsidR="003F109B" w:rsidRPr="003F109B" w:rsidRDefault="003F109B" w:rsidP="003F109B">
      <w:pPr>
        <w:ind w:left="0" w:firstLine="0"/>
      </w:pPr>
      <w:r w:rsidRPr="003F109B">
        <w:rPr>
          <w:rFonts w:eastAsia="Calibri"/>
          <w:szCs w:val="22"/>
        </w:rPr>
        <w:t xml:space="preserve">Na farmách s vysokým infekčním tlakem </w:t>
      </w:r>
      <w:proofErr w:type="spellStart"/>
      <w:r w:rsidRPr="00647C7D">
        <w:rPr>
          <w:rFonts w:eastAsia="Calibri"/>
          <w:i/>
          <w:szCs w:val="22"/>
        </w:rPr>
        <w:t>Mycoplasma</w:t>
      </w:r>
      <w:proofErr w:type="spellEnd"/>
      <w:r w:rsidRPr="00647C7D">
        <w:rPr>
          <w:rFonts w:eastAsia="Calibri"/>
          <w:i/>
          <w:szCs w:val="22"/>
        </w:rPr>
        <w:t xml:space="preserve"> </w:t>
      </w:r>
      <w:proofErr w:type="spellStart"/>
      <w:r w:rsidRPr="00647C7D">
        <w:rPr>
          <w:rFonts w:eastAsia="Calibri"/>
          <w:i/>
          <w:szCs w:val="22"/>
        </w:rPr>
        <w:t>hyopneumoniae</w:t>
      </w:r>
      <w:proofErr w:type="spellEnd"/>
      <w:r w:rsidRPr="003F109B">
        <w:rPr>
          <w:rFonts w:eastAsia="Calibri"/>
          <w:szCs w:val="22"/>
        </w:rPr>
        <w:t>, kde lze podat 2 dávky v intervalu 3 týdnů: 26 týdnů po dokončení vakcinačního schématu.</w:t>
      </w:r>
    </w:p>
    <w:p w:rsidR="003F109B" w:rsidRPr="003F109B" w:rsidRDefault="003F109B" w:rsidP="003F109B"/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5.</w:t>
      </w:r>
      <w:r w:rsidRPr="003F109B">
        <w:rPr>
          <w:b/>
        </w:rPr>
        <w:t xml:space="preserve"> </w:t>
      </w:r>
      <w:r w:rsidRPr="003F109B">
        <w:rPr>
          <w:b/>
        </w:rPr>
        <w:tab/>
        <w:t>KONTRAINDIKACE</w:t>
      </w:r>
    </w:p>
    <w:p w:rsidR="003F109B" w:rsidRPr="003F109B" w:rsidRDefault="003F109B" w:rsidP="003F109B"/>
    <w:p w:rsidR="003F109B" w:rsidRPr="003F109B" w:rsidRDefault="003F109B" w:rsidP="003F109B">
      <w:pPr>
        <w:spacing w:line="360" w:lineRule="auto"/>
      </w:pPr>
      <w:r w:rsidRPr="003F109B">
        <w:t>Nepoužívat při akutním nebo horečnatém onemocnění.</w:t>
      </w:r>
    </w:p>
    <w:p w:rsidR="003F109B" w:rsidRPr="003F109B" w:rsidRDefault="003F109B" w:rsidP="003F109B"/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6.</w:t>
      </w:r>
      <w:r w:rsidRPr="003F109B">
        <w:rPr>
          <w:b/>
        </w:rPr>
        <w:tab/>
        <w:t>NEŽÁDOUCÍ ÚČINKY</w:t>
      </w:r>
    </w:p>
    <w:p w:rsidR="003F109B" w:rsidRPr="003F109B" w:rsidRDefault="003F109B" w:rsidP="003F109B">
      <w:pPr>
        <w:rPr>
          <w:b/>
        </w:rPr>
      </w:pPr>
    </w:p>
    <w:p w:rsidR="003F109B" w:rsidRPr="003F109B" w:rsidRDefault="003F109B" w:rsidP="003F109B">
      <w:pPr>
        <w:ind w:left="0" w:firstLine="0"/>
      </w:pPr>
      <w:r w:rsidRPr="003F109B">
        <w:t xml:space="preserve">Po aplikaci může často dojít ke vzniku lokální reakce o průměru do 3 cm, která samovolně během 3 dnů vymizí. </w:t>
      </w:r>
    </w:p>
    <w:p w:rsidR="003F109B" w:rsidRPr="003F109B" w:rsidRDefault="003F109B" w:rsidP="003F109B">
      <w:pPr>
        <w:ind w:left="0" w:firstLine="0"/>
      </w:pPr>
      <w:r w:rsidRPr="003F109B">
        <w:t>Velmi často u zvířat dochází k přechodnému zvýšení tělesné teploty max. o 1 °C.</w:t>
      </w:r>
    </w:p>
    <w:p w:rsidR="003F109B" w:rsidRPr="003F109B" w:rsidRDefault="003F109B" w:rsidP="003F109B">
      <w:pPr>
        <w:ind w:left="0" w:firstLine="0"/>
      </w:pPr>
      <w:r w:rsidRPr="003F109B">
        <w:t>Vzácně se může vyskytnout hypersenzitivní reakce. V takovém případě je nutné neprodleně zahájit přiměřenou léčbu.</w:t>
      </w:r>
    </w:p>
    <w:p w:rsidR="003F109B" w:rsidRPr="003F109B" w:rsidRDefault="003F109B" w:rsidP="003F109B"/>
    <w:p w:rsidR="003F109B" w:rsidRPr="003F109B" w:rsidRDefault="003F109B" w:rsidP="003F109B">
      <w:r w:rsidRPr="003F109B">
        <w:t>Četnost nežádoucích účinků je charakterizována podle následujících pravidel:</w:t>
      </w:r>
    </w:p>
    <w:p w:rsidR="003F109B" w:rsidRPr="003F109B" w:rsidRDefault="003F109B" w:rsidP="003F109B">
      <w:r w:rsidRPr="003F109B">
        <w:t xml:space="preserve">- velmi časté (nežádoucí </w:t>
      </w:r>
      <w:proofErr w:type="gramStart"/>
      <w:r w:rsidRPr="003F109B">
        <w:t>účinek(</w:t>
      </w:r>
      <w:proofErr w:type="spellStart"/>
      <w:r w:rsidRPr="003F109B">
        <w:t>nky</w:t>
      </w:r>
      <w:proofErr w:type="spellEnd"/>
      <w:proofErr w:type="gramEnd"/>
      <w:r w:rsidRPr="003F109B">
        <w:t>) se projevil(y) u více než 1 z 10 ošetřených zvířat)</w:t>
      </w:r>
    </w:p>
    <w:p w:rsidR="003F109B" w:rsidRPr="003F109B" w:rsidRDefault="003F109B" w:rsidP="003F109B">
      <w:r w:rsidRPr="003F109B">
        <w:t>- časté (u více než 1, ale méně než 10 ze 100 ošetřených zvířat)</w:t>
      </w:r>
    </w:p>
    <w:p w:rsidR="003F109B" w:rsidRPr="003F109B" w:rsidRDefault="003F109B" w:rsidP="003F109B">
      <w:r w:rsidRPr="003F109B">
        <w:t>- neobvyklé (u více než 1, ale méně než 10 z 1000 ošetřených zvířat)</w:t>
      </w:r>
    </w:p>
    <w:p w:rsidR="003F109B" w:rsidRPr="003F109B" w:rsidRDefault="003F109B" w:rsidP="003F109B">
      <w:r w:rsidRPr="003F109B">
        <w:t>- vzácné (u více než 1, ale méně než 10 z 10000 ošetřených zvířat)</w:t>
      </w:r>
    </w:p>
    <w:p w:rsidR="003F109B" w:rsidRPr="003F109B" w:rsidRDefault="003F109B" w:rsidP="003F109B">
      <w:r w:rsidRPr="003F109B">
        <w:t>- velmi vzácné (u méně než 1 z 10000 ošetřených zvířat, včetně ojedinělých hlášení).</w:t>
      </w:r>
    </w:p>
    <w:p w:rsidR="003F109B" w:rsidRPr="003F109B" w:rsidRDefault="003F109B" w:rsidP="003F109B"/>
    <w:p w:rsidR="003F109B" w:rsidRPr="003F109B" w:rsidRDefault="003F109B" w:rsidP="003F109B">
      <w:pPr>
        <w:ind w:left="0" w:firstLine="0"/>
      </w:pPr>
      <w:r w:rsidRPr="003F109B"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:rsidR="003F109B" w:rsidRPr="003F109B" w:rsidRDefault="003F109B" w:rsidP="003F109B"/>
    <w:p w:rsidR="003F109B" w:rsidRPr="003F109B" w:rsidRDefault="003F109B" w:rsidP="003F109B">
      <w:r w:rsidRPr="003F109B">
        <w:rPr>
          <w:b/>
          <w:highlight w:val="lightGray"/>
        </w:rPr>
        <w:t>7.</w:t>
      </w:r>
      <w:r w:rsidRPr="003F109B">
        <w:rPr>
          <w:b/>
        </w:rPr>
        <w:tab/>
        <w:t>CÍLOVÝ DRUH ZVÍŘAT</w:t>
      </w:r>
    </w:p>
    <w:p w:rsidR="003F109B" w:rsidRPr="003F109B" w:rsidRDefault="003F109B" w:rsidP="003F109B"/>
    <w:p w:rsidR="003F109B" w:rsidRPr="003F109B" w:rsidRDefault="003F109B" w:rsidP="003F109B">
      <w:pPr>
        <w:spacing w:line="360" w:lineRule="auto"/>
      </w:pPr>
      <w:r w:rsidRPr="003F109B">
        <w:t>Prasata (výkrmová prasata).</w:t>
      </w:r>
    </w:p>
    <w:p w:rsidR="003F109B" w:rsidRPr="003F109B" w:rsidRDefault="003F109B" w:rsidP="003F109B"/>
    <w:p w:rsidR="003F109B" w:rsidRPr="003F109B" w:rsidRDefault="003F109B" w:rsidP="003F109B">
      <w:r w:rsidRPr="003F109B">
        <w:rPr>
          <w:b/>
          <w:highlight w:val="lightGray"/>
        </w:rPr>
        <w:t>8.</w:t>
      </w:r>
      <w:r w:rsidRPr="003F109B">
        <w:rPr>
          <w:b/>
        </w:rPr>
        <w:tab/>
        <w:t xml:space="preserve">DÁVKOVÁNÍ PRO KAŽDÝ DRUH, </w:t>
      </w:r>
      <w:proofErr w:type="gramStart"/>
      <w:r w:rsidRPr="003F109B">
        <w:rPr>
          <w:b/>
        </w:rPr>
        <w:t>CESTA(Y) A ZPŮSOB</w:t>
      </w:r>
      <w:proofErr w:type="gramEnd"/>
      <w:r w:rsidRPr="003F109B">
        <w:rPr>
          <w:b/>
        </w:rPr>
        <w:t xml:space="preserve"> PODÁNÍ</w:t>
      </w:r>
    </w:p>
    <w:p w:rsidR="003F109B" w:rsidRPr="003F109B" w:rsidRDefault="003F109B" w:rsidP="003F109B"/>
    <w:p w:rsidR="003F109B" w:rsidRPr="003F109B" w:rsidRDefault="003F109B" w:rsidP="003F109B">
      <w:pPr>
        <w:jc w:val="both"/>
      </w:pPr>
      <w:r w:rsidRPr="003F109B">
        <w:t>Vakcinace:</w:t>
      </w:r>
      <w:r w:rsidRPr="003F109B">
        <w:tab/>
        <w:t xml:space="preserve">Vakcinační dávka 2 ml se aplikuje dle následujícího schématu: </w:t>
      </w:r>
    </w:p>
    <w:p w:rsidR="003F109B" w:rsidRPr="003F109B" w:rsidRDefault="003F109B" w:rsidP="003F109B">
      <w:pPr>
        <w:numPr>
          <w:ilvl w:val="0"/>
          <w:numId w:val="1"/>
        </w:numPr>
        <w:jc w:val="both"/>
      </w:pPr>
      <w:r w:rsidRPr="003F109B">
        <w:t>1 dávka by měla být podána selatům od 11 dnů věku.</w:t>
      </w:r>
    </w:p>
    <w:p w:rsidR="003F109B" w:rsidRPr="003F109B" w:rsidRDefault="003F109B" w:rsidP="003F109B">
      <w:pPr>
        <w:numPr>
          <w:ilvl w:val="0"/>
          <w:numId w:val="1"/>
        </w:numPr>
        <w:jc w:val="both"/>
      </w:pPr>
      <w:r w:rsidRPr="003F109B">
        <w:t xml:space="preserve">V případě silného infekčního tlaku </w:t>
      </w:r>
      <w:r w:rsidRPr="00647C7D">
        <w:rPr>
          <w:i/>
        </w:rPr>
        <w:t xml:space="preserve">M. </w:t>
      </w:r>
      <w:proofErr w:type="spellStart"/>
      <w:r w:rsidRPr="00647C7D">
        <w:rPr>
          <w:i/>
        </w:rPr>
        <w:t>hyopneumoniae</w:t>
      </w:r>
      <w:proofErr w:type="spellEnd"/>
      <w:r w:rsidRPr="003F109B">
        <w:t xml:space="preserve"> lze od 7 dnů věku použít 2 dávky podané v intervalu 3 týdnů.</w:t>
      </w:r>
    </w:p>
    <w:p w:rsidR="003F109B" w:rsidRPr="003F109B" w:rsidRDefault="003F109B" w:rsidP="003F109B">
      <w:pPr>
        <w:jc w:val="both"/>
      </w:pPr>
      <w:r w:rsidRPr="003F109B">
        <w:t>Výběr vakcinačního schématu závisí na znalosti konkrétní situace výskytu onemocnění v chovu.</w:t>
      </w:r>
    </w:p>
    <w:p w:rsidR="003F109B" w:rsidRPr="003F109B" w:rsidRDefault="003F109B" w:rsidP="003F109B">
      <w:pPr>
        <w:jc w:val="both"/>
      </w:pPr>
      <w:r w:rsidRPr="003F109B">
        <w:t xml:space="preserve">Způsob podání: intramuskulárně, nejlépe do </w:t>
      </w:r>
      <w:proofErr w:type="spellStart"/>
      <w:r w:rsidRPr="003F109B">
        <w:t>paraaurikulární</w:t>
      </w:r>
      <w:proofErr w:type="spellEnd"/>
      <w:r w:rsidRPr="003F109B">
        <w:t xml:space="preserve"> krajiny.</w:t>
      </w:r>
    </w:p>
    <w:p w:rsidR="003F109B" w:rsidRPr="003F109B" w:rsidRDefault="003F109B" w:rsidP="003F109B"/>
    <w:p w:rsidR="003F109B" w:rsidRPr="003F109B" w:rsidRDefault="003F109B" w:rsidP="003F109B">
      <w:r w:rsidRPr="003F109B">
        <w:rPr>
          <w:b/>
          <w:highlight w:val="lightGray"/>
        </w:rPr>
        <w:t>9.</w:t>
      </w:r>
      <w:r w:rsidRPr="003F109B">
        <w:rPr>
          <w:b/>
        </w:rPr>
        <w:tab/>
        <w:t>POKYNY PRO SPRÁVNÉ PODÁNÍ</w:t>
      </w:r>
    </w:p>
    <w:p w:rsidR="003F109B" w:rsidRPr="003F109B" w:rsidRDefault="003F109B" w:rsidP="003F109B"/>
    <w:p w:rsidR="003F109B" w:rsidRPr="003F109B" w:rsidRDefault="003F109B" w:rsidP="003F109B">
      <w:r w:rsidRPr="003F109B">
        <w:t>Před použitím nechte vakcínu dosáhnout pokojové teploty 15 až 25 °C a dobře protřepejte.</w:t>
      </w:r>
    </w:p>
    <w:p w:rsidR="003F109B" w:rsidRPr="003F109B" w:rsidRDefault="003F109B" w:rsidP="003F109B"/>
    <w:p w:rsidR="003F109B" w:rsidRPr="003F109B" w:rsidRDefault="003F109B" w:rsidP="003F109B">
      <w:r w:rsidRPr="003F109B">
        <w:rPr>
          <w:b/>
          <w:highlight w:val="lightGray"/>
        </w:rPr>
        <w:t>10.</w:t>
      </w:r>
      <w:r w:rsidRPr="003F109B">
        <w:rPr>
          <w:b/>
        </w:rPr>
        <w:tab/>
        <w:t xml:space="preserve">OCHRANÉ LHŮTY </w:t>
      </w:r>
    </w:p>
    <w:p w:rsidR="003F109B" w:rsidRPr="003F109B" w:rsidRDefault="003F109B" w:rsidP="003F109B">
      <w:pPr>
        <w:rPr>
          <w:iCs/>
        </w:rPr>
      </w:pPr>
    </w:p>
    <w:p w:rsidR="003F109B" w:rsidRPr="003F109B" w:rsidRDefault="003F109B" w:rsidP="003F109B">
      <w:pPr>
        <w:rPr>
          <w:iCs/>
        </w:rPr>
      </w:pPr>
      <w:r w:rsidRPr="003F109B">
        <w:rPr>
          <w:iCs/>
        </w:rPr>
        <w:t>Bez ochranných lhůt.</w:t>
      </w:r>
    </w:p>
    <w:p w:rsidR="003F109B" w:rsidRPr="003F109B" w:rsidRDefault="003F109B" w:rsidP="003F109B">
      <w:pPr>
        <w:rPr>
          <w:iCs/>
        </w:rPr>
      </w:pPr>
    </w:p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11.</w:t>
      </w:r>
      <w:r w:rsidRPr="003F109B">
        <w:rPr>
          <w:b/>
        </w:rPr>
        <w:tab/>
        <w:t>ZVLÁŠTNÍ OPATŘENÍ PRO UCHOVÁVÁNÍ</w:t>
      </w:r>
    </w:p>
    <w:p w:rsidR="003F109B" w:rsidRPr="003F109B" w:rsidRDefault="003F109B" w:rsidP="003F109B">
      <w:pPr>
        <w:rPr>
          <w:b/>
        </w:rPr>
      </w:pPr>
    </w:p>
    <w:p w:rsidR="003F109B" w:rsidRPr="003F109B" w:rsidRDefault="003F109B" w:rsidP="003F109B">
      <w:pPr>
        <w:spacing w:line="360" w:lineRule="auto"/>
        <w:ind w:right="-318"/>
      </w:pPr>
      <w:r w:rsidRPr="003F109B">
        <w:t>UCHOVÁVAT MIMO DOHLED A DOSAH DĚTÍ.</w:t>
      </w:r>
    </w:p>
    <w:p w:rsidR="003F109B" w:rsidRPr="003F109B" w:rsidRDefault="003F109B" w:rsidP="003F109B">
      <w:pPr>
        <w:ind w:right="-318"/>
      </w:pPr>
      <w:r w:rsidRPr="003F109B">
        <w:t>Uchovávejte v chladničce (</w:t>
      </w:r>
      <w:r w:rsidRPr="003F109B">
        <w:rPr>
          <w:szCs w:val="22"/>
          <w:lang w:eastAsia="cs-CZ"/>
        </w:rPr>
        <w:t xml:space="preserve">2 </w:t>
      </w:r>
      <w:r w:rsidRPr="003F109B">
        <w:rPr>
          <w:szCs w:val="22"/>
          <w:lang w:eastAsia="cs-CZ"/>
        </w:rPr>
        <w:sym w:font="Symbol" w:char="F0B0"/>
      </w:r>
      <w:r w:rsidRPr="003F109B">
        <w:rPr>
          <w:szCs w:val="22"/>
          <w:lang w:eastAsia="cs-CZ"/>
        </w:rPr>
        <w:t xml:space="preserve">C - 8 </w:t>
      </w:r>
      <w:r w:rsidRPr="003F109B">
        <w:rPr>
          <w:szCs w:val="22"/>
          <w:lang w:eastAsia="cs-CZ"/>
        </w:rPr>
        <w:sym w:font="Symbol" w:char="F0B0"/>
      </w:r>
      <w:r w:rsidRPr="003F109B">
        <w:rPr>
          <w:szCs w:val="22"/>
          <w:lang w:eastAsia="cs-CZ"/>
        </w:rPr>
        <w:t>C</w:t>
      </w:r>
      <w:r w:rsidRPr="003F109B">
        <w:t>).</w:t>
      </w:r>
    </w:p>
    <w:p w:rsidR="003F109B" w:rsidRDefault="003F109B" w:rsidP="003F109B">
      <w:pPr>
        <w:ind w:right="-318"/>
      </w:pPr>
      <w:r w:rsidRPr="003F109B">
        <w:t>Chraňte před světlem.</w:t>
      </w:r>
    </w:p>
    <w:p w:rsidR="001954C4" w:rsidRPr="003F109B" w:rsidRDefault="001954C4" w:rsidP="003F109B">
      <w:pPr>
        <w:ind w:right="-318"/>
      </w:pPr>
      <w:r>
        <w:t>Chraňte před mrazem.</w:t>
      </w:r>
    </w:p>
    <w:p w:rsidR="003F109B" w:rsidRPr="003F109B" w:rsidRDefault="003F109B" w:rsidP="003F109B">
      <w:pPr>
        <w:ind w:left="0" w:firstLine="0"/>
      </w:pPr>
      <w:r w:rsidRPr="003F109B">
        <w:t>Doba použitelnosti po prvním otevření vnitřního obalu: 10 hodin.</w:t>
      </w:r>
    </w:p>
    <w:p w:rsidR="003F109B" w:rsidRPr="003F109B" w:rsidRDefault="003F109B" w:rsidP="003F109B">
      <w:pPr>
        <w:rPr>
          <w:b/>
        </w:rPr>
      </w:pPr>
    </w:p>
    <w:p w:rsidR="003F109B" w:rsidRPr="003F109B" w:rsidRDefault="003F109B" w:rsidP="003F109B">
      <w:pPr>
        <w:ind w:left="0" w:firstLine="0"/>
        <w:jc w:val="both"/>
      </w:pPr>
    </w:p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12.</w:t>
      </w:r>
      <w:r w:rsidRPr="003F109B">
        <w:rPr>
          <w:b/>
        </w:rPr>
        <w:tab/>
        <w:t>ZVLÁŠTNÍ UPOZORNĚNÍ</w:t>
      </w:r>
    </w:p>
    <w:p w:rsidR="003F109B" w:rsidRPr="003F109B" w:rsidRDefault="003F109B" w:rsidP="003F109B">
      <w:pPr>
        <w:rPr>
          <w:b/>
        </w:rPr>
      </w:pPr>
    </w:p>
    <w:p w:rsidR="003F109B" w:rsidRPr="003F109B" w:rsidRDefault="003F109B" w:rsidP="003F109B">
      <w:pPr>
        <w:rPr>
          <w:u w:val="single"/>
        </w:rPr>
      </w:pPr>
      <w:r w:rsidRPr="003F109B">
        <w:rPr>
          <w:u w:val="single"/>
        </w:rPr>
        <w:t>Zvláštní upozornění pro každý cílový druh</w:t>
      </w:r>
    </w:p>
    <w:p w:rsidR="003F109B" w:rsidRPr="003F109B" w:rsidRDefault="003F109B" w:rsidP="003F109B">
      <w:r w:rsidRPr="003F109B">
        <w:t>Vakcinovat pouze zdravá zvířata.</w:t>
      </w:r>
    </w:p>
    <w:p w:rsidR="003F109B" w:rsidRPr="003F109B" w:rsidRDefault="003F109B" w:rsidP="003F109B"/>
    <w:p w:rsidR="003F109B" w:rsidRPr="003F109B" w:rsidRDefault="003F109B" w:rsidP="003F109B">
      <w:pPr>
        <w:rPr>
          <w:u w:val="single"/>
        </w:rPr>
      </w:pPr>
      <w:r w:rsidRPr="003F109B">
        <w:rPr>
          <w:u w:val="single"/>
        </w:rPr>
        <w:t>Zvláštní opatření pro použití u zvířat</w:t>
      </w:r>
    </w:p>
    <w:p w:rsidR="003F109B" w:rsidRPr="003F109B" w:rsidRDefault="003F109B" w:rsidP="003F109B">
      <w:r w:rsidRPr="003F109B">
        <w:t xml:space="preserve">Během </w:t>
      </w:r>
      <w:r w:rsidR="008F60E7">
        <w:t>vakcinace</w:t>
      </w:r>
      <w:r w:rsidR="008F60E7" w:rsidRPr="003F109B">
        <w:t xml:space="preserve"> </w:t>
      </w:r>
      <w:r w:rsidRPr="003F109B">
        <w:t>je nutné se vyvarovat stres</w:t>
      </w:r>
      <w:r w:rsidR="008F60E7">
        <w:t>ování</w:t>
      </w:r>
      <w:r w:rsidRPr="003F109B">
        <w:t xml:space="preserve"> zvířat.</w:t>
      </w:r>
    </w:p>
    <w:p w:rsidR="003F109B" w:rsidRPr="003F109B" w:rsidRDefault="003F109B" w:rsidP="003F109B"/>
    <w:p w:rsidR="003F109B" w:rsidRPr="003F109B" w:rsidRDefault="003F109B" w:rsidP="003F109B">
      <w:pPr>
        <w:rPr>
          <w:u w:val="single"/>
        </w:rPr>
      </w:pPr>
      <w:r w:rsidRPr="003F109B">
        <w:rPr>
          <w:u w:val="single"/>
        </w:rPr>
        <w:t>Zvláštní opatření určené osobám, které podávají veterinární léčivý přípravek zvířatům</w:t>
      </w:r>
    </w:p>
    <w:p w:rsidR="003F109B" w:rsidRPr="003F109B" w:rsidRDefault="003F109B" w:rsidP="003F109B">
      <w:pPr>
        <w:jc w:val="both"/>
      </w:pPr>
      <w:r w:rsidRPr="003F109B">
        <w:t>Pro uživatele:</w:t>
      </w:r>
    </w:p>
    <w:p w:rsidR="003F109B" w:rsidRPr="003F109B" w:rsidRDefault="003F109B" w:rsidP="003F109B">
      <w:pPr>
        <w:ind w:left="0" w:firstLine="0"/>
        <w:jc w:val="both"/>
      </w:pPr>
      <w:r w:rsidRPr="003F109B">
        <w:t>Tento veterinární léčivý přípravek obsahuje minerální olej. Náhodná injekce/náhodné sebepoškození injekčně aplikovaným přípravkem může způsobit silné bolesti a otok, zvláště po injekčním podání do kloubu nebo prstu, a ve vzácných případech může vést k ztrátě postiženého prstu, pokud není poskytnuta rychlá lékařská péče. Pokud u vás došlo k náhodné injekci veterinárního léčivého přípravku, vyhledejte lékařskou pomoc, i když šlo jen o malé množství, a vezměte příbalovou informaci s sebou. Pokud bolest přetrvává více než 12 hodin po lékařské prohlídce, obraťte se na lékaře znovu.</w:t>
      </w:r>
    </w:p>
    <w:p w:rsidR="003F109B" w:rsidRPr="003F109B" w:rsidRDefault="003F109B" w:rsidP="003F109B">
      <w:pPr>
        <w:jc w:val="both"/>
      </w:pPr>
      <w:r w:rsidRPr="003F109B">
        <w:t>Pro lékaře:</w:t>
      </w:r>
    </w:p>
    <w:p w:rsidR="003F109B" w:rsidRPr="003F109B" w:rsidRDefault="003F109B" w:rsidP="003F109B">
      <w:pPr>
        <w:ind w:left="0" w:firstLine="0"/>
        <w:jc w:val="both"/>
      </w:pPr>
      <w:r w:rsidRPr="003F109B">
        <w:t>Tento veterinární léčivý přípravek obsahuje minerální olej. I když bylo injekčně aplikov</w:t>
      </w:r>
      <w:r w:rsidR="008F60E7">
        <w:t>a</w:t>
      </w:r>
      <w:r w:rsidRPr="003F109B">
        <w:t>né malé množství, náhodná injekce tohoto přípravku může vyvolat intenzivní otok, který může např. končit ischemickou nekrózou a dokonce i ztrátou prstu. Odborná, RYCHLÁ chirurgická péče je nutná a může vyžadovat včasné chirurgické otevření a výplach místa, kam byla injekce podaná, zvláště tam, kde je zasažena pulpa prstu nebo šlachy.</w:t>
      </w:r>
    </w:p>
    <w:p w:rsidR="003F109B" w:rsidRPr="003F109B" w:rsidRDefault="003F109B" w:rsidP="003F109B">
      <w:pPr>
        <w:ind w:left="0" w:firstLine="0"/>
        <w:jc w:val="both"/>
      </w:pPr>
    </w:p>
    <w:p w:rsidR="003F109B" w:rsidRPr="003F109B" w:rsidRDefault="003F109B" w:rsidP="003F109B">
      <w:pPr>
        <w:rPr>
          <w:u w:val="single"/>
        </w:rPr>
      </w:pPr>
      <w:r w:rsidRPr="003F109B">
        <w:rPr>
          <w:u w:val="single"/>
        </w:rPr>
        <w:t xml:space="preserve">Použití v průběhu březosti a laktace </w:t>
      </w:r>
    </w:p>
    <w:p w:rsidR="003F109B" w:rsidRPr="003F109B" w:rsidRDefault="008F60E7" w:rsidP="003F109B">
      <w:r w:rsidRPr="008F60E7">
        <w:t xml:space="preserve">Použití není doporučováno </w:t>
      </w:r>
      <w:r w:rsidR="003F109B" w:rsidRPr="003F109B">
        <w:t>během březosti a laktace.</w:t>
      </w:r>
    </w:p>
    <w:p w:rsidR="003F109B" w:rsidRPr="003F109B" w:rsidRDefault="003F109B" w:rsidP="003F109B"/>
    <w:p w:rsidR="003F109B" w:rsidRPr="003F109B" w:rsidRDefault="003F109B" w:rsidP="003F109B">
      <w:pPr>
        <w:rPr>
          <w:u w:val="single"/>
        </w:rPr>
      </w:pPr>
      <w:r w:rsidRPr="003F109B">
        <w:rPr>
          <w:u w:val="single"/>
        </w:rPr>
        <w:t>Interakce s dalšími léčivými přípravky a další formy interakce</w:t>
      </w:r>
    </w:p>
    <w:p w:rsidR="003F109B" w:rsidRPr="003F109B" w:rsidRDefault="003F109B" w:rsidP="003F109B">
      <w:pPr>
        <w:ind w:left="0" w:firstLine="0"/>
        <w:jc w:val="both"/>
      </w:pPr>
      <w:r w:rsidRPr="003F109B"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:rsidR="003F109B" w:rsidRPr="003F109B" w:rsidRDefault="003F109B" w:rsidP="003F109B">
      <w:pPr>
        <w:ind w:left="0" w:firstLine="0"/>
        <w:jc w:val="both"/>
      </w:pPr>
    </w:p>
    <w:p w:rsidR="003F109B" w:rsidRPr="003F109B" w:rsidRDefault="003F109B" w:rsidP="003F109B">
      <w:pPr>
        <w:rPr>
          <w:u w:val="single"/>
        </w:rPr>
      </w:pPr>
      <w:r w:rsidRPr="003F109B">
        <w:rPr>
          <w:u w:val="single"/>
        </w:rPr>
        <w:t>Předávkování (symptomy, první pomoc, antidota):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  <w:lang w:eastAsia="cs-CZ"/>
        </w:rPr>
      </w:pPr>
      <w:r w:rsidRPr="003F109B">
        <w:rPr>
          <w:rFonts w:eastAsia="Calibri"/>
          <w:szCs w:val="22"/>
          <w:lang w:eastAsia="cs-CZ"/>
        </w:rPr>
        <w:t xml:space="preserve">Po podání dvojnásobné dávky nebyly u cílového druhu zvířat pozorovány žádné jiné nežádoucí reakce než ty, které jsou uvedeny v bodě </w:t>
      </w:r>
      <w:r w:rsidRPr="003F109B">
        <w:t>Nežádoucí účinky</w:t>
      </w:r>
      <w:r w:rsidRPr="003F109B">
        <w:rPr>
          <w:rFonts w:eastAsia="Calibri"/>
          <w:szCs w:val="22"/>
          <w:lang w:eastAsia="cs-CZ"/>
        </w:rPr>
        <w:t>.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  <w:lang w:eastAsia="cs-CZ"/>
        </w:rPr>
      </w:pPr>
    </w:p>
    <w:p w:rsidR="003F109B" w:rsidRPr="003F109B" w:rsidRDefault="003F109B" w:rsidP="003F109B">
      <w:pPr>
        <w:rPr>
          <w:u w:val="single"/>
        </w:rPr>
      </w:pPr>
      <w:r w:rsidRPr="003F109B">
        <w:rPr>
          <w:u w:val="single"/>
        </w:rPr>
        <w:t>Inkompatibility</w:t>
      </w:r>
    </w:p>
    <w:p w:rsidR="003F109B" w:rsidRPr="003F109B" w:rsidRDefault="003F109B" w:rsidP="003F109B">
      <w:pPr>
        <w:ind w:left="0" w:firstLine="0"/>
      </w:pPr>
      <w:r w:rsidRPr="003F109B">
        <w:t>Studie kompatibility nejsou k dispozici, a proto tento veterinární léčivý přípravek nesmí být mísen s žádnými dalšími veterinárními léčivými přípravky.</w:t>
      </w:r>
    </w:p>
    <w:p w:rsidR="003F109B" w:rsidRPr="003F109B" w:rsidRDefault="003F109B" w:rsidP="003F109B">
      <w:pPr>
        <w:rPr>
          <w:b/>
        </w:rPr>
      </w:pPr>
    </w:p>
    <w:p w:rsidR="003F109B" w:rsidRPr="003F109B" w:rsidRDefault="003F109B" w:rsidP="003F109B"/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13.</w:t>
      </w:r>
      <w:r w:rsidRPr="003F109B">
        <w:rPr>
          <w:b/>
        </w:rPr>
        <w:tab/>
        <w:t>ZVLÁŠTNÍ OPATŘENÍ PRO ZNEŠKODŇOVÁNÍ NEPOUŽITÝCH PŘÍPRAVKŮ NEBO ODPADU, POKUD JE JICH TŘEBA</w:t>
      </w:r>
    </w:p>
    <w:p w:rsidR="003F109B" w:rsidRPr="003F109B" w:rsidRDefault="003F109B" w:rsidP="003F109B">
      <w:pPr>
        <w:ind w:right="-318"/>
      </w:pPr>
    </w:p>
    <w:p w:rsidR="003F109B" w:rsidRPr="003F109B" w:rsidRDefault="003F109B" w:rsidP="003F109B">
      <w:pPr>
        <w:ind w:left="0" w:right="-318" w:firstLine="0"/>
      </w:pPr>
      <w:r w:rsidRPr="003F109B">
        <w:t>Léčivé přípravky se nesmí likvidovat prostřednictvím odpadní vody či domovního odpadu.</w:t>
      </w:r>
    </w:p>
    <w:p w:rsidR="003F109B" w:rsidRPr="003F109B" w:rsidRDefault="003F109B" w:rsidP="003F109B">
      <w:pPr>
        <w:ind w:left="0" w:right="-318" w:firstLine="0"/>
      </w:pPr>
      <w:r w:rsidRPr="003F109B">
        <w:t>O možnostech likvidace nepotřebných léčivých přípravků se poraďte s vaším veterinárním lékařem. Tato opatření napomáhají chránit životní prostředí.</w:t>
      </w:r>
    </w:p>
    <w:p w:rsidR="003F109B" w:rsidRPr="003F109B" w:rsidRDefault="003F109B" w:rsidP="003F109B"/>
    <w:p w:rsidR="003F109B" w:rsidRPr="003F109B" w:rsidRDefault="003F109B" w:rsidP="003F109B"/>
    <w:p w:rsidR="003F109B" w:rsidRPr="003F109B" w:rsidRDefault="003F109B" w:rsidP="003F109B">
      <w:r w:rsidRPr="003F109B">
        <w:rPr>
          <w:b/>
          <w:highlight w:val="lightGray"/>
        </w:rPr>
        <w:t>14.</w:t>
      </w:r>
      <w:r w:rsidRPr="003F109B">
        <w:rPr>
          <w:b/>
        </w:rPr>
        <w:tab/>
        <w:t>DATUM POSLEDNÍ REVIZE PŘÍBALOVÉ INFORMACE</w:t>
      </w:r>
    </w:p>
    <w:p w:rsidR="003F109B" w:rsidRPr="003F109B" w:rsidRDefault="003F109B" w:rsidP="003F109B">
      <w:pPr>
        <w:ind w:right="-318"/>
      </w:pPr>
    </w:p>
    <w:p w:rsidR="003F109B" w:rsidRPr="003F109B" w:rsidRDefault="00DE1A63" w:rsidP="003F109B">
      <w:pPr>
        <w:autoSpaceDE w:val="0"/>
        <w:autoSpaceDN w:val="0"/>
        <w:adjustRightInd w:val="0"/>
        <w:ind w:left="0" w:firstLine="0"/>
        <w:rPr>
          <w:rFonts w:ascii="EUAlbertina" w:hAnsi="EUAlbertina" w:cs="EUAlbertina"/>
          <w:color w:val="000000"/>
          <w:sz w:val="24"/>
          <w:szCs w:val="24"/>
          <w:lang w:eastAsia="it-IT"/>
        </w:rPr>
      </w:pPr>
      <w:r>
        <w:rPr>
          <w:rFonts w:ascii="EUAlbertina" w:hAnsi="EUAlbertina" w:cs="EUAlbertina"/>
          <w:color w:val="000000"/>
          <w:sz w:val="24"/>
          <w:szCs w:val="24"/>
          <w:lang w:eastAsia="it-IT"/>
        </w:rPr>
        <w:t>Říjen 2019</w:t>
      </w:r>
      <w:bookmarkStart w:id="0" w:name="_GoBack"/>
      <w:bookmarkEnd w:id="0"/>
    </w:p>
    <w:p w:rsidR="003F109B" w:rsidRPr="003F109B" w:rsidRDefault="003F109B" w:rsidP="003F109B">
      <w:pPr>
        <w:ind w:right="-318"/>
      </w:pPr>
    </w:p>
    <w:p w:rsidR="003F109B" w:rsidRPr="003F109B" w:rsidRDefault="003F109B" w:rsidP="003F109B">
      <w:pPr>
        <w:ind w:right="-318"/>
      </w:pPr>
    </w:p>
    <w:p w:rsidR="003F109B" w:rsidRPr="003F109B" w:rsidRDefault="003F109B" w:rsidP="003F109B">
      <w:pPr>
        <w:rPr>
          <w:b/>
        </w:rPr>
      </w:pPr>
      <w:r w:rsidRPr="003F109B">
        <w:rPr>
          <w:b/>
          <w:highlight w:val="lightGray"/>
        </w:rPr>
        <w:t>15.</w:t>
      </w:r>
      <w:r w:rsidRPr="003F109B">
        <w:rPr>
          <w:b/>
        </w:rPr>
        <w:tab/>
        <w:t>DALŠÍ INFORMACE</w:t>
      </w:r>
    </w:p>
    <w:p w:rsidR="003F109B" w:rsidRPr="003F109B" w:rsidRDefault="003F109B" w:rsidP="003F109B">
      <w:pPr>
        <w:rPr>
          <w:b/>
        </w:rPr>
      </w:pP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  <w:u w:val="single"/>
        </w:rPr>
      </w:pPr>
      <w:r w:rsidRPr="003F109B">
        <w:rPr>
          <w:rFonts w:eastAsia="Calibri"/>
          <w:szCs w:val="22"/>
          <w:u w:val="single"/>
        </w:rPr>
        <w:t>Vakcína je expedována: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ve skleněných injekčních lahvičkách hydrolytické třídy I: </w:t>
      </w:r>
      <w:r w:rsidRPr="003F109B">
        <w:rPr>
          <w:rFonts w:eastAsia="Calibri"/>
          <w:szCs w:val="22"/>
        </w:rPr>
        <w:tab/>
        <w:t xml:space="preserve">10 ml lahvička o obsahu 10 ml 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ve skleněných injekčních lahvičkách hydrolytické třídy II: </w:t>
      </w:r>
      <w:r w:rsidRPr="003F109B">
        <w:rPr>
          <w:rFonts w:eastAsia="Calibri"/>
          <w:szCs w:val="22"/>
        </w:rPr>
        <w:tab/>
        <w:t>100 ml lahvička o obsahu 100 ml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v plastových HDPE injekčních lahvičkách: </w:t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  <w:t>15 ml lahvička o obsahu 10 ml</w:t>
      </w:r>
    </w:p>
    <w:p w:rsidR="003F109B" w:rsidRPr="003F109B" w:rsidRDefault="003F109B" w:rsidP="003F109B">
      <w:pPr>
        <w:ind w:left="5103" w:firstLine="567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>120 ml lahvička o obsahu 100 ml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v plastových HDPE lahvích: </w:t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</w:r>
      <w:r w:rsidRPr="003F109B">
        <w:rPr>
          <w:rFonts w:eastAsia="Calibri"/>
          <w:szCs w:val="22"/>
        </w:rPr>
        <w:tab/>
        <w:t>250 ml láhev o obsahu 250 ml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 xml:space="preserve">Lahvičky či láhve jsou uzavřeny vzduchotěsně pryžovými propichovacími zátkami, opatřeny hliníkovými </w:t>
      </w:r>
      <w:proofErr w:type="spellStart"/>
      <w:r w:rsidRPr="003F109B">
        <w:rPr>
          <w:rFonts w:eastAsia="Calibri"/>
          <w:szCs w:val="22"/>
        </w:rPr>
        <w:t>pertlemi</w:t>
      </w:r>
      <w:proofErr w:type="spellEnd"/>
      <w:r w:rsidRPr="003F109B">
        <w:rPr>
          <w:rFonts w:eastAsia="Calibri"/>
          <w:szCs w:val="22"/>
        </w:rPr>
        <w:t xml:space="preserve"> a umístěny v papírových kartonech. 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>U hromadného balení jsou lahvičky umístěny v papírovém kartonu nebo v plastové krabičce s jamkami.</w:t>
      </w:r>
    </w:p>
    <w:p w:rsidR="003F109B" w:rsidRPr="003F109B" w:rsidRDefault="003F109B" w:rsidP="003F109B">
      <w:pPr>
        <w:ind w:left="0" w:right="113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>Příbalová informace je součástí každého balení.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szCs w:val="22"/>
        </w:rPr>
      </w:pPr>
      <w:r w:rsidRPr="003F109B">
        <w:rPr>
          <w:rFonts w:eastAsia="Calibri"/>
          <w:szCs w:val="22"/>
        </w:rPr>
        <w:t>Velikosti balení: 10 x 5 dávek (10 x 10 ml), 1 x 50 dávek (1 x 100 ml), 1 x 125 dávek (1 x 250 ml)</w:t>
      </w:r>
    </w:p>
    <w:p w:rsidR="003F109B" w:rsidRPr="003F109B" w:rsidRDefault="003F109B" w:rsidP="003F109B">
      <w:pPr>
        <w:ind w:left="0" w:firstLine="0"/>
        <w:jc w:val="both"/>
        <w:rPr>
          <w:rFonts w:eastAsia="Calibri"/>
          <w:b/>
          <w:szCs w:val="22"/>
        </w:rPr>
      </w:pPr>
      <w:r w:rsidRPr="003F109B">
        <w:rPr>
          <w:rFonts w:eastAsia="Calibri"/>
          <w:szCs w:val="22"/>
        </w:rPr>
        <w:t>Na trhu nemusí být všechny velikosti balení.</w:t>
      </w:r>
    </w:p>
    <w:p w:rsidR="003F109B" w:rsidRPr="003F109B" w:rsidRDefault="003F109B" w:rsidP="003F109B"/>
    <w:p w:rsidR="008F60E7" w:rsidRPr="008F60E7" w:rsidRDefault="008F60E7" w:rsidP="008F60E7">
      <w:r w:rsidRPr="008F60E7">
        <w:t>Pouze pro zvířata.</w:t>
      </w:r>
    </w:p>
    <w:p w:rsidR="008F60E7" w:rsidRPr="008F60E7" w:rsidRDefault="008F60E7" w:rsidP="008F60E7">
      <w:r w:rsidRPr="008F60E7">
        <w:t>Veterinární léčivý přípravek je vydáván pouze na předpis.</w:t>
      </w:r>
    </w:p>
    <w:p w:rsidR="003F109B" w:rsidRPr="003F109B" w:rsidRDefault="003F109B" w:rsidP="003F109B"/>
    <w:p w:rsidR="003F109B" w:rsidRPr="003F109B" w:rsidRDefault="003F109B" w:rsidP="003F109B">
      <w:pPr>
        <w:ind w:left="0" w:right="-2" w:firstLine="0"/>
      </w:pPr>
      <w:r w:rsidRPr="003F109B">
        <w:t>Pokud chcete získat informace o tomto veterinárním léčivém přípravku, kontaktujte prosím příslušného místního zástupce držitele rozhodnutí o registraci.</w:t>
      </w:r>
    </w:p>
    <w:p w:rsidR="006C3151" w:rsidRDefault="006C3151" w:rsidP="003F109B">
      <w:pPr>
        <w:jc w:val="center"/>
      </w:pPr>
    </w:p>
    <w:sectPr w:rsidR="006C3151" w:rsidSect="001405D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5E3"/>
    <w:multiLevelType w:val="hybridMultilevel"/>
    <w:tmpl w:val="B8CC1A92"/>
    <w:lvl w:ilvl="0" w:tplc="04050001">
      <w:start w:val="1"/>
      <w:numFmt w:val="bullet"/>
      <w:pStyle w:val="slovan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2E"/>
    <w:rsid w:val="0012750D"/>
    <w:rsid w:val="001405D3"/>
    <w:rsid w:val="001954C4"/>
    <w:rsid w:val="003F109B"/>
    <w:rsid w:val="00406B11"/>
    <w:rsid w:val="00532E34"/>
    <w:rsid w:val="00647C7D"/>
    <w:rsid w:val="00683D23"/>
    <w:rsid w:val="006C3151"/>
    <w:rsid w:val="0072777B"/>
    <w:rsid w:val="008F60E7"/>
    <w:rsid w:val="00A0692E"/>
    <w:rsid w:val="00C27134"/>
    <w:rsid w:val="00DE1A63"/>
    <w:rsid w:val="00E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134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aliases w:val="výpln tabulky"/>
    <w:basedOn w:val="slovanseznam"/>
    <w:link w:val="BezmezerChar"/>
    <w:uiPriority w:val="1"/>
    <w:qFormat/>
    <w:rsid w:val="00C27134"/>
    <w:pPr>
      <w:numPr>
        <w:numId w:val="0"/>
      </w:numPr>
      <w:spacing w:before="80"/>
      <w:contextualSpacing w:val="0"/>
      <w:jc w:val="both"/>
    </w:pPr>
    <w:rPr>
      <w:rFonts w:eastAsia="Calibri"/>
      <w:szCs w:val="22"/>
      <w:lang w:val="en-GB"/>
    </w:rPr>
  </w:style>
  <w:style w:type="character" w:customStyle="1" w:styleId="BezmezerChar">
    <w:name w:val="Bez mezer Char"/>
    <w:aliases w:val="výpln tabulky Char"/>
    <w:link w:val="Bezmezer1"/>
    <w:uiPriority w:val="1"/>
    <w:rsid w:val="00C27134"/>
    <w:rPr>
      <w:rFonts w:ascii="Times New Roman" w:eastAsia="Calibri" w:hAnsi="Times New Roman" w:cs="Times New Roman"/>
      <w:lang w:val="en-GB"/>
    </w:rPr>
  </w:style>
  <w:style w:type="paragraph" w:styleId="slovanseznam">
    <w:name w:val="List Number"/>
    <w:basedOn w:val="Normln"/>
    <w:uiPriority w:val="99"/>
    <w:semiHidden/>
    <w:unhideWhenUsed/>
    <w:rsid w:val="00C27134"/>
    <w:pPr>
      <w:numPr>
        <w:numId w:val="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4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134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aliases w:val="výpln tabulky"/>
    <w:basedOn w:val="slovanseznam"/>
    <w:link w:val="BezmezerChar"/>
    <w:uiPriority w:val="1"/>
    <w:qFormat/>
    <w:rsid w:val="00C27134"/>
    <w:pPr>
      <w:numPr>
        <w:numId w:val="0"/>
      </w:numPr>
      <w:spacing w:before="80"/>
      <w:contextualSpacing w:val="0"/>
      <w:jc w:val="both"/>
    </w:pPr>
    <w:rPr>
      <w:rFonts w:eastAsia="Calibri"/>
      <w:szCs w:val="22"/>
      <w:lang w:val="en-GB"/>
    </w:rPr>
  </w:style>
  <w:style w:type="character" w:customStyle="1" w:styleId="BezmezerChar">
    <w:name w:val="Bez mezer Char"/>
    <w:aliases w:val="výpln tabulky Char"/>
    <w:link w:val="Bezmezer1"/>
    <w:uiPriority w:val="1"/>
    <w:rsid w:val="00C27134"/>
    <w:rPr>
      <w:rFonts w:ascii="Times New Roman" w:eastAsia="Calibri" w:hAnsi="Times New Roman" w:cs="Times New Roman"/>
      <w:lang w:val="en-GB"/>
    </w:rPr>
  </w:style>
  <w:style w:type="paragraph" w:styleId="slovanseznam">
    <w:name w:val="List Number"/>
    <w:basedOn w:val="Normln"/>
    <w:uiPriority w:val="99"/>
    <w:semiHidden/>
    <w:unhideWhenUsed/>
    <w:rsid w:val="00C27134"/>
    <w:pPr>
      <w:numPr>
        <w:numId w:val="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4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E332-8159-4CDD-96AA-C681D5E6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Neugebauerová Kateřina</cp:lastModifiedBy>
  <cp:revision>9</cp:revision>
  <cp:lastPrinted>2019-10-29T12:07:00Z</cp:lastPrinted>
  <dcterms:created xsi:type="dcterms:W3CDTF">2019-10-15T10:10:00Z</dcterms:created>
  <dcterms:modified xsi:type="dcterms:W3CDTF">2019-10-29T12:07:00Z</dcterms:modified>
</cp:coreProperties>
</file>