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B" w:rsidRDefault="003101BB">
      <w:pPr>
        <w:jc w:val="center"/>
        <w:rPr>
          <w:b/>
          <w:bCs/>
        </w:rPr>
      </w:pPr>
    </w:p>
    <w:p w:rsidR="000D0EB4" w:rsidRPr="00CE2616" w:rsidRDefault="000D0EB4">
      <w:pPr>
        <w:jc w:val="center"/>
        <w:rPr>
          <w:b/>
          <w:bCs/>
        </w:rPr>
      </w:pPr>
    </w:p>
    <w:p w:rsidR="003101BB" w:rsidRPr="00CE2616" w:rsidRDefault="003101BB">
      <w:pPr>
        <w:jc w:val="center"/>
        <w:rPr>
          <w:b/>
          <w:bCs/>
        </w:rPr>
      </w:pPr>
    </w:p>
    <w:p w:rsidR="003101BB" w:rsidRPr="00CE2616" w:rsidRDefault="003101BB">
      <w:pPr>
        <w:jc w:val="center"/>
        <w:rPr>
          <w:b/>
          <w:bCs/>
        </w:rPr>
      </w:pPr>
    </w:p>
    <w:p w:rsidR="003101BB" w:rsidRPr="00CE2616" w:rsidRDefault="003101BB">
      <w:pPr>
        <w:jc w:val="center"/>
        <w:rPr>
          <w:b/>
          <w:bCs/>
        </w:rPr>
      </w:pPr>
    </w:p>
    <w:p w:rsidR="003101BB" w:rsidRPr="00CE2616" w:rsidRDefault="003101BB">
      <w:pPr>
        <w:jc w:val="center"/>
        <w:rPr>
          <w:b/>
          <w:bCs/>
        </w:rPr>
      </w:pPr>
    </w:p>
    <w:p w:rsidR="003101BB" w:rsidRPr="00CE2616" w:rsidRDefault="003101BB">
      <w:pPr>
        <w:jc w:val="center"/>
        <w:rPr>
          <w:b/>
          <w:bCs/>
        </w:rPr>
      </w:pPr>
    </w:p>
    <w:p w:rsidR="003101BB" w:rsidRPr="00CE2616" w:rsidRDefault="003101BB">
      <w:pPr>
        <w:jc w:val="center"/>
        <w:rPr>
          <w:b/>
          <w:bCs/>
        </w:rPr>
      </w:pPr>
    </w:p>
    <w:p w:rsidR="003101BB" w:rsidRPr="00CE2616" w:rsidRDefault="003101BB">
      <w:pPr>
        <w:jc w:val="center"/>
        <w:rPr>
          <w:b/>
          <w:bCs/>
        </w:rPr>
      </w:pPr>
    </w:p>
    <w:p w:rsidR="003F2A60" w:rsidRPr="00CE2616" w:rsidRDefault="003F2A60">
      <w:pPr>
        <w:ind w:right="113"/>
        <w:jc w:val="center"/>
      </w:pPr>
    </w:p>
    <w:p w:rsidR="003F2A60" w:rsidRPr="00CE2616" w:rsidRDefault="003F2A60">
      <w:pPr>
        <w:ind w:right="113"/>
        <w:jc w:val="center"/>
      </w:pPr>
    </w:p>
    <w:p w:rsidR="003F2A60" w:rsidRPr="00CE2616" w:rsidRDefault="003F2A60">
      <w:pPr>
        <w:ind w:right="113"/>
        <w:jc w:val="center"/>
      </w:pPr>
    </w:p>
    <w:p w:rsidR="003F2A60" w:rsidRPr="00CE2616" w:rsidRDefault="003F2A60">
      <w:pPr>
        <w:ind w:right="113"/>
        <w:jc w:val="center"/>
      </w:pPr>
    </w:p>
    <w:p w:rsidR="003F2A60" w:rsidRPr="00CE2616" w:rsidRDefault="003F2A60">
      <w:pPr>
        <w:ind w:right="113"/>
        <w:jc w:val="center"/>
      </w:pPr>
    </w:p>
    <w:p w:rsidR="003F2A60" w:rsidRPr="00CE2616" w:rsidRDefault="003F2A60">
      <w:pPr>
        <w:ind w:right="113"/>
        <w:jc w:val="center"/>
      </w:pPr>
    </w:p>
    <w:p w:rsidR="003F2A60" w:rsidRPr="00CE2616" w:rsidRDefault="003F2A60">
      <w:pPr>
        <w:ind w:right="113"/>
        <w:jc w:val="center"/>
      </w:pPr>
    </w:p>
    <w:p w:rsidR="003101BB" w:rsidRPr="00CE2616" w:rsidRDefault="003101BB">
      <w:pPr>
        <w:ind w:right="113"/>
        <w:jc w:val="center"/>
      </w:pPr>
    </w:p>
    <w:p w:rsidR="003101BB" w:rsidRPr="00CE2616" w:rsidRDefault="003101BB">
      <w:pPr>
        <w:ind w:right="113"/>
        <w:jc w:val="center"/>
      </w:pPr>
    </w:p>
    <w:p w:rsidR="003101BB" w:rsidRPr="00CE2616" w:rsidRDefault="003101BB">
      <w:pPr>
        <w:ind w:right="113"/>
        <w:jc w:val="center"/>
      </w:pPr>
    </w:p>
    <w:p w:rsidR="003101BB" w:rsidRPr="00CE2616" w:rsidRDefault="003101BB">
      <w:pPr>
        <w:ind w:right="113"/>
        <w:jc w:val="center"/>
      </w:pPr>
    </w:p>
    <w:p w:rsidR="003101BB" w:rsidRPr="00CE2616" w:rsidRDefault="003101BB">
      <w:pPr>
        <w:ind w:right="113"/>
        <w:jc w:val="center"/>
      </w:pPr>
    </w:p>
    <w:p w:rsidR="003101BB" w:rsidRPr="00CE2616" w:rsidRDefault="003101BB">
      <w:pPr>
        <w:ind w:right="113"/>
        <w:jc w:val="center"/>
      </w:pPr>
    </w:p>
    <w:p w:rsidR="003101BB" w:rsidRPr="00CE2616" w:rsidRDefault="003101BB">
      <w:pPr>
        <w:ind w:right="113"/>
        <w:jc w:val="center"/>
      </w:pPr>
    </w:p>
    <w:p w:rsidR="003101BB" w:rsidRPr="00CE2616" w:rsidRDefault="003101BB">
      <w:pPr>
        <w:ind w:right="113"/>
        <w:jc w:val="center"/>
      </w:pPr>
    </w:p>
    <w:p w:rsidR="003101BB" w:rsidRPr="00CE2616" w:rsidRDefault="003101BB">
      <w:pPr>
        <w:ind w:right="113"/>
        <w:jc w:val="center"/>
      </w:pPr>
    </w:p>
    <w:p w:rsidR="003101BB" w:rsidRPr="00882008" w:rsidRDefault="003101BB">
      <w:pPr>
        <w:ind w:right="113"/>
        <w:jc w:val="center"/>
        <w:rPr>
          <w:lang w:val="it-IT"/>
        </w:rPr>
      </w:pPr>
      <w:r>
        <w:rPr>
          <w:b/>
          <w:bCs/>
          <w:lang w:val="cs"/>
        </w:rPr>
        <w:t>B. PŘÍBALOVÁ INFORMACE</w:t>
      </w:r>
    </w:p>
    <w:p w:rsidR="003101BB" w:rsidRPr="00882008" w:rsidRDefault="003101BB">
      <w:pPr>
        <w:ind w:right="113"/>
        <w:jc w:val="center"/>
        <w:rPr>
          <w:b/>
          <w:bCs/>
          <w:lang w:val="it-IT"/>
        </w:rPr>
      </w:pPr>
      <w:r>
        <w:rPr>
          <w:lang w:val="cs"/>
        </w:rPr>
        <w:br w:type="page"/>
      </w:r>
      <w:r>
        <w:rPr>
          <w:b/>
          <w:bCs/>
          <w:lang w:val="cs"/>
        </w:rPr>
        <w:lastRenderedPageBreak/>
        <w:t>PŘÍBALOVÁ INFORMACE</w:t>
      </w:r>
      <w:r w:rsidR="0099134D">
        <w:rPr>
          <w:b/>
          <w:bCs/>
          <w:lang w:val="cs"/>
        </w:rPr>
        <w:t xml:space="preserve"> PRO</w:t>
      </w:r>
    </w:p>
    <w:p w:rsidR="00503703" w:rsidRPr="00CE2616" w:rsidRDefault="00503703" w:rsidP="00503703">
      <w:pPr>
        <w:jc w:val="center"/>
      </w:pPr>
      <w:r>
        <w:rPr>
          <w:b/>
          <w:bCs/>
          <w:lang w:val="cs"/>
        </w:rPr>
        <w:t xml:space="preserve">FLORDOFEN 300 mg/ml </w:t>
      </w:r>
      <w:r w:rsidR="0099134D">
        <w:rPr>
          <w:b/>
          <w:bCs/>
          <w:lang w:val="cs"/>
        </w:rPr>
        <w:t>injekční r</w:t>
      </w:r>
      <w:r>
        <w:rPr>
          <w:b/>
          <w:bCs/>
          <w:lang w:val="cs"/>
        </w:rPr>
        <w:t>oztok skot a prasat</w:t>
      </w:r>
      <w:r w:rsidR="0099134D">
        <w:rPr>
          <w:b/>
          <w:bCs/>
          <w:lang w:val="cs"/>
        </w:rPr>
        <w:t>a</w:t>
      </w:r>
    </w:p>
    <w:p w:rsidR="00503703" w:rsidRPr="00CE2616" w:rsidRDefault="00503703" w:rsidP="00503703">
      <w:pPr>
        <w:jc w:val="center"/>
        <w:rPr>
          <w:b/>
        </w:rPr>
      </w:pPr>
    </w:p>
    <w:p w:rsidR="003101BB" w:rsidRPr="00CE2616" w:rsidRDefault="003101BB"/>
    <w:p w:rsidR="003101BB" w:rsidRPr="00CE2616" w:rsidRDefault="003101BB">
      <w:pPr>
        <w:ind w:left="567" w:hanging="567"/>
        <w:rPr>
          <w:b/>
          <w:bCs/>
        </w:rPr>
      </w:pPr>
      <w:r>
        <w:rPr>
          <w:b/>
          <w:bCs/>
          <w:lang w:val="cs"/>
        </w:rPr>
        <w:t>1.</w:t>
      </w:r>
      <w:r>
        <w:rPr>
          <w:b/>
          <w:bCs/>
          <w:lang w:val="cs"/>
        </w:rPr>
        <w:tab/>
        <w:t xml:space="preserve">JMÉNO A ADRESA DRŽITELE ROZHODNUTÍ O REGISTRACI A DRŽITELE POVOLENÍ K VÝROBĚ ODPOVĚDNÉHO ZA UVOLNĚNÍ ŠARŽE, POKUD SE NESHODUJE </w:t>
      </w:r>
    </w:p>
    <w:p w:rsidR="003101BB" w:rsidRPr="00CE2616" w:rsidRDefault="003101BB">
      <w:pPr>
        <w:ind w:left="567" w:hanging="567"/>
        <w:rPr>
          <w:b/>
          <w:bCs/>
        </w:rPr>
      </w:pPr>
    </w:p>
    <w:p w:rsidR="003101BB" w:rsidRPr="00882008" w:rsidRDefault="003101BB">
      <w:pPr>
        <w:rPr>
          <w:u w:val="single"/>
          <w:lang w:val="it-IT"/>
        </w:rPr>
      </w:pPr>
      <w:r>
        <w:rPr>
          <w:u w:val="single"/>
          <w:lang w:val="cs"/>
        </w:rPr>
        <w:t xml:space="preserve">Držitel rozhodnutí o registraci: </w:t>
      </w:r>
    </w:p>
    <w:p w:rsidR="003101BB" w:rsidRPr="00882008" w:rsidRDefault="003101BB">
      <w:pPr>
        <w:rPr>
          <w:lang w:val="it-IT"/>
        </w:rPr>
      </w:pPr>
      <w:proofErr w:type="spellStart"/>
      <w:r>
        <w:rPr>
          <w:lang w:val="cs"/>
        </w:rPr>
        <w:t>Dopharma</w:t>
      </w:r>
      <w:proofErr w:type="spellEnd"/>
      <w:r>
        <w:rPr>
          <w:lang w:val="cs"/>
        </w:rPr>
        <w:t xml:space="preserve"> </w:t>
      </w:r>
      <w:proofErr w:type="spellStart"/>
      <w:proofErr w:type="gramStart"/>
      <w:r>
        <w:rPr>
          <w:lang w:val="cs"/>
        </w:rPr>
        <w:t>Research</w:t>
      </w:r>
      <w:proofErr w:type="spellEnd"/>
      <w:r>
        <w:rPr>
          <w:lang w:val="cs"/>
        </w:rPr>
        <w:t xml:space="preserve"> B.V.</w:t>
      </w:r>
      <w:proofErr w:type="gramEnd"/>
    </w:p>
    <w:p w:rsidR="003101BB" w:rsidRPr="00882008" w:rsidRDefault="003101BB">
      <w:pPr>
        <w:rPr>
          <w:lang w:val="it-IT"/>
        </w:rPr>
      </w:pPr>
      <w:proofErr w:type="spellStart"/>
      <w:r>
        <w:rPr>
          <w:lang w:val="cs"/>
        </w:rPr>
        <w:t>Zalmweg</w:t>
      </w:r>
      <w:proofErr w:type="spellEnd"/>
      <w:r>
        <w:rPr>
          <w:lang w:val="cs"/>
        </w:rPr>
        <w:t xml:space="preserve"> 24</w:t>
      </w:r>
    </w:p>
    <w:p w:rsidR="003101BB" w:rsidRPr="00882008" w:rsidRDefault="003101BB">
      <w:pPr>
        <w:rPr>
          <w:lang w:val="it-IT"/>
        </w:rPr>
      </w:pPr>
      <w:r>
        <w:rPr>
          <w:lang w:val="cs"/>
        </w:rPr>
        <w:t xml:space="preserve">4941 VX  </w:t>
      </w:r>
      <w:proofErr w:type="spellStart"/>
      <w:r>
        <w:rPr>
          <w:lang w:val="cs"/>
        </w:rPr>
        <w:t>Raamsdonksveer</w:t>
      </w:r>
      <w:proofErr w:type="spellEnd"/>
      <w:r>
        <w:rPr>
          <w:lang w:val="cs"/>
        </w:rPr>
        <w:t xml:space="preserve">  Nizozemsko</w:t>
      </w:r>
    </w:p>
    <w:p w:rsidR="003101BB" w:rsidRPr="00882008" w:rsidRDefault="003101BB">
      <w:pPr>
        <w:rPr>
          <w:u w:val="single"/>
          <w:lang w:val="it-IT"/>
        </w:rPr>
      </w:pPr>
    </w:p>
    <w:p w:rsidR="003101BB" w:rsidRPr="00882008" w:rsidRDefault="003101BB">
      <w:pPr>
        <w:rPr>
          <w:lang w:val="it-IT"/>
        </w:rPr>
      </w:pPr>
      <w:r>
        <w:rPr>
          <w:u w:val="single"/>
          <w:lang w:val="cs"/>
        </w:rPr>
        <w:t>Výrobce odpovědný za uvolnění šarže:</w:t>
      </w:r>
    </w:p>
    <w:p w:rsidR="00503703" w:rsidRPr="00927753" w:rsidRDefault="00503703" w:rsidP="00503703">
      <w:pPr>
        <w:rPr>
          <w:lang w:val="nl-NL"/>
        </w:rPr>
      </w:pPr>
      <w:proofErr w:type="spellStart"/>
      <w:proofErr w:type="gramStart"/>
      <w:r>
        <w:rPr>
          <w:lang w:val="cs"/>
        </w:rPr>
        <w:t>Dopharma</w:t>
      </w:r>
      <w:proofErr w:type="spellEnd"/>
      <w:r>
        <w:rPr>
          <w:lang w:val="cs"/>
        </w:rPr>
        <w:t xml:space="preserve"> B.V.</w:t>
      </w:r>
      <w:proofErr w:type="gramEnd"/>
    </w:p>
    <w:p w:rsidR="00503703" w:rsidRPr="00927753" w:rsidRDefault="00503703" w:rsidP="00503703">
      <w:pPr>
        <w:rPr>
          <w:lang w:val="nl-NL"/>
        </w:rPr>
      </w:pPr>
      <w:proofErr w:type="spellStart"/>
      <w:r>
        <w:rPr>
          <w:lang w:val="cs"/>
        </w:rPr>
        <w:t>Zalmweg</w:t>
      </w:r>
      <w:proofErr w:type="spellEnd"/>
      <w:r>
        <w:rPr>
          <w:lang w:val="cs"/>
        </w:rPr>
        <w:t xml:space="preserve"> 24</w:t>
      </w:r>
    </w:p>
    <w:p w:rsidR="00503703" w:rsidRPr="00927753" w:rsidRDefault="00503703" w:rsidP="00503703">
      <w:pPr>
        <w:rPr>
          <w:lang w:val="nl-NL"/>
        </w:rPr>
      </w:pPr>
      <w:r>
        <w:rPr>
          <w:lang w:val="cs"/>
        </w:rPr>
        <w:t xml:space="preserve">4941 VX </w:t>
      </w:r>
      <w:proofErr w:type="spellStart"/>
      <w:r>
        <w:rPr>
          <w:lang w:val="cs"/>
        </w:rPr>
        <w:t>Raamsdonksveer</w:t>
      </w:r>
      <w:proofErr w:type="spellEnd"/>
      <w:r>
        <w:rPr>
          <w:lang w:val="cs"/>
        </w:rPr>
        <w:t xml:space="preserve"> </w:t>
      </w:r>
    </w:p>
    <w:p w:rsidR="003101BB" w:rsidRPr="00927753" w:rsidRDefault="00503703" w:rsidP="00503703">
      <w:pPr>
        <w:rPr>
          <w:lang w:val="nl-NL"/>
        </w:rPr>
      </w:pPr>
      <w:r>
        <w:rPr>
          <w:lang w:val="cs"/>
        </w:rPr>
        <w:t>Nizozemsko</w:t>
      </w:r>
    </w:p>
    <w:p w:rsidR="003101BB" w:rsidRPr="00927753" w:rsidRDefault="003101BB">
      <w:pPr>
        <w:rPr>
          <w:lang w:val="nl-NL"/>
        </w:rPr>
      </w:pPr>
    </w:p>
    <w:p w:rsidR="003101BB" w:rsidRPr="00927753" w:rsidRDefault="003101BB">
      <w:pPr>
        <w:tabs>
          <w:tab w:val="left" w:pos="567"/>
        </w:tabs>
        <w:rPr>
          <w:lang w:val="nl-NL"/>
        </w:rPr>
      </w:pPr>
      <w:r>
        <w:rPr>
          <w:b/>
          <w:bCs/>
          <w:lang w:val="cs"/>
        </w:rPr>
        <w:t>2.</w:t>
      </w:r>
      <w:r>
        <w:rPr>
          <w:b/>
          <w:bCs/>
          <w:lang w:val="cs"/>
        </w:rPr>
        <w:tab/>
        <w:t>NÁZEV VETERINÁRNÍHO LÉČIVÉHO PŘÍPRAVKU</w:t>
      </w:r>
    </w:p>
    <w:p w:rsidR="003101BB" w:rsidRPr="00927753" w:rsidRDefault="003101BB">
      <w:pPr>
        <w:rPr>
          <w:lang w:val="nl-NL"/>
        </w:rPr>
      </w:pPr>
    </w:p>
    <w:p w:rsidR="00503703" w:rsidRPr="00927753" w:rsidRDefault="00503703" w:rsidP="00503703">
      <w:pPr>
        <w:rPr>
          <w:lang w:val="nl-NL"/>
        </w:rPr>
      </w:pPr>
      <w:r>
        <w:rPr>
          <w:lang w:val="cs"/>
        </w:rPr>
        <w:t xml:space="preserve">FLORDOFEN 300 mg/ml </w:t>
      </w:r>
      <w:r w:rsidR="00DD2D38">
        <w:rPr>
          <w:lang w:val="cs"/>
        </w:rPr>
        <w:t>injekční roztok pro skot a prasata</w:t>
      </w:r>
    </w:p>
    <w:p w:rsidR="00503703" w:rsidRPr="00882008" w:rsidRDefault="00DD2D38" w:rsidP="00503703">
      <w:pPr>
        <w:rPr>
          <w:lang w:val="nl-NL"/>
        </w:rPr>
      </w:pPr>
      <w:proofErr w:type="spellStart"/>
      <w:r>
        <w:rPr>
          <w:lang w:val="cs"/>
        </w:rPr>
        <w:t>Florfenicolum</w:t>
      </w:r>
      <w:proofErr w:type="spellEnd"/>
    </w:p>
    <w:p w:rsidR="003101BB" w:rsidRPr="00882008" w:rsidRDefault="003101BB">
      <w:pPr>
        <w:rPr>
          <w:lang w:val="nl-NL"/>
        </w:rPr>
      </w:pPr>
    </w:p>
    <w:p w:rsidR="003101BB" w:rsidRPr="00882008" w:rsidRDefault="003101BB">
      <w:pPr>
        <w:tabs>
          <w:tab w:val="left" w:pos="540"/>
        </w:tabs>
        <w:rPr>
          <w:lang w:val="nl-NL"/>
        </w:rPr>
      </w:pPr>
      <w:r>
        <w:rPr>
          <w:b/>
          <w:bCs/>
          <w:lang w:val="cs"/>
        </w:rPr>
        <w:t>3.</w:t>
      </w:r>
      <w:r>
        <w:rPr>
          <w:b/>
          <w:bCs/>
          <w:lang w:val="cs"/>
        </w:rPr>
        <w:tab/>
        <w:t>OBSAH LÉČIVÝCH A OSTATNÍCH LÁTEK</w:t>
      </w:r>
    </w:p>
    <w:p w:rsidR="003101BB" w:rsidRPr="00882008" w:rsidRDefault="003101BB">
      <w:pPr>
        <w:rPr>
          <w:lang w:val="nl-NL"/>
        </w:rPr>
      </w:pPr>
    </w:p>
    <w:p w:rsidR="003101BB" w:rsidRPr="00882008" w:rsidRDefault="003101BB">
      <w:pPr>
        <w:rPr>
          <w:lang w:val="nl-NL"/>
        </w:rPr>
      </w:pPr>
      <w:r>
        <w:rPr>
          <w:lang w:val="cs"/>
        </w:rPr>
        <w:t>Každý ml obsahuje:</w:t>
      </w:r>
    </w:p>
    <w:p w:rsidR="003101BB" w:rsidRPr="00882008" w:rsidRDefault="003101BB">
      <w:pPr>
        <w:pStyle w:val="Nadpis4"/>
        <w:rPr>
          <w:sz w:val="22"/>
          <w:szCs w:val="22"/>
          <w:lang w:val="nl-NL"/>
        </w:rPr>
      </w:pPr>
      <w:r>
        <w:rPr>
          <w:sz w:val="22"/>
          <w:szCs w:val="22"/>
          <w:lang w:val="cs"/>
        </w:rPr>
        <w:t>Léčivá látka:</w:t>
      </w:r>
    </w:p>
    <w:p w:rsidR="003101BB" w:rsidRPr="00882008" w:rsidRDefault="00BB0E04">
      <w:pPr>
        <w:rPr>
          <w:lang w:val="nl-NL"/>
        </w:rPr>
      </w:pPr>
      <w:proofErr w:type="spellStart"/>
      <w:r>
        <w:rPr>
          <w:lang w:val="cs"/>
        </w:rPr>
        <w:t>Florfeni</w:t>
      </w:r>
      <w:r w:rsidR="00DD2D38">
        <w:rPr>
          <w:lang w:val="cs"/>
        </w:rPr>
        <w:t>colum</w:t>
      </w:r>
      <w:proofErr w:type="spellEnd"/>
      <w:r>
        <w:rPr>
          <w:lang w:val="cs"/>
        </w:rPr>
        <w:tab/>
        <w:t>300 mg</w:t>
      </w:r>
    </w:p>
    <w:p w:rsidR="00BB0E04" w:rsidRPr="00882008" w:rsidRDefault="00BB0E04">
      <w:pPr>
        <w:rPr>
          <w:lang w:val="nl-NL"/>
        </w:rPr>
      </w:pPr>
    </w:p>
    <w:p w:rsidR="003B07D6" w:rsidRPr="00882008" w:rsidRDefault="003B07D6" w:rsidP="003B07D6">
      <w:pPr>
        <w:rPr>
          <w:lang w:val="nl-NL"/>
        </w:rPr>
      </w:pPr>
      <w:r>
        <w:rPr>
          <w:lang w:val="cs"/>
        </w:rPr>
        <w:t>Čirý, lehce nažloutlý roztok</w:t>
      </w:r>
    </w:p>
    <w:p w:rsidR="003101BB" w:rsidRPr="00882008" w:rsidRDefault="003101BB">
      <w:pPr>
        <w:rPr>
          <w:lang w:val="nl-NL"/>
        </w:rPr>
      </w:pPr>
    </w:p>
    <w:p w:rsidR="003101BB" w:rsidRPr="00882008" w:rsidRDefault="003101BB">
      <w:pPr>
        <w:tabs>
          <w:tab w:val="left" w:pos="567"/>
        </w:tabs>
        <w:rPr>
          <w:b/>
          <w:bCs/>
          <w:lang w:val="nl-NL"/>
        </w:rPr>
      </w:pPr>
      <w:r>
        <w:rPr>
          <w:b/>
          <w:bCs/>
          <w:lang w:val="cs"/>
        </w:rPr>
        <w:t>4.</w:t>
      </w:r>
      <w:r>
        <w:rPr>
          <w:b/>
          <w:bCs/>
          <w:lang w:val="cs"/>
        </w:rPr>
        <w:tab/>
        <w:t>INDIKACE</w:t>
      </w:r>
    </w:p>
    <w:p w:rsidR="003101BB" w:rsidRPr="00882008" w:rsidRDefault="003101BB">
      <w:pPr>
        <w:rPr>
          <w:b/>
          <w:bCs/>
          <w:lang w:val="nl-NL"/>
        </w:rPr>
      </w:pPr>
    </w:p>
    <w:p w:rsidR="00BB0E04" w:rsidRPr="00882008" w:rsidRDefault="00BB0E04" w:rsidP="00BB0E04">
      <w:pPr>
        <w:pStyle w:val="Normlnodsazen"/>
        <w:ind w:left="0"/>
        <w:rPr>
          <w:b/>
          <w:bCs/>
        </w:rPr>
      </w:pPr>
      <w:r>
        <w:rPr>
          <w:b/>
          <w:bCs/>
          <w:lang w:val="cs"/>
        </w:rPr>
        <w:t>Skot:</w:t>
      </w:r>
    </w:p>
    <w:p w:rsidR="007C3F9A" w:rsidRPr="007C3F9A" w:rsidRDefault="007C3F9A" w:rsidP="007E078E">
      <w:pPr>
        <w:pStyle w:val="Normlnodsazen"/>
        <w:ind w:left="0"/>
        <w:rPr>
          <w:lang w:val="cs"/>
        </w:rPr>
      </w:pPr>
      <w:r w:rsidRPr="007C3F9A">
        <w:rPr>
          <w:lang w:val="cs"/>
        </w:rPr>
        <w:t xml:space="preserve">Léčba a </w:t>
      </w:r>
      <w:proofErr w:type="spellStart"/>
      <w:r w:rsidRPr="007C3F9A">
        <w:rPr>
          <w:lang w:val="cs"/>
        </w:rPr>
        <w:t>metafylaxe</w:t>
      </w:r>
      <w:proofErr w:type="spellEnd"/>
      <w:r w:rsidRPr="007C3F9A">
        <w:rPr>
          <w:lang w:val="cs"/>
        </w:rPr>
        <w:t xml:space="preserve"> infekcí respiračního traktu u skotu </w:t>
      </w:r>
      <w:r w:rsidR="00D25175">
        <w:rPr>
          <w:lang w:val="cs"/>
        </w:rPr>
        <w:t>vyvolan</w:t>
      </w:r>
      <w:r w:rsidRPr="007C3F9A">
        <w:rPr>
          <w:lang w:val="cs"/>
        </w:rPr>
        <w:t xml:space="preserve">ých </w:t>
      </w:r>
      <w:proofErr w:type="spellStart"/>
      <w:r w:rsidRPr="007E078E">
        <w:rPr>
          <w:i/>
          <w:lang w:val="cs"/>
        </w:rPr>
        <w:t>Mannheimia</w:t>
      </w:r>
      <w:proofErr w:type="spellEnd"/>
      <w:r w:rsidRPr="007E078E">
        <w:rPr>
          <w:i/>
          <w:lang w:val="cs"/>
        </w:rPr>
        <w:t xml:space="preserve"> </w:t>
      </w:r>
      <w:proofErr w:type="spellStart"/>
      <w:r w:rsidRPr="007E078E">
        <w:rPr>
          <w:i/>
          <w:lang w:val="cs"/>
        </w:rPr>
        <w:t>haemolytica</w:t>
      </w:r>
      <w:proofErr w:type="spellEnd"/>
      <w:r w:rsidRPr="007C3F9A">
        <w:rPr>
          <w:lang w:val="cs"/>
        </w:rPr>
        <w:t xml:space="preserve">, </w:t>
      </w:r>
      <w:proofErr w:type="spellStart"/>
      <w:r w:rsidRPr="007E078E">
        <w:rPr>
          <w:i/>
          <w:lang w:val="cs"/>
        </w:rPr>
        <w:t>Pasteurella</w:t>
      </w:r>
      <w:proofErr w:type="spellEnd"/>
      <w:r w:rsidRPr="007E078E">
        <w:rPr>
          <w:i/>
          <w:lang w:val="cs"/>
        </w:rPr>
        <w:t xml:space="preserve"> </w:t>
      </w:r>
      <w:proofErr w:type="spellStart"/>
      <w:r w:rsidRPr="007E078E">
        <w:rPr>
          <w:i/>
          <w:lang w:val="cs"/>
        </w:rPr>
        <w:t>multocida</w:t>
      </w:r>
      <w:proofErr w:type="spellEnd"/>
      <w:r w:rsidRPr="007C3F9A">
        <w:rPr>
          <w:lang w:val="cs"/>
        </w:rPr>
        <w:t xml:space="preserve"> a </w:t>
      </w:r>
      <w:r w:rsidRPr="007E078E">
        <w:rPr>
          <w:i/>
          <w:lang w:val="cs"/>
        </w:rPr>
        <w:t>Histophilus somni</w:t>
      </w:r>
      <w:r w:rsidRPr="007C3F9A">
        <w:rPr>
          <w:lang w:val="cs"/>
        </w:rPr>
        <w:t>, citlivými k florfenikolu.</w:t>
      </w:r>
    </w:p>
    <w:p w:rsidR="00BB0E04" w:rsidRPr="00882008" w:rsidRDefault="007C3F9A">
      <w:pPr>
        <w:pStyle w:val="Normlnodsazen"/>
        <w:ind w:left="0"/>
        <w:rPr>
          <w:lang w:val="cs"/>
        </w:rPr>
      </w:pPr>
      <w:r w:rsidRPr="007C3F9A">
        <w:rPr>
          <w:lang w:val="cs"/>
        </w:rPr>
        <w:t xml:space="preserve">Přítomnost onemocnění ve stádě by měla být stanovena před </w:t>
      </w:r>
      <w:proofErr w:type="spellStart"/>
      <w:r w:rsidRPr="007C3F9A">
        <w:rPr>
          <w:lang w:val="cs"/>
        </w:rPr>
        <w:t>metafylaxí</w:t>
      </w:r>
      <w:proofErr w:type="spellEnd"/>
      <w:r w:rsidR="00BB0E04">
        <w:rPr>
          <w:lang w:val="cs"/>
        </w:rPr>
        <w:t>.</w:t>
      </w:r>
    </w:p>
    <w:p w:rsidR="00BB0E04" w:rsidRPr="00882008" w:rsidRDefault="00BB0E04" w:rsidP="00BB0E04">
      <w:pPr>
        <w:pStyle w:val="Normlnodsazen"/>
        <w:rPr>
          <w:b/>
          <w:bCs/>
          <w:lang w:val="cs"/>
        </w:rPr>
      </w:pPr>
    </w:p>
    <w:p w:rsidR="00BB0E04" w:rsidRPr="00D210F8" w:rsidRDefault="00BB0E04" w:rsidP="00BB0E04">
      <w:pPr>
        <w:pStyle w:val="Normlnodsazen"/>
        <w:ind w:left="0"/>
        <w:rPr>
          <w:b/>
          <w:bCs/>
          <w:lang w:val="en-GB"/>
        </w:rPr>
      </w:pPr>
      <w:r>
        <w:rPr>
          <w:b/>
          <w:bCs/>
          <w:lang w:val="cs"/>
        </w:rPr>
        <w:t xml:space="preserve">Prasata: </w:t>
      </w:r>
    </w:p>
    <w:p w:rsidR="004E3B7E" w:rsidRPr="00D210F8" w:rsidRDefault="00BB0E04" w:rsidP="00BB0E04">
      <w:pPr>
        <w:pStyle w:val="Normlnodsazen"/>
        <w:ind w:left="0"/>
        <w:rPr>
          <w:lang w:val="en-GB"/>
        </w:rPr>
      </w:pPr>
      <w:r>
        <w:rPr>
          <w:lang w:val="cs"/>
        </w:rPr>
        <w:t xml:space="preserve">Léčba akutních respiračních onemocnění </w:t>
      </w:r>
      <w:proofErr w:type="gramStart"/>
      <w:r w:rsidR="00D25175">
        <w:rPr>
          <w:lang w:val="cs"/>
        </w:rPr>
        <w:t>vyvolan</w:t>
      </w:r>
      <w:r>
        <w:rPr>
          <w:lang w:val="cs"/>
        </w:rPr>
        <w:t xml:space="preserve">ých </w:t>
      </w:r>
      <w:r w:rsidR="007C3F9A">
        <w:rPr>
          <w:lang w:val="cs"/>
        </w:rPr>
        <w:t xml:space="preserve"> </w:t>
      </w:r>
      <w:proofErr w:type="spellStart"/>
      <w:r>
        <w:rPr>
          <w:i/>
          <w:iCs/>
          <w:lang w:val="cs"/>
        </w:rPr>
        <w:t>Actinobacillus</w:t>
      </w:r>
      <w:proofErr w:type="spellEnd"/>
      <w:proofErr w:type="gram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pleuropneumoniae</w:t>
      </w:r>
      <w:proofErr w:type="spellEnd"/>
      <w:r>
        <w:rPr>
          <w:i/>
          <w:iCs/>
          <w:lang w:val="cs"/>
        </w:rPr>
        <w:t xml:space="preserve"> </w:t>
      </w:r>
      <w:r>
        <w:rPr>
          <w:lang w:val="cs"/>
        </w:rPr>
        <w:t>a</w:t>
      </w:r>
      <w:r>
        <w:rPr>
          <w:i/>
          <w:iCs/>
          <w:lang w:val="cs"/>
        </w:rPr>
        <w:t> </w:t>
      </w:r>
      <w:proofErr w:type="spellStart"/>
      <w:r>
        <w:rPr>
          <w:i/>
          <w:iCs/>
          <w:lang w:val="cs"/>
        </w:rPr>
        <w:t>Pasteurella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multocida</w:t>
      </w:r>
      <w:proofErr w:type="spellEnd"/>
      <w:r>
        <w:rPr>
          <w:lang w:val="cs"/>
        </w:rPr>
        <w:t xml:space="preserve"> citlivými </w:t>
      </w:r>
      <w:r w:rsidR="007C3F9A">
        <w:rPr>
          <w:lang w:val="cs"/>
        </w:rPr>
        <w:t xml:space="preserve">k </w:t>
      </w:r>
      <w:proofErr w:type="spellStart"/>
      <w:r>
        <w:rPr>
          <w:lang w:val="cs"/>
        </w:rPr>
        <w:t>florfenikol</w:t>
      </w:r>
      <w:r w:rsidR="007C3F9A">
        <w:rPr>
          <w:lang w:val="cs"/>
        </w:rPr>
        <w:t>u</w:t>
      </w:r>
      <w:proofErr w:type="spellEnd"/>
      <w:r>
        <w:rPr>
          <w:lang w:val="cs"/>
        </w:rPr>
        <w:t>.</w:t>
      </w:r>
    </w:p>
    <w:p w:rsidR="003101BB" w:rsidRPr="00D210F8" w:rsidRDefault="003101BB"/>
    <w:p w:rsidR="003101BB" w:rsidRPr="00D210F8" w:rsidRDefault="003101BB">
      <w:pPr>
        <w:tabs>
          <w:tab w:val="left" w:pos="567"/>
        </w:tabs>
        <w:rPr>
          <w:b/>
          <w:bCs/>
        </w:rPr>
      </w:pPr>
      <w:r>
        <w:rPr>
          <w:b/>
          <w:bCs/>
          <w:lang w:val="cs"/>
        </w:rPr>
        <w:t>5.</w:t>
      </w:r>
      <w:r>
        <w:rPr>
          <w:b/>
          <w:bCs/>
          <w:lang w:val="cs"/>
        </w:rPr>
        <w:tab/>
        <w:t>KONTRAINDIKACE</w:t>
      </w:r>
    </w:p>
    <w:p w:rsidR="003101BB" w:rsidRPr="00D210F8" w:rsidRDefault="003101BB">
      <w:pPr>
        <w:rPr>
          <w:b/>
          <w:bCs/>
        </w:rPr>
      </w:pPr>
    </w:p>
    <w:p w:rsidR="00BB0E04" w:rsidRPr="00D210F8" w:rsidRDefault="00BB0E04" w:rsidP="00BB0E04">
      <w:r>
        <w:rPr>
          <w:lang w:val="cs"/>
        </w:rPr>
        <w:t xml:space="preserve">Nepoužívat u dospělých býků a kanců určených k chovným účelům. </w:t>
      </w:r>
    </w:p>
    <w:p w:rsidR="00BB0E04" w:rsidRPr="00D210F8" w:rsidRDefault="00BB0E04" w:rsidP="00BB0E04"/>
    <w:p w:rsidR="00BB0E04" w:rsidRPr="00D210F8" w:rsidRDefault="006466B0" w:rsidP="00BB0E04">
      <w:r>
        <w:rPr>
          <w:lang w:val="cs"/>
        </w:rPr>
        <w:t xml:space="preserve">Nepoužívat </w:t>
      </w:r>
      <w:r w:rsidR="00BB0E04">
        <w:rPr>
          <w:lang w:val="cs"/>
        </w:rPr>
        <w:t>v případech přecitlivělosti na léčivou látku nebo na některou z pomocných látek.</w:t>
      </w:r>
    </w:p>
    <w:p w:rsidR="003101BB" w:rsidRPr="00D210F8" w:rsidRDefault="003101BB"/>
    <w:p w:rsidR="003101BB" w:rsidRPr="00D210F8" w:rsidRDefault="003101BB">
      <w:pPr>
        <w:tabs>
          <w:tab w:val="left" w:pos="567"/>
        </w:tabs>
        <w:rPr>
          <w:b/>
          <w:bCs/>
        </w:rPr>
      </w:pPr>
      <w:r>
        <w:rPr>
          <w:b/>
          <w:bCs/>
          <w:lang w:val="cs"/>
        </w:rPr>
        <w:t>6.</w:t>
      </w:r>
      <w:r>
        <w:rPr>
          <w:b/>
          <w:bCs/>
          <w:lang w:val="cs"/>
        </w:rPr>
        <w:tab/>
        <w:t>NEŽÁDOUCÍ ÚČINKY</w:t>
      </w:r>
    </w:p>
    <w:p w:rsidR="003101BB" w:rsidRPr="00D210F8" w:rsidRDefault="003101BB"/>
    <w:p w:rsidR="00BB0E04" w:rsidRPr="00927753" w:rsidRDefault="006466B0" w:rsidP="00BB0E04">
      <w:pPr>
        <w:rPr>
          <w:bCs/>
          <w:lang w:val="cs"/>
        </w:rPr>
      </w:pPr>
      <w:r w:rsidRPr="006466B0">
        <w:rPr>
          <w:lang w:val="cs"/>
        </w:rPr>
        <w:t xml:space="preserve">U skotu může během léčby dojít ke snížení příjmu krmiva a přechodnému zřídnutí </w:t>
      </w:r>
      <w:r w:rsidR="00D25175">
        <w:rPr>
          <w:lang w:val="cs"/>
        </w:rPr>
        <w:t>trusu</w:t>
      </w:r>
      <w:r w:rsidRPr="006466B0">
        <w:rPr>
          <w:lang w:val="cs"/>
        </w:rPr>
        <w:t>. U léčených zvířat dojde po ukončení léčby k rychlému a úplnému vymizení uvedených příznaků</w:t>
      </w:r>
      <w:r w:rsidR="00BB0E04">
        <w:rPr>
          <w:lang w:val="cs"/>
        </w:rPr>
        <w:t>.</w:t>
      </w:r>
    </w:p>
    <w:p w:rsidR="00BB0E04" w:rsidRPr="00927753" w:rsidRDefault="00BB0E04" w:rsidP="00BB0E04">
      <w:pPr>
        <w:rPr>
          <w:bCs/>
          <w:lang w:val="cs"/>
        </w:rPr>
      </w:pPr>
    </w:p>
    <w:p w:rsidR="00BB0E04" w:rsidRPr="00927753" w:rsidRDefault="006466B0" w:rsidP="00BB0E04">
      <w:pPr>
        <w:rPr>
          <w:bCs/>
          <w:iCs/>
          <w:lang w:val="cs"/>
        </w:rPr>
      </w:pPr>
      <w:r w:rsidRPr="006466B0">
        <w:rPr>
          <w:lang w:val="cs"/>
        </w:rPr>
        <w:t>Intramuskulární a subkutánní podání přípravku může způsobit zánětlivé léze v místě injekčního podání, které přetrvávají po dobu 14 dní</w:t>
      </w:r>
      <w:r w:rsidR="00BB0E04">
        <w:rPr>
          <w:lang w:val="cs"/>
        </w:rPr>
        <w:t xml:space="preserve">. </w:t>
      </w:r>
    </w:p>
    <w:p w:rsidR="00BB0E04" w:rsidRPr="00927753" w:rsidRDefault="00BB0E04" w:rsidP="00BB0E04">
      <w:pPr>
        <w:rPr>
          <w:bCs/>
          <w:iCs/>
          <w:lang w:val="cs"/>
        </w:rPr>
      </w:pPr>
    </w:p>
    <w:p w:rsidR="00BB0E04" w:rsidRPr="00927753" w:rsidRDefault="00BB0E04" w:rsidP="00BB0E04">
      <w:pPr>
        <w:rPr>
          <w:bCs/>
          <w:iCs/>
          <w:lang w:val="cs"/>
        </w:rPr>
      </w:pPr>
      <w:r>
        <w:rPr>
          <w:lang w:val="cs"/>
        </w:rPr>
        <w:t>Ve velmi vzácných případech byly u skotu hlášeny anafylaktické reakce.</w:t>
      </w:r>
    </w:p>
    <w:p w:rsidR="00BB0E04" w:rsidRPr="00927753" w:rsidRDefault="00BB0E04" w:rsidP="00BB0E04">
      <w:pPr>
        <w:rPr>
          <w:bCs/>
          <w:iCs/>
          <w:lang w:val="cs"/>
        </w:rPr>
      </w:pPr>
    </w:p>
    <w:p w:rsidR="00BB0E04" w:rsidRPr="00927753" w:rsidRDefault="00BC5EFE" w:rsidP="00BB0E04">
      <w:pPr>
        <w:rPr>
          <w:bCs/>
          <w:lang w:val="cs"/>
        </w:rPr>
      </w:pPr>
      <w:r w:rsidRPr="00BC5EFE">
        <w:rPr>
          <w:lang w:val="cs"/>
        </w:rPr>
        <w:t xml:space="preserve">Mezi často pozorované nežádoucí účinky u prasat patří přechodný průjem a/nebo </w:t>
      </w:r>
      <w:proofErr w:type="spellStart"/>
      <w:r w:rsidRPr="00BC5EFE">
        <w:rPr>
          <w:lang w:val="cs"/>
        </w:rPr>
        <w:t>perianální</w:t>
      </w:r>
      <w:proofErr w:type="spellEnd"/>
      <w:r w:rsidRPr="00BC5EFE">
        <w:rPr>
          <w:lang w:val="cs"/>
        </w:rPr>
        <w:t xml:space="preserve"> nebo rektální erytém/edém, které mohou postihnout 50 % zvířat. Tyto účinky je možno pozorovat po dobu jednoho týdne. V terénních podmínkách se u přibližně 30 % léčených prasat vyskytla pyrexie (40</w:t>
      </w:r>
      <w:r w:rsidR="00D25175">
        <w:rPr>
          <w:lang w:val="cs"/>
        </w:rPr>
        <w:t>º</w:t>
      </w:r>
      <w:r w:rsidRPr="00BC5EFE">
        <w:rPr>
          <w:lang w:val="cs"/>
        </w:rPr>
        <w:t>C) spojená buď s mírnou depresí, nebo středně těžkou dušností týden nebo více po podání druhé dávky</w:t>
      </w:r>
      <w:r w:rsidR="00BB0E04">
        <w:rPr>
          <w:lang w:val="cs"/>
        </w:rPr>
        <w:t>.</w:t>
      </w:r>
    </w:p>
    <w:p w:rsidR="00BB0E04" w:rsidRPr="00927753" w:rsidRDefault="00BB0E04" w:rsidP="00BB0E04">
      <w:pPr>
        <w:rPr>
          <w:bCs/>
          <w:lang w:val="cs"/>
        </w:rPr>
      </w:pPr>
    </w:p>
    <w:p w:rsidR="00BB0E04" w:rsidRPr="00927753" w:rsidRDefault="00E61ECF" w:rsidP="00BB0E04">
      <w:pPr>
        <w:rPr>
          <w:bCs/>
          <w:lang w:val="cs"/>
        </w:rPr>
      </w:pPr>
      <w:r w:rsidRPr="00E61ECF">
        <w:rPr>
          <w:lang w:val="cs"/>
        </w:rPr>
        <w:t>V místě injekčního podání je možno pozorovat přechodný otok přetrvávající až 5dní. V místě injekčního podání lze po dobu 28 dní pozorovat zánětlivé léze</w:t>
      </w:r>
      <w:r w:rsidR="00BB0E04">
        <w:rPr>
          <w:lang w:val="cs"/>
        </w:rPr>
        <w:t>.</w:t>
      </w:r>
    </w:p>
    <w:p w:rsidR="00890A03" w:rsidRPr="00927753" w:rsidRDefault="00890A03" w:rsidP="00890A03">
      <w:pPr>
        <w:rPr>
          <w:bCs/>
          <w:lang w:val="cs"/>
        </w:rPr>
      </w:pPr>
    </w:p>
    <w:p w:rsidR="00890A03" w:rsidRPr="00927753" w:rsidRDefault="00890A03" w:rsidP="00890A03">
      <w:pPr>
        <w:rPr>
          <w:bCs/>
          <w:lang w:val="cs"/>
        </w:rPr>
      </w:pPr>
      <w:r>
        <w:rPr>
          <w:lang w:val="cs"/>
        </w:rPr>
        <w:t>Četnost nežádoucích účinků je charakterizována podle následujících pravidel:</w:t>
      </w:r>
    </w:p>
    <w:p w:rsidR="00890A03" w:rsidRPr="00927753" w:rsidRDefault="00890A03" w:rsidP="00890A03">
      <w:pPr>
        <w:rPr>
          <w:bCs/>
          <w:lang w:val="cs"/>
        </w:rPr>
      </w:pPr>
      <w:r>
        <w:rPr>
          <w:lang w:val="cs"/>
        </w:rPr>
        <w:t>- velmi časté (nežádoucí účinky se projevily u více než 1 z 10 ošetřených zvířat),</w:t>
      </w:r>
    </w:p>
    <w:p w:rsidR="00890A03" w:rsidRPr="00927753" w:rsidRDefault="00890A03" w:rsidP="00890A03">
      <w:pPr>
        <w:rPr>
          <w:bCs/>
          <w:lang w:val="cs"/>
        </w:rPr>
      </w:pPr>
      <w:r>
        <w:rPr>
          <w:lang w:val="cs"/>
        </w:rPr>
        <w:t>- časté (u více než 1, ale méně než 10 ze 100 ošetřených zvířat),</w:t>
      </w:r>
    </w:p>
    <w:p w:rsidR="00890A03" w:rsidRPr="00927753" w:rsidRDefault="00890A03" w:rsidP="00890A03">
      <w:pPr>
        <w:rPr>
          <w:bCs/>
          <w:lang w:val="cs"/>
        </w:rPr>
      </w:pPr>
      <w:r>
        <w:rPr>
          <w:lang w:val="cs"/>
        </w:rPr>
        <w:t>- neobvyklé (u více než 1, ale méně než 10 z 1 000 ošetřených zvířat),</w:t>
      </w:r>
    </w:p>
    <w:p w:rsidR="00890A03" w:rsidRPr="00927753" w:rsidRDefault="00890A03" w:rsidP="00890A03">
      <w:pPr>
        <w:rPr>
          <w:bCs/>
          <w:lang w:val="cs"/>
        </w:rPr>
      </w:pPr>
      <w:r>
        <w:rPr>
          <w:lang w:val="cs"/>
        </w:rPr>
        <w:t>- vzácné (u více než 1, ale méně než 10 z 10 000 ošetřených zvířat),</w:t>
      </w:r>
    </w:p>
    <w:p w:rsidR="00890A03" w:rsidRPr="00927753" w:rsidRDefault="00890A03" w:rsidP="00BB0E04">
      <w:pPr>
        <w:rPr>
          <w:bCs/>
          <w:lang w:val="cs"/>
        </w:rPr>
      </w:pPr>
      <w:r>
        <w:rPr>
          <w:lang w:val="cs"/>
        </w:rPr>
        <w:t>- velmi vzácné (u méně než 1 z 10 000 ošetřených zvířat, včetně ojedinělých hlášení).</w:t>
      </w:r>
    </w:p>
    <w:p w:rsidR="00BB0E04" w:rsidRPr="00927753" w:rsidRDefault="00BB0E04" w:rsidP="00BB0E04">
      <w:pPr>
        <w:rPr>
          <w:lang w:val="cs"/>
        </w:rPr>
      </w:pPr>
    </w:p>
    <w:p w:rsidR="003101BB" w:rsidRDefault="00BB0E04" w:rsidP="00BB0E04">
      <w:pPr>
        <w:rPr>
          <w:lang w:val="cs"/>
        </w:rPr>
      </w:pPr>
      <w:r>
        <w:rPr>
          <w:lang w:val="cs"/>
        </w:rPr>
        <w:t>Jestliže zaznamenáte jakékoliv z nežádoucích účinků, a to i takové, které nejsou uvedeny v této příbalové informaci, nebo si myslíte, že léčivo nefunguje, oznamte to vašemu veterinárnímu lékaři.</w:t>
      </w:r>
    </w:p>
    <w:p w:rsidR="00186A86" w:rsidRPr="00186A86" w:rsidRDefault="00186A86" w:rsidP="00186A86">
      <w:pPr>
        <w:rPr>
          <w:lang w:val="cs"/>
        </w:rPr>
      </w:pPr>
      <w:r w:rsidRPr="00186A86">
        <w:rPr>
          <w:lang w:val="cs"/>
        </w:rPr>
        <w:t xml:space="preserve">Nežádoucí účinky můžete hlásit prostřednictvím formuláře na webových stránkách ÚSKVBL elektronicky, nebo také přímo na adresu: </w:t>
      </w:r>
    </w:p>
    <w:p w:rsidR="00186A86" w:rsidRPr="00186A86" w:rsidRDefault="00186A86" w:rsidP="00186A86">
      <w:pPr>
        <w:rPr>
          <w:lang w:val="cs"/>
        </w:rPr>
      </w:pPr>
      <w:r w:rsidRPr="00186A86">
        <w:rPr>
          <w:lang w:val="cs"/>
        </w:rPr>
        <w:t xml:space="preserve">Ústav pro státní kontrolu veterinárních biopreparátů a léčiv </w:t>
      </w:r>
    </w:p>
    <w:p w:rsidR="00186A86" w:rsidRPr="00186A86" w:rsidRDefault="00186A86" w:rsidP="00186A86">
      <w:pPr>
        <w:rPr>
          <w:lang w:val="cs"/>
        </w:rPr>
      </w:pPr>
      <w:r w:rsidRPr="00186A86">
        <w:rPr>
          <w:lang w:val="cs"/>
        </w:rPr>
        <w:t>Hudcova 56a</w:t>
      </w:r>
    </w:p>
    <w:p w:rsidR="00186A86" w:rsidRPr="00186A86" w:rsidRDefault="00186A86" w:rsidP="00186A86">
      <w:pPr>
        <w:rPr>
          <w:lang w:val="cs"/>
        </w:rPr>
      </w:pPr>
      <w:r w:rsidRPr="00186A86">
        <w:rPr>
          <w:lang w:val="cs"/>
        </w:rPr>
        <w:t xml:space="preserve">621 00 Brno </w:t>
      </w:r>
    </w:p>
    <w:p w:rsidR="00186A86" w:rsidRPr="00186A86" w:rsidRDefault="00186A86" w:rsidP="00186A86">
      <w:pPr>
        <w:rPr>
          <w:lang w:val="cs"/>
        </w:rPr>
      </w:pPr>
      <w:r w:rsidRPr="00186A86">
        <w:rPr>
          <w:lang w:val="cs"/>
        </w:rPr>
        <w:t>Mail: adr@uskvbl.cz</w:t>
      </w:r>
    </w:p>
    <w:p w:rsidR="00186A86" w:rsidRDefault="00186A86" w:rsidP="00186A86">
      <w:pPr>
        <w:rPr>
          <w:lang w:val="cs"/>
        </w:rPr>
      </w:pPr>
      <w:r w:rsidRPr="00186A86">
        <w:rPr>
          <w:lang w:val="cs"/>
        </w:rPr>
        <w:t>Webové stránky: http://www.uskvbl.cz/cs/farmakovigilance</w:t>
      </w:r>
    </w:p>
    <w:p w:rsidR="00186A86" w:rsidRPr="00927753" w:rsidRDefault="00186A86" w:rsidP="00BB0E04">
      <w:pPr>
        <w:rPr>
          <w:lang w:val="cs"/>
        </w:rPr>
      </w:pPr>
    </w:p>
    <w:p w:rsidR="003101BB" w:rsidRPr="00927753" w:rsidRDefault="003101BB">
      <w:pPr>
        <w:rPr>
          <w:lang w:val="cs"/>
        </w:rPr>
      </w:pPr>
    </w:p>
    <w:p w:rsidR="003101BB" w:rsidRPr="00882008" w:rsidRDefault="003101BB">
      <w:pPr>
        <w:tabs>
          <w:tab w:val="left" w:pos="567"/>
        </w:tabs>
        <w:rPr>
          <w:b/>
          <w:bCs/>
          <w:lang w:val="cs"/>
        </w:rPr>
      </w:pPr>
      <w:r>
        <w:rPr>
          <w:b/>
          <w:bCs/>
          <w:lang w:val="cs"/>
        </w:rPr>
        <w:t>7.</w:t>
      </w:r>
      <w:r>
        <w:rPr>
          <w:b/>
          <w:bCs/>
          <w:lang w:val="cs"/>
        </w:rPr>
        <w:tab/>
        <w:t xml:space="preserve">CÍLOVÉ DRUHY ZVÍŘAT </w:t>
      </w:r>
    </w:p>
    <w:p w:rsidR="003101BB" w:rsidRPr="00882008" w:rsidRDefault="003101BB">
      <w:pPr>
        <w:tabs>
          <w:tab w:val="left" w:pos="0"/>
        </w:tabs>
        <w:rPr>
          <w:lang w:val="cs"/>
        </w:rPr>
      </w:pPr>
    </w:p>
    <w:p w:rsidR="003101BB" w:rsidRPr="00882008" w:rsidRDefault="00BB0E04">
      <w:pPr>
        <w:tabs>
          <w:tab w:val="left" w:pos="0"/>
        </w:tabs>
        <w:rPr>
          <w:lang w:val="cs"/>
        </w:rPr>
      </w:pPr>
      <w:r>
        <w:rPr>
          <w:lang w:val="cs"/>
        </w:rPr>
        <w:t>Skot a prasata</w:t>
      </w:r>
    </w:p>
    <w:p w:rsidR="003101BB" w:rsidRPr="00882008" w:rsidRDefault="003101BB">
      <w:pPr>
        <w:tabs>
          <w:tab w:val="left" w:pos="0"/>
        </w:tabs>
        <w:rPr>
          <w:lang w:val="cs"/>
        </w:rPr>
      </w:pPr>
    </w:p>
    <w:p w:rsidR="003101BB" w:rsidRPr="00882008" w:rsidRDefault="003101BB">
      <w:pPr>
        <w:tabs>
          <w:tab w:val="left" w:pos="567"/>
        </w:tabs>
        <w:rPr>
          <w:b/>
          <w:bCs/>
          <w:lang w:val="cs"/>
        </w:rPr>
      </w:pPr>
      <w:r>
        <w:rPr>
          <w:b/>
          <w:bCs/>
          <w:lang w:val="cs"/>
        </w:rPr>
        <w:t>8.</w:t>
      </w:r>
      <w:r>
        <w:rPr>
          <w:b/>
          <w:bCs/>
          <w:lang w:val="cs"/>
        </w:rPr>
        <w:tab/>
        <w:t xml:space="preserve">DÁVKOVÁNÍ PRO KAŽDÝ DRUH, CESTA A ZPŮSOB PODÁNÍ </w:t>
      </w:r>
    </w:p>
    <w:p w:rsidR="003101BB" w:rsidRPr="00927753" w:rsidRDefault="003101BB">
      <w:pPr>
        <w:tabs>
          <w:tab w:val="left" w:pos="567"/>
        </w:tabs>
        <w:rPr>
          <w:b/>
          <w:bCs/>
          <w:lang w:val="cs"/>
        </w:rPr>
      </w:pPr>
      <w:r>
        <w:rPr>
          <w:lang w:val="cs"/>
        </w:rPr>
        <w:tab/>
      </w:r>
      <w:r>
        <w:rPr>
          <w:b/>
          <w:bCs/>
          <w:lang w:val="cs"/>
        </w:rPr>
        <w:t>PODÁNÍ</w:t>
      </w:r>
    </w:p>
    <w:p w:rsidR="003101BB" w:rsidRPr="00927753" w:rsidRDefault="003101BB">
      <w:pPr>
        <w:rPr>
          <w:b/>
          <w:bCs/>
          <w:lang w:val="cs"/>
        </w:rPr>
      </w:pPr>
    </w:p>
    <w:p w:rsidR="006B4F2F" w:rsidRPr="00927753" w:rsidRDefault="006B4F2F" w:rsidP="006B4F2F">
      <w:pPr>
        <w:rPr>
          <w:bCs/>
          <w:lang w:val="cs"/>
        </w:rPr>
      </w:pPr>
      <w:r>
        <w:rPr>
          <w:lang w:val="cs"/>
        </w:rPr>
        <w:t xml:space="preserve">Skot: Intramuskulární nebo subkutánní </w:t>
      </w:r>
      <w:r w:rsidR="009B760D">
        <w:rPr>
          <w:lang w:val="cs"/>
        </w:rPr>
        <w:t>podání</w:t>
      </w:r>
    </w:p>
    <w:p w:rsidR="006B4F2F" w:rsidRPr="00927753" w:rsidRDefault="006B4F2F" w:rsidP="006B4F2F">
      <w:pPr>
        <w:rPr>
          <w:bCs/>
          <w:lang w:val="cs"/>
        </w:rPr>
      </w:pPr>
      <w:r>
        <w:rPr>
          <w:lang w:val="cs"/>
        </w:rPr>
        <w:t xml:space="preserve">Prasata: Intramuskulární </w:t>
      </w:r>
      <w:r w:rsidR="009B760D">
        <w:rPr>
          <w:lang w:val="cs"/>
        </w:rPr>
        <w:t>podání</w:t>
      </w:r>
    </w:p>
    <w:p w:rsidR="006B4F2F" w:rsidRPr="00927753" w:rsidRDefault="006B4F2F" w:rsidP="006B4F2F">
      <w:pPr>
        <w:rPr>
          <w:b/>
          <w:bCs/>
          <w:lang w:val="cs"/>
        </w:rPr>
      </w:pPr>
    </w:p>
    <w:p w:rsidR="006B4F2F" w:rsidRPr="00927753" w:rsidRDefault="006B4F2F" w:rsidP="006B4F2F">
      <w:pPr>
        <w:rPr>
          <w:b/>
          <w:bCs/>
          <w:lang w:val="cs"/>
        </w:rPr>
      </w:pPr>
      <w:r>
        <w:rPr>
          <w:b/>
          <w:bCs/>
          <w:lang w:val="cs"/>
        </w:rPr>
        <w:t xml:space="preserve">Skot: </w:t>
      </w:r>
    </w:p>
    <w:p w:rsidR="006B4F2F" w:rsidRPr="00927753" w:rsidRDefault="009B760D" w:rsidP="006B4F2F">
      <w:pPr>
        <w:rPr>
          <w:bCs/>
          <w:u w:val="single"/>
          <w:lang w:val="cs"/>
        </w:rPr>
      </w:pPr>
      <w:r>
        <w:rPr>
          <w:u w:val="single"/>
          <w:lang w:val="cs"/>
        </w:rPr>
        <w:t>Léčba</w:t>
      </w:r>
    </w:p>
    <w:p w:rsidR="006B4F2F" w:rsidRPr="00927753" w:rsidRDefault="006B4F2F" w:rsidP="006B4F2F">
      <w:pPr>
        <w:rPr>
          <w:bCs/>
          <w:lang w:val="cs"/>
        </w:rPr>
      </w:pPr>
      <w:r>
        <w:rPr>
          <w:lang w:val="cs"/>
        </w:rPr>
        <w:t xml:space="preserve">Intramuskulární </w:t>
      </w:r>
      <w:r w:rsidR="009B760D">
        <w:rPr>
          <w:lang w:val="cs"/>
        </w:rPr>
        <w:t>podání</w:t>
      </w:r>
      <w:r>
        <w:rPr>
          <w:lang w:val="cs"/>
        </w:rPr>
        <w:t xml:space="preserve">: </w:t>
      </w:r>
      <w:r w:rsidR="003B517B" w:rsidRPr="003B517B">
        <w:rPr>
          <w:lang w:val="cs"/>
        </w:rPr>
        <w:t xml:space="preserve">20 mg </w:t>
      </w:r>
      <w:proofErr w:type="spellStart"/>
      <w:r w:rsidR="003B517B" w:rsidRPr="003B517B">
        <w:rPr>
          <w:lang w:val="cs"/>
        </w:rPr>
        <w:t>florfenikolu</w:t>
      </w:r>
      <w:proofErr w:type="spellEnd"/>
      <w:r w:rsidR="003B517B" w:rsidRPr="003B517B">
        <w:rPr>
          <w:lang w:val="cs"/>
        </w:rPr>
        <w:t xml:space="preserve"> / kg živé hmotnosti (odpovídá 1 ml přípravku / 15 kg živé hmotnosti) podaných dvakrát v intervalu 48 hodin injekční jehlou 16 G</w:t>
      </w:r>
      <w:r>
        <w:rPr>
          <w:lang w:val="cs"/>
        </w:rPr>
        <w:t xml:space="preserve">.  </w:t>
      </w:r>
    </w:p>
    <w:p w:rsidR="006B4F2F" w:rsidRPr="00927753" w:rsidRDefault="006B4F2F" w:rsidP="006B4F2F">
      <w:pPr>
        <w:rPr>
          <w:bCs/>
          <w:lang w:val="cs"/>
        </w:rPr>
      </w:pPr>
      <w:r>
        <w:rPr>
          <w:lang w:val="cs"/>
        </w:rPr>
        <w:t xml:space="preserve">Subkutánní </w:t>
      </w:r>
      <w:r w:rsidR="009B760D">
        <w:rPr>
          <w:lang w:val="cs"/>
        </w:rPr>
        <w:t>podání</w:t>
      </w:r>
      <w:r>
        <w:rPr>
          <w:lang w:val="cs"/>
        </w:rPr>
        <w:t xml:space="preserve">: </w:t>
      </w:r>
      <w:r w:rsidR="003B517B" w:rsidRPr="003B517B">
        <w:rPr>
          <w:lang w:val="cs"/>
        </w:rPr>
        <w:t xml:space="preserve">40 mg </w:t>
      </w:r>
      <w:proofErr w:type="spellStart"/>
      <w:r w:rsidR="003B517B" w:rsidRPr="003B517B">
        <w:rPr>
          <w:lang w:val="cs"/>
        </w:rPr>
        <w:t>florfenikolu</w:t>
      </w:r>
      <w:proofErr w:type="spellEnd"/>
      <w:r w:rsidR="003B517B" w:rsidRPr="003B517B">
        <w:rPr>
          <w:lang w:val="cs"/>
        </w:rPr>
        <w:t xml:space="preserve"> / kg živé hmotnosti (odpovídá 2 ml přípravku / 15 kg živé hmotnosti) podaných jednou injekční jehlou 16 </w:t>
      </w:r>
      <w:r>
        <w:rPr>
          <w:lang w:val="cs"/>
        </w:rPr>
        <w:t xml:space="preserve">G. </w:t>
      </w:r>
    </w:p>
    <w:p w:rsidR="006B4F2F" w:rsidRPr="00927753" w:rsidRDefault="006B4F2F" w:rsidP="006B4F2F">
      <w:pPr>
        <w:rPr>
          <w:bCs/>
          <w:lang w:val="cs"/>
        </w:rPr>
      </w:pPr>
    </w:p>
    <w:p w:rsidR="006B4F2F" w:rsidRPr="00927753" w:rsidRDefault="00890A03" w:rsidP="006B4F2F">
      <w:pPr>
        <w:rPr>
          <w:bCs/>
          <w:u w:val="single"/>
          <w:lang w:val="cs"/>
        </w:rPr>
      </w:pPr>
      <w:proofErr w:type="spellStart"/>
      <w:r>
        <w:rPr>
          <w:u w:val="single"/>
          <w:lang w:val="cs"/>
        </w:rPr>
        <w:t>Metafylaxe</w:t>
      </w:r>
      <w:proofErr w:type="spellEnd"/>
    </w:p>
    <w:p w:rsidR="003B07D6" w:rsidRPr="00927753" w:rsidRDefault="006B4F2F" w:rsidP="006B4F2F">
      <w:pPr>
        <w:rPr>
          <w:bCs/>
          <w:lang w:val="cs"/>
        </w:rPr>
      </w:pPr>
      <w:r>
        <w:rPr>
          <w:lang w:val="cs"/>
        </w:rPr>
        <w:t xml:space="preserve">Subkutánní </w:t>
      </w:r>
      <w:r w:rsidR="009B760D">
        <w:rPr>
          <w:lang w:val="cs"/>
        </w:rPr>
        <w:t>podání</w:t>
      </w:r>
      <w:r>
        <w:rPr>
          <w:lang w:val="cs"/>
        </w:rPr>
        <w:t xml:space="preserve">: </w:t>
      </w:r>
      <w:r w:rsidR="001A2AF7" w:rsidRPr="001A2AF7">
        <w:rPr>
          <w:lang w:val="cs"/>
        </w:rPr>
        <w:t xml:space="preserve">40 mg </w:t>
      </w:r>
      <w:proofErr w:type="spellStart"/>
      <w:r w:rsidR="001A2AF7" w:rsidRPr="001A2AF7">
        <w:rPr>
          <w:lang w:val="cs"/>
        </w:rPr>
        <w:t>florfenikolu</w:t>
      </w:r>
      <w:proofErr w:type="spellEnd"/>
      <w:r w:rsidR="001A2AF7" w:rsidRPr="001A2AF7">
        <w:rPr>
          <w:lang w:val="cs"/>
        </w:rPr>
        <w:t xml:space="preserve"> / kg živé hmotnosti (odpovídá 2 ml přípravku / 15 kg živé hmotnosti) podaných jednou injekční jehlou 16 G</w:t>
      </w:r>
      <w:r>
        <w:rPr>
          <w:lang w:val="cs"/>
        </w:rPr>
        <w:t>.</w:t>
      </w:r>
    </w:p>
    <w:p w:rsidR="006B4F2F" w:rsidRPr="00927753" w:rsidRDefault="006B4F2F" w:rsidP="006B4F2F">
      <w:pPr>
        <w:rPr>
          <w:bCs/>
          <w:lang w:val="cs"/>
        </w:rPr>
      </w:pPr>
    </w:p>
    <w:p w:rsidR="006B4F2F" w:rsidRPr="00927753" w:rsidRDefault="006B4F2F" w:rsidP="006B4F2F">
      <w:pPr>
        <w:rPr>
          <w:b/>
          <w:bCs/>
          <w:lang w:val="cs"/>
        </w:rPr>
      </w:pPr>
      <w:r>
        <w:rPr>
          <w:b/>
          <w:bCs/>
          <w:lang w:val="cs"/>
        </w:rPr>
        <w:t>Prasata:</w:t>
      </w:r>
    </w:p>
    <w:p w:rsidR="006B4F2F" w:rsidRPr="00927753" w:rsidRDefault="000D3AE1" w:rsidP="006B4F2F">
      <w:pPr>
        <w:rPr>
          <w:lang w:val="cs"/>
        </w:rPr>
      </w:pPr>
      <w:r w:rsidRPr="000D3AE1">
        <w:rPr>
          <w:lang w:val="cs"/>
        </w:rPr>
        <w:t>15 mg florfenikolu / kg živé hmotnosti (odpovídá 1 ml přípravku / 20 kg živé hmotnosti) podaných intramuskulárně dvakrát v intervalu 48 hodin injekční jehlou 16 G</w:t>
      </w:r>
      <w:r w:rsidR="006B4F2F">
        <w:rPr>
          <w:lang w:val="cs"/>
        </w:rPr>
        <w:t>.</w:t>
      </w:r>
    </w:p>
    <w:p w:rsidR="003101BB" w:rsidRPr="00927753" w:rsidRDefault="003101BB">
      <w:pPr>
        <w:rPr>
          <w:lang w:val="cs"/>
        </w:rPr>
      </w:pPr>
    </w:p>
    <w:p w:rsidR="003101BB" w:rsidRPr="00927753" w:rsidRDefault="003101BB">
      <w:pPr>
        <w:tabs>
          <w:tab w:val="left" w:pos="567"/>
        </w:tabs>
        <w:rPr>
          <w:b/>
          <w:bCs/>
          <w:lang w:val="cs"/>
        </w:rPr>
      </w:pPr>
      <w:r>
        <w:rPr>
          <w:b/>
          <w:bCs/>
          <w:lang w:val="cs"/>
        </w:rPr>
        <w:t>9.</w:t>
      </w:r>
      <w:r>
        <w:rPr>
          <w:b/>
          <w:bCs/>
          <w:lang w:val="cs"/>
        </w:rPr>
        <w:tab/>
        <w:t>POKYNY PRO SPRÁVNÉ PODÁNÍ</w:t>
      </w:r>
    </w:p>
    <w:p w:rsidR="003101BB" w:rsidRPr="00927753" w:rsidRDefault="003101BB">
      <w:pPr>
        <w:rPr>
          <w:lang w:val="cs"/>
        </w:rPr>
      </w:pPr>
    </w:p>
    <w:p w:rsidR="006B4F2F" w:rsidRPr="00927753" w:rsidRDefault="006B4F2F" w:rsidP="006B4F2F">
      <w:pPr>
        <w:rPr>
          <w:bCs/>
          <w:lang w:val="cs"/>
        </w:rPr>
      </w:pPr>
      <w:r>
        <w:rPr>
          <w:lang w:val="cs"/>
        </w:rPr>
        <w:lastRenderedPageBreak/>
        <w:t xml:space="preserve">Objem dávky podaný </w:t>
      </w:r>
      <w:r w:rsidR="004D1639">
        <w:rPr>
          <w:lang w:val="cs"/>
        </w:rPr>
        <w:t>do jednoho místa</w:t>
      </w:r>
      <w:r>
        <w:rPr>
          <w:lang w:val="cs"/>
        </w:rPr>
        <w:t xml:space="preserve"> vpichu nesmí překročit 10 ml u obou cest podání (intramuskulární a subkutánní) u skotu a 3 ml u prasat. </w:t>
      </w:r>
      <w:r w:rsidR="004D1639">
        <w:rPr>
          <w:lang w:val="cs"/>
        </w:rPr>
        <w:t>Injekční podání provádějte</w:t>
      </w:r>
      <w:r>
        <w:rPr>
          <w:lang w:val="cs"/>
        </w:rPr>
        <w:t xml:space="preserve"> pouze do oblasti krku u obou cílových druhů. </w:t>
      </w:r>
    </w:p>
    <w:p w:rsidR="006B4F2F" w:rsidRPr="00927753" w:rsidRDefault="004D1639" w:rsidP="006B4F2F">
      <w:pPr>
        <w:rPr>
          <w:bCs/>
          <w:lang w:val="cs"/>
        </w:rPr>
      </w:pPr>
      <w:r w:rsidRPr="004D1639">
        <w:rPr>
          <w:lang w:val="cs"/>
        </w:rPr>
        <w:t>V zájmu zajištění správného dávkování je nutno co nejpřesněji určit živou hmotnost zvířat</w:t>
      </w:r>
      <w:bookmarkStart w:id="0" w:name="_GoBack"/>
      <w:bookmarkEnd w:id="0"/>
      <w:r w:rsidRPr="004D1639">
        <w:rPr>
          <w:lang w:val="cs"/>
        </w:rPr>
        <w:t>, aby nedošlo k poddávkování</w:t>
      </w:r>
      <w:r w:rsidR="006B4F2F">
        <w:rPr>
          <w:lang w:val="cs"/>
        </w:rPr>
        <w:t>.</w:t>
      </w:r>
    </w:p>
    <w:p w:rsidR="006B4F2F" w:rsidRPr="00927753" w:rsidRDefault="004E1646" w:rsidP="006B4F2F">
      <w:pPr>
        <w:rPr>
          <w:lang w:val="cs"/>
        </w:rPr>
      </w:pPr>
      <w:r w:rsidRPr="004E1646">
        <w:rPr>
          <w:lang w:val="cs"/>
        </w:rPr>
        <w:t>Doporučuje se léčit zvířata v raných stadiích onemocnění a vyhodnotit odezvu na léčbu do 48 hodin po druhém injekčním podání. Pokud klinické příznaky respiračního onemocnění přetrvávají 48 hodin po posledním injekčním podání nebo dojde k relapsu, je nutno změnit léčbu a použít jiný přípravek nebo jiné antibiotikum a pokračovat až do vymizení klinických příznaků</w:t>
      </w:r>
      <w:r w:rsidR="006B4F2F">
        <w:rPr>
          <w:lang w:val="cs"/>
        </w:rPr>
        <w:t>.</w:t>
      </w:r>
    </w:p>
    <w:p w:rsidR="006B4F2F" w:rsidRPr="00927753" w:rsidRDefault="006B4F2F" w:rsidP="006B4F2F">
      <w:pPr>
        <w:rPr>
          <w:bCs/>
          <w:lang w:val="cs"/>
        </w:rPr>
      </w:pPr>
      <w:r>
        <w:rPr>
          <w:lang w:val="cs"/>
        </w:rPr>
        <w:t xml:space="preserve">Před </w:t>
      </w:r>
      <w:r w:rsidR="00232D03">
        <w:rPr>
          <w:lang w:val="cs"/>
        </w:rPr>
        <w:t xml:space="preserve">odebráním </w:t>
      </w:r>
      <w:r>
        <w:rPr>
          <w:lang w:val="cs"/>
        </w:rPr>
        <w:t xml:space="preserve">každé dávky otřete </w:t>
      </w:r>
      <w:r w:rsidR="00232D03">
        <w:rPr>
          <w:lang w:val="cs"/>
        </w:rPr>
        <w:t>zátku</w:t>
      </w:r>
      <w:r>
        <w:rPr>
          <w:lang w:val="cs"/>
        </w:rPr>
        <w:t>. Použijte suchou sterilní jehlu a stříkačku.</w:t>
      </w:r>
    </w:p>
    <w:p w:rsidR="003101BB" w:rsidRPr="00927753" w:rsidRDefault="00DD2D38" w:rsidP="006B4F2F">
      <w:pPr>
        <w:rPr>
          <w:lang w:val="cs"/>
        </w:rPr>
      </w:pPr>
      <w:r>
        <w:rPr>
          <w:lang w:val="cs"/>
        </w:rPr>
        <w:t xml:space="preserve">Nepropichujte </w:t>
      </w:r>
      <w:r w:rsidR="006B4F2F">
        <w:rPr>
          <w:lang w:val="cs"/>
        </w:rPr>
        <w:t>zátku lahvičky více než 25krát.</w:t>
      </w:r>
    </w:p>
    <w:p w:rsidR="003101BB" w:rsidRPr="00927753" w:rsidRDefault="003101BB">
      <w:pPr>
        <w:rPr>
          <w:b/>
          <w:bCs/>
          <w:lang w:val="cs"/>
        </w:rPr>
      </w:pPr>
    </w:p>
    <w:p w:rsidR="003101BB" w:rsidRPr="00882008" w:rsidRDefault="003101BB">
      <w:pPr>
        <w:tabs>
          <w:tab w:val="left" w:pos="567"/>
        </w:tabs>
        <w:rPr>
          <w:b/>
          <w:bCs/>
          <w:lang w:val="cs"/>
        </w:rPr>
      </w:pPr>
      <w:r>
        <w:rPr>
          <w:b/>
          <w:bCs/>
          <w:lang w:val="cs"/>
        </w:rPr>
        <w:t>10</w:t>
      </w:r>
      <w:r>
        <w:rPr>
          <w:b/>
          <w:bCs/>
          <w:lang w:val="cs"/>
        </w:rPr>
        <w:tab/>
        <w:t>OCHRANN</w:t>
      </w:r>
      <w:r w:rsidR="00C2458B">
        <w:rPr>
          <w:b/>
          <w:bCs/>
          <w:lang w:val="cs"/>
        </w:rPr>
        <w:t>Á(</w:t>
      </w:r>
      <w:r>
        <w:rPr>
          <w:b/>
          <w:bCs/>
          <w:lang w:val="cs"/>
        </w:rPr>
        <w:t>É</w:t>
      </w:r>
      <w:r w:rsidR="00C2458B">
        <w:rPr>
          <w:b/>
          <w:bCs/>
          <w:lang w:val="cs"/>
        </w:rPr>
        <w:t>)</w:t>
      </w:r>
      <w:r>
        <w:rPr>
          <w:b/>
          <w:bCs/>
          <w:lang w:val="cs"/>
        </w:rPr>
        <w:t xml:space="preserve"> </w:t>
      </w:r>
      <w:proofErr w:type="gramStart"/>
      <w:r>
        <w:rPr>
          <w:b/>
          <w:bCs/>
          <w:lang w:val="cs"/>
        </w:rPr>
        <w:t>LHŮT</w:t>
      </w:r>
      <w:r w:rsidR="00C2458B">
        <w:rPr>
          <w:b/>
          <w:bCs/>
          <w:lang w:val="cs"/>
        </w:rPr>
        <w:t>A(</w:t>
      </w:r>
      <w:r>
        <w:rPr>
          <w:b/>
          <w:bCs/>
          <w:lang w:val="cs"/>
        </w:rPr>
        <w:t>Y</w:t>
      </w:r>
      <w:r w:rsidR="00C2458B">
        <w:rPr>
          <w:b/>
          <w:bCs/>
          <w:lang w:val="cs"/>
        </w:rPr>
        <w:t>)</w:t>
      </w:r>
      <w:proofErr w:type="gramEnd"/>
    </w:p>
    <w:p w:rsidR="003101BB" w:rsidRPr="00882008" w:rsidRDefault="003101BB">
      <w:pPr>
        <w:rPr>
          <w:b/>
          <w:bCs/>
          <w:lang w:val="cs"/>
        </w:rPr>
      </w:pPr>
    </w:p>
    <w:p w:rsidR="006B4F2F" w:rsidRPr="00882008" w:rsidRDefault="006B4F2F" w:rsidP="006B4F2F">
      <w:pPr>
        <w:rPr>
          <w:b/>
          <w:lang w:val="cs"/>
        </w:rPr>
      </w:pPr>
      <w:r>
        <w:rPr>
          <w:b/>
          <w:bCs/>
          <w:lang w:val="cs"/>
        </w:rPr>
        <w:t>Skot:</w:t>
      </w:r>
    </w:p>
    <w:p w:rsidR="006B4F2F" w:rsidRPr="00927753" w:rsidRDefault="006B4F2F" w:rsidP="006B4F2F">
      <w:pPr>
        <w:rPr>
          <w:lang w:val="cs"/>
        </w:rPr>
      </w:pPr>
      <w:r>
        <w:rPr>
          <w:lang w:val="cs"/>
        </w:rPr>
        <w:t xml:space="preserve">Maso:  </w:t>
      </w:r>
      <w:r w:rsidR="00927753">
        <w:rPr>
          <w:lang w:val="cs"/>
        </w:rPr>
        <w:tab/>
      </w:r>
      <w:r>
        <w:rPr>
          <w:lang w:val="cs"/>
        </w:rPr>
        <w:tab/>
        <w:t>intramuskulárně: 30 dní</w:t>
      </w:r>
    </w:p>
    <w:p w:rsidR="00C2458B" w:rsidRDefault="006B4F2F" w:rsidP="007E078E">
      <w:pPr>
        <w:rPr>
          <w:lang w:val="cs"/>
        </w:rPr>
      </w:pPr>
      <w:r>
        <w:rPr>
          <w:lang w:val="cs"/>
        </w:rPr>
        <w:tab/>
      </w:r>
      <w:r>
        <w:rPr>
          <w:lang w:val="cs"/>
        </w:rPr>
        <w:tab/>
        <w:t>subkutánně: 44 dní</w:t>
      </w:r>
    </w:p>
    <w:p w:rsidR="00C2458B" w:rsidRPr="00B20EBC" w:rsidRDefault="006B4F2F" w:rsidP="007E078E">
      <w:pPr>
        <w:rPr>
          <w:lang w:val="cs"/>
        </w:rPr>
      </w:pPr>
      <w:r>
        <w:rPr>
          <w:lang w:val="cs"/>
        </w:rPr>
        <w:t xml:space="preserve">Mléko: </w:t>
      </w:r>
      <w:r w:rsidR="00C2458B">
        <w:rPr>
          <w:lang w:val="cs"/>
        </w:rPr>
        <w:t xml:space="preserve">Nepoužívat u skotu, jehož mléko je určeno pro lidskou spotřebu, a to i  v období </w:t>
      </w:r>
      <w:proofErr w:type="spellStart"/>
      <w:r w:rsidR="00C2458B">
        <w:rPr>
          <w:lang w:val="cs"/>
        </w:rPr>
        <w:t>zaprahlosti</w:t>
      </w:r>
      <w:proofErr w:type="spellEnd"/>
      <w:r w:rsidR="00C2458B">
        <w:rPr>
          <w:lang w:val="cs"/>
        </w:rPr>
        <w:t>.</w:t>
      </w:r>
    </w:p>
    <w:p w:rsidR="006B4F2F" w:rsidRPr="00927753" w:rsidRDefault="006B4F2F" w:rsidP="006B4F2F">
      <w:pPr>
        <w:rPr>
          <w:lang w:val="cs"/>
        </w:rPr>
      </w:pPr>
    </w:p>
    <w:p w:rsidR="006B4F2F" w:rsidRPr="00927753" w:rsidRDefault="006B4F2F" w:rsidP="006B4F2F">
      <w:pPr>
        <w:rPr>
          <w:lang w:val="cs"/>
        </w:rPr>
      </w:pPr>
    </w:p>
    <w:p w:rsidR="006B4F2F" w:rsidRPr="00927753" w:rsidRDefault="006B4F2F" w:rsidP="006B4F2F">
      <w:pPr>
        <w:rPr>
          <w:b/>
          <w:lang w:val="cs"/>
        </w:rPr>
      </w:pPr>
      <w:r>
        <w:rPr>
          <w:b/>
          <w:bCs/>
          <w:lang w:val="cs"/>
        </w:rPr>
        <w:t xml:space="preserve">Prasata: </w:t>
      </w:r>
    </w:p>
    <w:p w:rsidR="00A07909" w:rsidRPr="00927753" w:rsidRDefault="006B4F2F" w:rsidP="006B4F2F">
      <w:pPr>
        <w:rPr>
          <w:lang w:val="cs"/>
        </w:rPr>
      </w:pPr>
      <w:r>
        <w:rPr>
          <w:lang w:val="cs"/>
        </w:rPr>
        <w:t>Maso:</w:t>
      </w:r>
      <w:r>
        <w:rPr>
          <w:lang w:val="cs"/>
        </w:rPr>
        <w:tab/>
        <w:t>18 dní</w:t>
      </w:r>
    </w:p>
    <w:p w:rsidR="00A07909" w:rsidRPr="00927753" w:rsidRDefault="00A07909" w:rsidP="00A07909">
      <w:pPr>
        <w:rPr>
          <w:lang w:val="cs"/>
        </w:rPr>
      </w:pPr>
    </w:p>
    <w:p w:rsidR="003101BB" w:rsidRPr="00927753" w:rsidRDefault="003101BB">
      <w:pPr>
        <w:tabs>
          <w:tab w:val="left" w:pos="567"/>
        </w:tabs>
        <w:rPr>
          <w:b/>
          <w:bCs/>
          <w:lang w:val="cs"/>
        </w:rPr>
      </w:pPr>
      <w:r>
        <w:rPr>
          <w:b/>
          <w:bCs/>
          <w:lang w:val="cs"/>
        </w:rPr>
        <w:t>11.</w:t>
      </w:r>
      <w:r>
        <w:rPr>
          <w:b/>
          <w:bCs/>
          <w:lang w:val="cs"/>
        </w:rPr>
        <w:tab/>
        <w:t>ZVLÁŠTNÍ OPATŘENÍ PRO UCHOVÁVÁNÍ</w:t>
      </w:r>
    </w:p>
    <w:p w:rsidR="003101BB" w:rsidRPr="00927753" w:rsidRDefault="003101BB">
      <w:pPr>
        <w:rPr>
          <w:noProof/>
          <w:lang w:val="cs"/>
        </w:rPr>
      </w:pPr>
    </w:p>
    <w:p w:rsidR="00241607" w:rsidRDefault="00DD2D38" w:rsidP="006B4F2F">
      <w:r>
        <w:rPr>
          <w:lang w:val="cs"/>
        </w:rPr>
        <w:t xml:space="preserve">Uchovávejte </w:t>
      </w:r>
      <w:r w:rsidR="009C5DF0">
        <w:rPr>
          <w:lang w:val="cs"/>
        </w:rPr>
        <w:t>při teplotě do 25 °C.</w:t>
      </w:r>
    </w:p>
    <w:p w:rsidR="006B4F2F" w:rsidRPr="00CE2616" w:rsidRDefault="001352A5" w:rsidP="006B4F2F">
      <w:r>
        <w:rPr>
          <w:lang w:val="cs"/>
        </w:rPr>
        <w:t xml:space="preserve">Uchovávat </w:t>
      </w:r>
      <w:r w:rsidR="006B4F2F">
        <w:rPr>
          <w:lang w:val="cs"/>
        </w:rPr>
        <w:t>mimo dohled a dosah dětí.</w:t>
      </w:r>
    </w:p>
    <w:p w:rsidR="006B4F2F" w:rsidRPr="00CE2616" w:rsidRDefault="006B4F2F" w:rsidP="006B4F2F"/>
    <w:p w:rsidR="006B4F2F" w:rsidRPr="00927753" w:rsidRDefault="006B4F2F" w:rsidP="006B4F2F">
      <w:pPr>
        <w:rPr>
          <w:lang w:val="cs"/>
        </w:rPr>
      </w:pPr>
      <w:r>
        <w:rPr>
          <w:lang w:val="cs"/>
        </w:rPr>
        <w:t>Uchovávejte lahvičku ve vnějším papírovém obalu, aby byla chráněna před světlem. Nepoužívejte tento veterinární léčivý přípravek po uplynutí doby použitelnosti uvedené na etiketě za „EXP“. Doba použitelnosti končí posledním dnem v uvedeném měsíci.</w:t>
      </w:r>
    </w:p>
    <w:p w:rsidR="008E6BB3" w:rsidRPr="00927753" w:rsidRDefault="008E6BB3" w:rsidP="006B4F2F">
      <w:pPr>
        <w:rPr>
          <w:lang w:val="cs"/>
        </w:rPr>
      </w:pPr>
    </w:p>
    <w:p w:rsidR="003101BB" w:rsidRPr="00927753" w:rsidRDefault="006B4F2F" w:rsidP="006B4F2F">
      <w:pPr>
        <w:rPr>
          <w:lang w:val="cs"/>
        </w:rPr>
      </w:pPr>
      <w:r>
        <w:rPr>
          <w:lang w:val="cs"/>
        </w:rPr>
        <w:t>Doba použitelnosti po prvním otevření obalu: 28 dní.</w:t>
      </w:r>
    </w:p>
    <w:p w:rsidR="003101BB" w:rsidRPr="00927753" w:rsidRDefault="003101BB">
      <w:pPr>
        <w:rPr>
          <w:lang w:val="cs"/>
        </w:rPr>
      </w:pPr>
    </w:p>
    <w:p w:rsidR="003101BB" w:rsidRPr="00927753" w:rsidRDefault="003101BB">
      <w:pPr>
        <w:tabs>
          <w:tab w:val="left" w:pos="567"/>
        </w:tabs>
        <w:rPr>
          <w:b/>
          <w:bCs/>
          <w:lang w:val="cs"/>
        </w:rPr>
      </w:pPr>
      <w:r>
        <w:rPr>
          <w:b/>
          <w:bCs/>
          <w:lang w:val="cs"/>
        </w:rPr>
        <w:t>12.</w:t>
      </w:r>
      <w:r>
        <w:rPr>
          <w:b/>
          <w:bCs/>
          <w:lang w:val="cs"/>
        </w:rPr>
        <w:tab/>
        <w:t>ZVLÁŠTNÍ UPOZORNĚNÍ</w:t>
      </w:r>
    </w:p>
    <w:p w:rsidR="003101BB" w:rsidRPr="00927753" w:rsidRDefault="003101BB">
      <w:pPr>
        <w:rPr>
          <w:lang w:val="cs"/>
        </w:rPr>
      </w:pPr>
    </w:p>
    <w:p w:rsidR="006B4F2F" w:rsidRPr="00927753" w:rsidRDefault="006B4F2F" w:rsidP="006B4F2F">
      <w:pPr>
        <w:rPr>
          <w:bCs/>
          <w:iCs/>
          <w:u w:val="single"/>
          <w:lang w:val="cs"/>
        </w:rPr>
      </w:pPr>
      <w:r>
        <w:rPr>
          <w:u w:val="single"/>
          <w:lang w:val="cs"/>
        </w:rPr>
        <w:t>Zvláštní opatření pro použití</w:t>
      </w:r>
    </w:p>
    <w:p w:rsidR="006B4F2F" w:rsidRPr="00927753" w:rsidRDefault="006B4F2F" w:rsidP="006B4F2F">
      <w:pPr>
        <w:rPr>
          <w:bCs/>
          <w:iCs/>
          <w:lang w:val="cs"/>
        </w:rPr>
      </w:pPr>
      <w:r>
        <w:rPr>
          <w:lang w:val="cs"/>
        </w:rPr>
        <w:t>Tento veterinární léčivý přípravek neobsahuje</w:t>
      </w:r>
      <w:r w:rsidR="00232D03">
        <w:rPr>
          <w:lang w:val="cs"/>
        </w:rPr>
        <w:t xml:space="preserve"> žádný</w:t>
      </w:r>
      <w:r>
        <w:rPr>
          <w:lang w:val="cs"/>
        </w:rPr>
        <w:t xml:space="preserve"> antimikrobiální </w:t>
      </w:r>
      <w:proofErr w:type="spellStart"/>
      <w:r w:rsidR="00232D03">
        <w:rPr>
          <w:lang w:val="cs"/>
        </w:rPr>
        <w:t>konzervant</w:t>
      </w:r>
      <w:proofErr w:type="spellEnd"/>
      <w:r>
        <w:rPr>
          <w:lang w:val="cs"/>
        </w:rPr>
        <w:t>.</w:t>
      </w:r>
    </w:p>
    <w:p w:rsidR="00032AAB" w:rsidRPr="00927753" w:rsidRDefault="00032AAB" w:rsidP="006B4F2F">
      <w:pPr>
        <w:rPr>
          <w:bCs/>
          <w:iCs/>
          <w:lang w:val="cs"/>
        </w:rPr>
      </w:pPr>
    </w:p>
    <w:p w:rsidR="006B4F2F" w:rsidRPr="00927753" w:rsidRDefault="006B4F2F" w:rsidP="006B4F2F">
      <w:pPr>
        <w:rPr>
          <w:bCs/>
          <w:iCs/>
          <w:u w:val="single"/>
          <w:lang w:val="cs"/>
        </w:rPr>
      </w:pPr>
      <w:r>
        <w:rPr>
          <w:u w:val="single"/>
          <w:lang w:val="cs"/>
        </w:rPr>
        <w:t>Zvláštní opatření pro použití u zvířat</w:t>
      </w:r>
    </w:p>
    <w:p w:rsidR="006B4F2F" w:rsidRPr="00927753" w:rsidRDefault="006B4F2F" w:rsidP="006B4F2F">
      <w:pPr>
        <w:rPr>
          <w:bCs/>
          <w:iCs/>
          <w:lang w:val="cs"/>
        </w:rPr>
      </w:pPr>
      <w:r>
        <w:rPr>
          <w:lang w:val="cs"/>
        </w:rPr>
        <w:t xml:space="preserve">Nepodávat selatům </w:t>
      </w:r>
      <w:r w:rsidR="00E72639">
        <w:rPr>
          <w:lang w:val="cs"/>
        </w:rPr>
        <w:t xml:space="preserve">o hmotnosti nižší než </w:t>
      </w:r>
      <w:r>
        <w:rPr>
          <w:lang w:val="cs"/>
        </w:rPr>
        <w:t>2 kg.</w:t>
      </w:r>
    </w:p>
    <w:p w:rsidR="00E72639" w:rsidRPr="00E72639" w:rsidRDefault="00E72639" w:rsidP="00E72639">
      <w:pPr>
        <w:rPr>
          <w:lang w:val="cs"/>
        </w:rPr>
      </w:pPr>
      <w:r w:rsidRPr="00E72639">
        <w:rPr>
          <w:lang w:val="cs"/>
        </w:rPr>
        <w:t xml:space="preserve">Použití přípravku by mělo být založeno na výsledcích testů citlivosti bakterií izolovaných ze zvířete. Pokud toto není možné, měla by být léčba založena na místních (regionálních, </w:t>
      </w:r>
      <w:r w:rsidR="005B2336">
        <w:rPr>
          <w:lang w:val="cs"/>
        </w:rPr>
        <w:t>na úrovni farmy</w:t>
      </w:r>
      <w:r w:rsidRPr="00E72639">
        <w:rPr>
          <w:lang w:val="cs"/>
        </w:rPr>
        <w:t>) epidemiologických informacích o citlivosti cílových bakterií.</w:t>
      </w:r>
    </w:p>
    <w:p w:rsidR="006B4F2F" w:rsidRPr="00927753" w:rsidRDefault="00E72639" w:rsidP="006B4F2F">
      <w:pPr>
        <w:rPr>
          <w:bCs/>
          <w:iCs/>
          <w:lang w:val="cs"/>
        </w:rPr>
      </w:pPr>
      <w:r w:rsidRPr="00E72639">
        <w:rPr>
          <w:lang w:val="cs"/>
        </w:rPr>
        <w:t>Při použití přípravku je nutno vzít v úvahu oficiální celostátní a místní pravidla antibiotické politiky</w:t>
      </w:r>
      <w:r w:rsidR="006B4F2F">
        <w:rPr>
          <w:lang w:val="cs"/>
        </w:rPr>
        <w:t>.</w:t>
      </w:r>
    </w:p>
    <w:p w:rsidR="006B4F2F" w:rsidRPr="00927753" w:rsidRDefault="00C14A6C" w:rsidP="006B4F2F">
      <w:pPr>
        <w:rPr>
          <w:bCs/>
          <w:iCs/>
          <w:lang w:val="cs"/>
        </w:rPr>
      </w:pPr>
      <w:r w:rsidRPr="00C14A6C">
        <w:rPr>
          <w:lang w:val="cs"/>
        </w:rPr>
        <w:t>Použití přípravku, které se liší od pokynů uvedených v souhrnu údajů o přípravku, může zvýšit prevalenci bakterií rezistentních na florfenikol a může snížit účinnost léčby jinými antimikrobiálními látkami z důvodu možné zkřížené rezistence</w:t>
      </w:r>
      <w:r w:rsidR="006B4F2F">
        <w:rPr>
          <w:lang w:val="cs"/>
        </w:rPr>
        <w:t>.</w:t>
      </w:r>
    </w:p>
    <w:p w:rsidR="006B4F2F" w:rsidRPr="00927753" w:rsidRDefault="006B4F2F" w:rsidP="006B4F2F">
      <w:pPr>
        <w:rPr>
          <w:b/>
          <w:bCs/>
          <w:iCs/>
          <w:lang w:val="cs"/>
        </w:rPr>
      </w:pPr>
    </w:p>
    <w:p w:rsidR="006B4F2F" w:rsidRPr="00927753" w:rsidRDefault="006B4F2F" w:rsidP="007E078E">
      <w:pPr>
        <w:keepNext/>
        <w:rPr>
          <w:bCs/>
          <w:iCs/>
          <w:u w:val="single"/>
          <w:lang w:val="cs"/>
        </w:rPr>
      </w:pPr>
      <w:r>
        <w:rPr>
          <w:u w:val="single"/>
          <w:lang w:val="cs"/>
        </w:rPr>
        <w:t>Zvláštní opatření určená osobám, které podávají veterinární léčivý přípravek zvířatům</w:t>
      </w:r>
      <w:r w:rsidR="00336606">
        <w:rPr>
          <w:u w:val="single"/>
          <w:lang w:val="cs"/>
        </w:rPr>
        <w:t>:</w:t>
      </w:r>
    </w:p>
    <w:p w:rsidR="00336606" w:rsidRPr="00B20EBC" w:rsidRDefault="00336606" w:rsidP="007E078E">
      <w:pPr>
        <w:pStyle w:val="Normlnodsazen"/>
        <w:ind w:left="0"/>
        <w:rPr>
          <w:lang w:val="cs"/>
        </w:rPr>
      </w:pPr>
      <w:r>
        <w:rPr>
          <w:lang w:val="cs"/>
        </w:rPr>
        <w:t>Lidé se známou přecitlivělostí na florfenikol nebo kteroukoliv z pomocných látek by se měli vyhnout kontaktu s veterinárním léčivým přípravkem.</w:t>
      </w:r>
    </w:p>
    <w:p w:rsidR="00336606" w:rsidRPr="00B20EBC" w:rsidRDefault="00336606" w:rsidP="007E078E">
      <w:pPr>
        <w:pStyle w:val="Normlnodsazen"/>
        <w:ind w:left="0"/>
        <w:rPr>
          <w:lang w:val="cs"/>
        </w:rPr>
      </w:pPr>
    </w:p>
    <w:p w:rsidR="00336606" w:rsidRPr="00B20EBC" w:rsidRDefault="00336606" w:rsidP="007E078E">
      <w:pPr>
        <w:pStyle w:val="Normlnodsazen"/>
        <w:ind w:left="0"/>
        <w:rPr>
          <w:iCs/>
          <w:lang w:val="cs"/>
        </w:rPr>
      </w:pPr>
      <w:r>
        <w:rPr>
          <w:lang w:val="cs"/>
        </w:rPr>
        <w:t>Předcházejte náhodnému samopodání injekce. V případě náhodného sebepoškození injekčně aplikovaným přípravkem vyhledejte lékařskou pomoc a ukažte mu příbalovou informaci nebo etiketu praktickému lékaři.</w:t>
      </w:r>
    </w:p>
    <w:p w:rsidR="00336606" w:rsidRPr="00B20EBC" w:rsidRDefault="00336606" w:rsidP="007E078E">
      <w:pPr>
        <w:pStyle w:val="Normlnodsazen"/>
        <w:ind w:left="0"/>
        <w:rPr>
          <w:iCs/>
          <w:lang w:val="cs"/>
        </w:rPr>
      </w:pPr>
    </w:p>
    <w:p w:rsidR="00336606" w:rsidRPr="00B20EBC" w:rsidRDefault="00336606" w:rsidP="007E078E">
      <w:pPr>
        <w:pStyle w:val="Normlnodsazen"/>
        <w:ind w:left="0"/>
        <w:rPr>
          <w:iCs/>
          <w:lang w:val="cs"/>
        </w:rPr>
      </w:pPr>
      <w:r>
        <w:rPr>
          <w:lang w:val="cs"/>
        </w:rPr>
        <w:lastRenderedPageBreak/>
        <w:t>Zabraňte kontaktu přípravku s kůží nebo očima.  V případě kontaktu s pokožkou nebo očima opláchněte ihned zasaženou oblast velkým množstvím vody.  Po použití si umyjte ruce.</w:t>
      </w:r>
    </w:p>
    <w:p w:rsidR="00336606" w:rsidRPr="00B20EBC" w:rsidRDefault="00336606" w:rsidP="00336606">
      <w:pPr>
        <w:pStyle w:val="Normlnodsazen"/>
        <w:ind w:left="993"/>
        <w:rPr>
          <w:iCs/>
          <w:lang w:val="cs"/>
        </w:rPr>
      </w:pPr>
    </w:p>
    <w:p w:rsidR="006B4F2F" w:rsidRPr="00927753" w:rsidRDefault="00336606" w:rsidP="006B4F2F">
      <w:pPr>
        <w:rPr>
          <w:bCs/>
          <w:iCs/>
          <w:lang w:val="cs"/>
        </w:rPr>
      </w:pPr>
      <w:r>
        <w:rPr>
          <w:lang w:val="cs"/>
        </w:rPr>
        <w:t xml:space="preserve">Nepoužívejte přípravek v případě zvýšené citlivosti na </w:t>
      </w:r>
      <w:proofErr w:type="spellStart"/>
      <w:r>
        <w:rPr>
          <w:lang w:val="cs"/>
        </w:rPr>
        <w:t>propylenglykol</w:t>
      </w:r>
      <w:proofErr w:type="spellEnd"/>
      <w:r>
        <w:rPr>
          <w:lang w:val="cs"/>
        </w:rPr>
        <w:t xml:space="preserve"> a </w:t>
      </w:r>
      <w:proofErr w:type="spellStart"/>
      <w:r>
        <w:rPr>
          <w:lang w:val="cs"/>
        </w:rPr>
        <w:t>polyethylenglykoly</w:t>
      </w:r>
      <w:proofErr w:type="spellEnd"/>
      <w:r w:rsidR="006B4F2F">
        <w:rPr>
          <w:lang w:val="cs"/>
        </w:rPr>
        <w:t>.</w:t>
      </w:r>
    </w:p>
    <w:p w:rsidR="006B4F2F" w:rsidRPr="00927753" w:rsidRDefault="006B4F2F" w:rsidP="006B4F2F">
      <w:pPr>
        <w:rPr>
          <w:bCs/>
          <w:iCs/>
          <w:lang w:val="cs"/>
        </w:rPr>
      </w:pPr>
    </w:p>
    <w:p w:rsidR="006B4F2F" w:rsidRPr="00927753" w:rsidRDefault="00AC27E4" w:rsidP="006B4F2F">
      <w:pPr>
        <w:rPr>
          <w:bCs/>
          <w:iCs/>
          <w:u w:val="single"/>
          <w:lang w:val="cs"/>
        </w:rPr>
      </w:pPr>
      <w:r>
        <w:rPr>
          <w:u w:val="single"/>
          <w:lang w:val="cs"/>
        </w:rPr>
        <w:t>Březost a laktace</w:t>
      </w:r>
    </w:p>
    <w:p w:rsidR="006B4F2F" w:rsidRPr="00927753" w:rsidRDefault="00890A03" w:rsidP="006B4F2F">
      <w:pPr>
        <w:rPr>
          <w:bCs/>
          <w:iCs/>
          <w:lang w:val="cs"/>
        </w:rPr>
      </w:pPr>
      <w:r>
        <w:rPr>
          <w:lang w:val="cs"/>
        </w:rPr>
        <w:t xml:space="preserve">Studie </w:t>
      </w:r>
      <w:r w:rsidR="00C023DD">
        <w:rPr>
          <w:lang w:val="cs"/>
        </w:rPr>
        <w:t xml:space="preserve">provedené </w:t>
      </w:r>
      <w:r>
        <w:rPr>
          <w:lang w:val="cs"/>
        </w:rPr>
        <w:t xml:space="preserve">na laboratorních zvířatech </w:t>
      </w:r>
      <w:r w:rsidR="00C023DD">
        <w:rPr>
          <w:lang w:val="cs"/>
        </w:rPr>
        <w:t xml:space="preserve">nepodaly žádný důkaz </w:t>
      </w:r>
      <w:r>
        <w:rPr>
          <w:lang w:val="cs"/>
        </w:rPr>
        <w:t xml:space="preserve">embryo- nebo </w:t>
      </w:r>
      <w:proofErr w:type="spellStart"/>
      <w:r>
        <w:rPr>
          <w:lang w:val="cs"/>
        </w:rPr>
        <w:t>fetotoxické</w:t>
      </w:r>
      <w:r w:rsidR="00C023DD">
        <w:rPr>
          <w:lang w:val="cs"/>
        </w:rPr>
        <w:t>ho</w:t>
      </w:r>
      <w:proofErr w:type="spellEnd"/>
      <w:r>
        <w:rPr>
          <w:lang w:val="cs"/>
        </w:rPr>
        <w:t xml:space="preserve"> </w:t>
      </w:r>
      <w:r w:rsidR="00C023DD">
        <w:rPr>
          <w:lang w:val="cs"/>
        </w:rPr>
        <w:t xml:space="preserve">účinku </w:t>
      </w:r>
      <w:proofErr w:type="spellStart"/>
      <w:r>
        <w:rPr>
          <w:lang w:val="cs"/>
        </w:rPr>
        <w:t>florfenikolu</w:t>
      </w:r>
      <w:proofErr w:type="spellEnd"/>
      <w:r>
        <w:rPr>
          <w:lang w:val="cs"/>
        </w:rPr>
        <w:t>.</w:t>
      </w:r>
    </w:p>
    <w:p w:rsidR="006B4F2F" w:rsidRPr="00927753" w:rsidRDefault="006B4F2F" w:rsidP="006B4F2F">
      <w:pPr>
        <w:rPr>
          <w:bCs/>
          <w:iCs/>
          <w:lang w:val="cs"/>
        </w:rPr>
      </w:pPr>
    </w:p>
    <w:p w:rsidR="006B4F2F" w:rsidRPr="00927753" w:rsidRDefault="006B4F2F" w:rsidP="006B4F2F">
      <w:pPr>
        <w:rPr>
          <w:bCs/>
          <w:iCs/>
          <w:lang w:val="cs"/>
        </w:rPr>
      </w:pPr>
      <w:r>
        <w:rPr>
          <w:lang w:val="cs"/>
        </w:rPr>
        <w:t xml:space="preserve">Skot: Bezpečnost veterinárního léčivého přípravku během březosti nebyla </w:t>
      </w:r>
      <w:r w:rsidR="00D5587A">
        <w:rPr>
          <w:lang w:val="cs"/>
        </w:rPr>
        <w:t>prokázána</w:t>
      </w:r>
      <w:r>
        <w:rPr>
          <w:lang w:val="cs"/>
        </w:rPr>
        <w:t>.</w:t>
      </w:r>
    </w:p>
    <w:p w:rsidR="006B4F2F" w:rsidRPr="00927753" w:rsidRDefault="00D5587A" w:rsidP="006B4F2F">
      <w:pPr>
        <w:rPr>
          <w:bCs/>
          <w:iCs/>
          <w:lang w:val="cs"/>
        </w:rPr>
      </w:pPr>
      <w:r>
        <w:rPr>
          <w:lang w:val="cs"/>
        </w:rPr>
        <w:t xml:space="preserve">Používat </w:t>
      </w:r>
      <w:r w:rsidR="006B4F2F">
        <w:rPr>
          <w:lang w:val="cs"/>
        </w:rPr>
        <w:t xml:space="preserve">pouze </w:t>
      </w:r>
      <w:r>
        <w:rPr>
          <w:lang w:val="cs"/>
        </w:rPr>
        <w:t>po zvážení terapeutického prospěchu</w:t>
      </w:r>
      <w:r w:rsidR="006B4F2F">
        <w:rPr>
          <w:lang w:val="cs"/>
        </w:rPr>
        <w:t xml:space="preserve"> a rizika </w:t>
      </w:r>
      <w:r>
        <w:rPr>
          <w:lang w:val="cs"/>
        </w:rPr>
        <w:t xml:space="preserve">příslušným </w:t>
      </w:r>
      <w:r w:rsidR="006B4F2F">
        <w:rPr>
          <w:lang w:val="cs"/>
        </w:rPr>
        <w:t>veterinárním lékařem.</w:t>
      </w:r>
    </w:p>
    <w:p w:rsidR="006B4F2F" w:rsidRPr="00927753" w:rsidRDefault="006B4F2F" w:rsidP="006B4F2F">
      <w:pPr>
        <w:rPr>
          <w:bCs/>
          <w:iCs/>
          <w:lang w:val="cs"/>
        </w:rPr>
      </w:pPr>
    </w:p>
    <w:p w:rsidR="006B4F2F" w:rsidRPr="00927753" w:rsidRDefault="006B4F2F" w:rsidP="006B4F2F">
      <w:pPr>
        <w:rPr>
          <w:bCs/>
          <w:iCs/>
          <w:lang w:val="cs"/>
        </w:rPr>
      </w:pPr>
      <w:r>
        <w:rPr>
          <w:lang w:val="cs"/>
        </w:rPr>
        <w:t>Prasata:</w:t>
      </w:r>
    </w:p>
    <w:p w:rsidR="006B4F2F" w:rsidRPr="00927753" w:rsidRDefault="006B4F2F" w:rsidP="006B4F2F">
      <w:pPr>
        <w:rPr>
          <w:bCs/>
          <w:iCs/>
          <w:lang w:val="cs"/>
        </w:rPr>
      </w:pPr>
      <w:r>
        <w:rPr>
          <w:lang w:val="cs"/>
        </w:rPr>
        <w:t xml:space="preserve">Bezpečnost veterinárního léčivého přípravku během březosti a laktace nebyla </w:t>
      </w:r>
      <w:r w:rsidR="00D5587A">
        <w:rPr>
          <w:lang w:val="cs"/>
        </w:rPr>
        <w:t>prokázána</w:t>
      </w:r>
      <w:r>
        <w:rPr>
          <w:lang w:val="cs"/>
        </w:rPr>
        <w:t>.</w:t>
      </w:r>
    </w:p>
    <w:p w:rsidR="006B4F2F" w:rsidRPr="00927753" w:rsidRDefault="006B4F2F" w:rsidP="006B4F2F">
      <w:pPr>
        <w:rPr>
          <w:bCs/>
          <w:iCs/>
          <w:lang w:val="cs"/>
        </w:rPr>
      </w:pPr>
    </w:p>
    <w:p w:rsidR="006B4F2F" w:rsidRPr="00927753" w:rsidRDefault="006B4F2F" w:rsidP="006B4F2F">
      <w:pPr>
        <w:rPr>
          <w:bCs/>
          <w:iCs/>
          <w:lang w:val="cs"/>
        </w:rPr>
      </w:pPr>
      <w:r>
        <w:rPr>
          <w:lang w:val="cs"/>
        </w:rPr>
        <w:t>Během březosti a laktace se použití veterinárního léčivého přípravku u prasat nedoporučuje.</w:t>
      </w:r>
    </w:p>
    <w:p w:rsidR="006B4F2F" w:rsidRPr="00927753" w:rsidRDefault="006B4F2F" w:rsidP="006B4F2F">
      <w:pPr>
        <w:rPr>
          <w:bCs/>
          <w:iCs/>
          <w:lang w:val="cs"/>
        </w:rPr>
      </w:pPr>
    </w:p>
    <w:p w:rsidR="006B4F2F" w:rsidRPr="00927753" w:rsidRDefault="006B4F2F" w:rsidP="006B4F2F">
      <w:pPr>
        <w:rPr>
          <w:bCs/>
          <w:iCs/>
          <w:u w:val="single"/>
          <w:lang w:val="cs"/>
        </w:rPr>
      </w:pPr>
      <w:r>
        <w:rPr>
          <w:u w:val="single"/>
          <w:lang w:val="cs"/>
        </w:rPr>
        <w:t>Předávkování (symptomy, první pomoc, antidota)</w:t>
      </w:r>
    </w:p>
    <w:p w:rsidR="00B40ED4" w:rsidRPr="00B40ED4" w:rsidRDefault="00B40ED4" w:rsidP="00B40ED4">
      <w:pPr>
        <w:rPr>
          <w:lang w:val="cs"/>
        </w:rPr>
      </w:pPr>
      <w:r w:rsidRPr="00B40ED4">
        <w:rPr>
          <w:lang w:val="cs"/>
        </w:rPr>
        <w:t xml:space="preserve">U skotu může během léčby dojít ke snížení příjmu krmiva a přechodnému zřídnutí </w:t>
      </w:r>
      <w:r w:rsidR="00AA263D">
        <w:rPr>
          <w:lang w:val="cs"/>
        </w:rPr>
        <w:t>trusu</w:t>
      </w:r>
      <w:r w:rsidRPr="00B40ED4">
        <w:rPr>
          <w:lang w:val="cs"/>
        </w:rPr>
        <w:t>. U léčených zvířat dojde po ukončení léčby k rychlému a úplnému vymizení příznaků.</w:t>
      </w:r>
    </w:p>
    <w:p w:rsidR="00B40ED4" w:rsidRPr="00B40ED4" w:rsidRDefault="00B40ED4" w:rsidP="00B40ED4">
      <w:pPr>
        <w:rPr>
          <w:lang w:val="cs"/>
        </w:rPr>
      </w:pPr>
    </w:p>
    <w:p w:rsidR="00B40ED4" w:rsidRPr="00B40ED4" w:rsidRDefault="00B40ED4" w:rsidP="00B40ED4">
      <w:pPr>
        <w:rPr>
          <w:lang w:val="cs"/>
        </w:rPr>
      </w:pPr>
      <w:r w:rsidRPr="00B40ED4">
        <w:rPr>
          <w:lang w:val="cs"/>
        </w:rPr>
        <w:t>U prasat bylo po podání trojnásobku a více násobku doporučené dávky pozorováno snížení příjmu krmiva, vody a váhového přírůstku.</w:t>
      </w:r>
    </w:p>
    <w:p w:rsidR="006B4F2F" w:rsidRPr="00927753" w:rsidRDefault="00B40ED4" w:rsidP="006B4F2F">
      <w:pPr>
        <w:rPr>
          <w:bCs/>
          <w:iCs/>
          <w:lang w:val="cs"/>
        </w:rPr>
      </w:pPr>
      <w:r w:rsidRPr="00B40ED4">
        <w:rPr>
          <w:lang w:val="cs"/>
        </w:rPr>
        <w:t>Po podání pětinásobku a více násobku doporučené dávky bylo rovněž zaznamenáno zvracení.</w:t>
      </w:r>
      <w:bookmarkStart w:id="1" w:name="OLE_LINK1"/>
      <w:bookmarkStart w:id="2" w:name="OLE_LINK2"/>
    </w:p>
    <w:bookmarkEnd w:id="1"/>
    <w:bookmarkEnd w:id="2"/>
    <w:p w:rsidR="006B4F2F" w:rsidRPr="00927753" w:rsidRDefault="006B4F2F" w:rsidP="006B4F2F">
      <w:pPr>
        <w:rPr>
          <w:bCs/>
          <w:iCs/>
          <w:lang w:val="cs"/>
        </w:rPr>
      </w:pPr>
    </w:p>
    <w:p w:rsidR="006B4F2F" w:rsidRPr="00927753" w:rsidRDefault="006B4F2F" w:rsidP="006B4F2F">
      <w:pPr>
        <w:rPr>
          <w:bCs/>
          <w:iCs/>
          <w:u w:val="single"/>
          <w:lang w:val="cs"/>
        </w:rPr>
      </w:pPr>
      <w:r>
        <w:rPr>
          <w:u w:val="single"/>
          <w:lang w:val="cs"/>
        </w:rPr>
        <w:t>Inkompatibility</w:t>
      </w:r>
    </w:p>
    <w:p w:rsidR="00406145" w:rsidRPr="00927753" w:rsidRDefault="006B4F2F" w:rsidP="006B4F2F">
      <w:pPr>
        <w:rPr>
          <w:bCs/>
          <w:iCs/>
          <w:lang w:val="cs"/>
        </w:rPr>
      </w:pPr>
      <w:r>
        <w:rPr>
          <w:lang w:val="cs"/>
        </w:rPr>
        <w:t>Studie kompatibility nejsou k dispozici, a proto nesmí být tento veterinární léčivý přípravek mísen s žádnými dalšími veterinárními léčivými přípravky.</w:t>
      </w:r>
    </w:p>
    <w:p w:rsidR="003101BB" w:rsidRPr="00927753" w:rsidRDefault="003101BB">
      <w:pPr>
        <w:ind w:left="567" w:hanging="567"/>
        <w:rPr>
          <w:b/>
          <w:bCs/>
          <w:lang w:val="cs"/>
        </w:rPr>
      </w:pPr>
    </w:p>
    <w:p w:rsidR="003101BB" w:rsidRPr="00927753" w:rsidRDefault="003101BB">
      <w:pPr>
        <w:ind w:left="567" w:hanging="567"/>
        <w:rPr>
          <w:b/>
          <w:bCs/>
          <w:lang w:val="cs"/>
        </w:rPr>
      </w:pPr>
      <w:r>
        <w:rPr>
          <w:b/>
          <w:bCs/>
          <w:lang w:val="cs"/>
        </w:rPr>
        <w:t>13.</w:t>
      </w:r>
      <w:r>
        <w:rPr>
          <w:b/>
          <w:bCs/>
          <w:lang w:val="cs"/>
        </w:rPr>
        <w:tab/>
        <w:t>ZVLÁŠTNÍ OPATŘENÍ PRO ZNEŠKODŇOVÁNÍ NEPOUŽITÝCH PŘÍPRAVKŮ NEBO ODPADU, POKUD JE JICH TŘEBA</w:t>
      </w:r>
    </w:p>
    <w:p w:rsidR="003101BB" w:rsidRPr="00927753" w:rsidRDefault="003101BB">
      <w:pPr>
        <w:ind w:left="567" w:hanging="567"/>
        <w:rPr>
          <w:b/>
          <w:bCs/>
          <w:lang w:val="cs"/>
        </w:rPr>
      </w:pPr>
    </w:p>
    <w:p w:rsidR="00AD55A6" w:rsidRPr="00927753" w:rsidRDefault="002B4C6C" w:rsidP="00AD55A6">
      <w:pPr>
        <w:rPr>
          <w:lang w:val="cs"/>
        </w:rPr>
      </w:pPr>
      <w:r>
        <w:rPr>
          <w:lang w:val="cs"/>
        </w:rPr>
        <w:t>Všechen nepoužitý veterinární léčivý přípravek nebo odpad, který pochází z tohoto přípravku, musí být likvidován podle místních právních předpisů</w:t>
      </w:r>
      <w:r w:rsidR="00AD55A6">
        <w:rPr>
          <w:lang w:val="cs"/>
        </w:rPr>
        <w:t>.</w:t>
      </w:r>
    </w:p>
    <w:p w:rsidR="003101BB" w:rsidRPr="00927753" w:rsidRDefault="003101BB">
      <w:pPr>
        <w:rPr>
          <w:lang w:val="cs"/>
        </w:rPr>
      </w:pPr>
    </w:p>
    <w:p w:rsidR="003101BB" w:rsidRPr="00882008" w:rsidRDefault="003101BB">
      <w:pPr>
        <w:tabs>
          <w:tab w:val="left" w:pos="567"/>
        </w:tabs>
        <w:rPr>
          <w:b/>
          <w:bCs/>
          <w:lang w:val="it-IT"/>
        </w:rPr>
      </w:pPr>
      <w:r>
        <w:rPr>
          <w:b/>
          <w:bCs/>
          <w:lang w:val="cs"/>
        </w:rPr>
        <w:t>14.</w:t>
      </w:r>
      <w:r>
        <w:rPr>
          <w:b/>
          <w:bCs/>
          <w:lang w:val="cs"/>
        </w:rPr>
        <w:tab/>
        <w:t>DATUM POSLEDNÍ REVIZE PŘÍBALOVÉ INFORMACE</w:t>
      </w:r>
    </w:p>
    <w:p w:rsidR="003101BB" w:rsidRPr="00882008" w:rsidRDefault="003101BB">
      <w:pPr>
        <w:rPr>
          <w:lang w:val="it-IT"/>
        </w:rPr>
      </w:pPr>
    </w:p>
    <w:p w:rsidR="00AD55A6" w:rsidRPr="00882008" w:rsidRDefault="00997A90">
      <w:pPr>
        <w:rPr>
          <w:lang w:val="it-IT"/>
        </w:rPr>
      </w:pPr>
      <w:r w:rsidRPr="00882008">
        <w:rPr>
          <w:lang w:val="it-IT"/>
        </w:rPr>
        <w:t>Listopad 2019</w:t>
      </w:r>
    </w:p>
    <w:p w:rsidR="003101BB" w:rsidRPr="00882008" w:rsidRDefault="003101BB">
      <w:pPr>
        <w:rPr>
          <w:lang w:val="it-IT"/>
        </w:rPr>
      </w:pPr>
    </w:p>
    <w:p w:rsidR="003101BB" w:rsidRDefault="003101BB">
      <w:pPr>
        <w:tabs>
          <w:tab w:val="left" w:pos="567"/>
        </w:tabs>
        <w:rPr>
          <w:b/>
          <w:bCs/>
          <w:lang w:val="cs"/>
        </w:rPr>
      </w:pPr>
      <w:r>
        <w:rPr>
          <w:b/>
          <w:bCs/>
          <w:lang w:val="cs"/>
        </w:rPr>
        <w:t>15.</w:t>
      </w:r>
      <w:r>
        <w:rPr>
          <w:b/>
          <w:bCs/>
          <w:lang w:val="cs"/>
        </w:rPr>
        <w:tab/>
        <w:t>DALŠÍ INFORMACE</w:t>
      </w:r>
    </w:p>
    <w:p w:rsidR="00AA263D" w:rsidRDefault="00AA263D">
      <w:pPr>
        <w:tabs>
          <w:tab w:val="left" w:pos="567"/>
        </w:tabs>
        <w:rPr>
          <w:b/>
          <w:bCs/>
          <w:lang w:val="cs"/>
        </w:rPr>
      </w:pPr>
    </w:p>
    <w:p w:rsidR="00AA263D" w:rsidRDefault="00AA263D">
      <w:pPr>
        <w:tabs>
          <w:tab w:val="left" w:pos="567"/>
        </w:tabs>
        <w:rPr>
          <w:b/>
          <w:bCs/>
          <w:lang w:val="cs"/>
        </w:rPr>
      </w:pPr>
      <w:r>
        <w:rPr>
          <w:b/>
          <w:bCs/>
          <w:lang w:val="cs"/>
        </w:rPr>
        <w:t>Pouze pro zvířata.</w:t>
      </w:r>
    </w:p>
    <w:p w:rsidR="00AA263D" w:rsidRPr="00882008" w:rsidRDefault="00AA263D">
      <w:pPr>
        <w:tabs>
          <w:tab w:val="left" w:pos="567"/>
        </w:tabs>
        <w:rPr>
          <w:b/>
          <w:bCs/>
          <w:lang w:val="cs"/>
        </w:rPr>
      </w:pPr>
      <w:r>
        <w:rPr>
          <w:b/>
          <w:bCs/>
          <w:lang w:val="cs"/>
        </w:rPr>
        <w:t>Veterinární léčivý přípravek je vydáván pouze na předpis.</w:t>
      </w:r>
    </w:p>
    <w:p w:rsidR="003101BB" w:rsidRPr="00882008" w:rsidRDefault="003101BB">
      <w:pPr>
        <w:rPr>
          <w:b/>
          <w:bCs/>
          <w:lang w:val="cs"/>
        </w:rPr>
      </w:pPr>
    </w:p>
    <w:p w:rsidR="00F339FA" w:rsidRDefault="006B4F2F" w:rsidP="00F339FA">
      <w:r>
        <w:rPr>
          <w:lang w:val="cs"/>
        </w:rPr>
        <w:t xml:space="preserve">Krabička s 1 polypropylenovou lahvičkou o objemu 250 ml. </w:t>
      </w:r>
    </w:p>
    <w:p w:rsidR="00CB491B" w:rsidRDefault="00CB491B" w:rsidP="00F339FA">
      <w:r>
        <w:rPr>
          <w:lang w:val="cs"/>
        </w:rPr>
        <w:t>Krabička s 1 bezbarvou lahvičkou</w:t>
      </w:r>
      <w:r w:rsidR="00DD2D38">
        <w:rPr>
          <w:lang w:val="cs"/>
        </w:rPr>
        <w:t xml:space="preserve"> ze skla</w:t>
      </w:r>
      <w:r>
        <w:rPr>
          <w:lang w:val="cs"/>
        </w:rPr>
        <w:t xml:space="preserve"> typu II o objemu 50 nebo 100 ml.</w:t>
      </w:r>
    </w:p>
    <w:p w:rsidR="00CB491B" w:rsidRDefault="00CB491B" w:rsidP="00F339FA">
      <w:r>
        <w:rPr>
          <w:lang w:val="cs"/>
        </w:rPr>
        <w:t xml:space="preserve">Krabička s 1 hnědou lahvičkou </w:t>
      </w:r>
      <w:r w:rsidR="00DD2D38">
        <w:rPr>
          <w:lang w:val="cs"/>
        </w:rPr>
        <w:t xml:space="preserve">ze skla </w:t>
      </w:r>
      <w:r>
        <w:rPr>
          <w:lang w:val="cs"/>
        </w:rPr>
        <w:t>typu II o objemu 250 ml.</w:t>
      </w:r>
    </w:p>
    <w:p w:rsidR="00CB491B" w:rsidRDefault="00CB491B" w:rsidP="00F339FA"/>
    <w:p w:rsidR="00CB491B" w:rsidRPr="00CE2616" w:rsidRDefault="00CB491B" w:rsidP="00F339FA">
      <w:r>
        <w:rPr>
          <w:lang w:val="cs"/>
        </w:rPr>
        <w:t>Na trhu nemusí být všechny velikosti balení.</w:t>
      </w:r>
    </w:p>
    <w:p w:rsidR="003101BB" w:rsidRPr="00CE2616" w:rsidRDefault="003101BB" w:rsidP="00EE25C6"/>
    <w:sectPr w:rsidR="003101BB" w:rsidRPr="00CE2616" w:rsidSect="00890A03">
      <w:headerReference w:type="default" r:id="rId9"/>
      <w:footerReference w:type="first" r:id="rId10"/>
      <w:type w:val="continuous"/>
      <w:pgSz w:w="11906" w:h="16838" w:code="9"/>
      <w:pgMar w:top="1134" w:right="1274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CC" w:rsidRDefault="00AB5CCC">
      <w:r>
        <w:separator/>
      </w:r>
    </w:p>
  </w:endnote>
  <w:endnote w:type="continuationSeparator" w:id="0">
    <w:p w:rsidR="00AB5CCC" w:rsidRDefault="00AB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C0" w:rsidRPr="00E711F0" w:rsidRDefault="008A57C0" w:rsidP="008A57C0">
    <w:pPr>
      <w:pStyle w:val="Zpat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iCs/>
        <w:sz w:val="20"/>
        <w:lang w:val="cs"/>
      </w:rPr>
      <w:t xml:space="preserve">Flordofen 300 mg/ml     PT/V/0112/001/R/001    Dopharma Research B.V. – Nizozemsko    12-03-2018  strana </w:t>
    </w:r>
    <w:r>
      <w:rPr>
        <w:rFonts w:ascii="Times New Roman" w:hAnsi="Times New Roman"/>
        <w:i/>
        <w:iCs/>
        <w:sz w:val="20"/>
        <w:lang w:val="cs"/>
      </w:rPr>
      <w:fldChar w:fldCharType="begin"/>
    </w:r>
    <w:r>
      <w:rPr>
        <w:rFonts w:ascii="Times New Roman" w:hAnsi="Times New Roman"/>
        <w:i/>
        <w:iCs/>
        <w:sz w:val="20"/>
        <w:lang w:val="cs"/>
      </w:rPr>
      <w:instrText>PAGE   \* MERGEFORMAT</w:instrText>
    </w:r>
    <w:r>
      <w:rPr>
        <w:rFonts w:ascii="Times New Roman" w:hAnsi="Times New Roman"/>
        <w:i/>
        <w:iCs/>
        <w:sz w:val="20"/>
        <w:lang w:val="cs"/>
      </w:rPr>
      <w:fldChar w:fldCharType="separate"/>
    </w:r>
    <w:r>
      <w:rPr>
        <w:rFonts w:ascii="Times New Roman" w:hAnsi="Times New Roman"/>
        <w:i/>
        <w:iCs/>
        <w:sz w:val="20"/>
        <w:lang w:val="cs"/>
      </w:rPr>
      <w:t>1</w:t>
    </w:r>
    <w:r>
      <w:rPr>
        <w:rFonts w:ascii="Times New Roman" w:hAnsi="Times New Roman"/>
        <w:sz w:val="20"/>
        <w:lang w:val="cs"/>
      </w:rPr>
      <w:fldChar w:fldCharType="end"/>
    </w:r>
  </w:p>
  <w:p w:rsidR="008A57C0" w:rsidRDefault="008A57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CC" w:rsidRDefault="00AB5CCC">
      <w:r>
        <w:separator/>
      </w:r>
    </w:p>
  </w:footnote>
  <w:footnote w:type="continuationSeparator" w:id="0">
    <w:p w:rsidR="00AB5CCC" w:rsidRDefault="00AB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D9" w:rsidRDefault="00EB2DD9" w:rsidP="00EB2DD9">
    <w:pPr>
      <w:pStyle w:val="Zpat"/>
      <w:tabs>
        <w:tab w:val="clear" w:pos="4536"/>
        <w:tab w:val="right" w:pos="9639"/>
      </w:tabs>
      <w:rPr>
        <w:rStyle w:val="slostrnky"/>
        <w:lang w:val="cs-CZ"/>
      </w:rPr>
    </w:pPr>
    <w:r>
      <w:rPr>
        <w:rStyle w:val="slostrnky"/>
        <w:lang w:val="cs-CZ"/>
      </w:rPr>
      <w:t xml:space="preserve"> </w:t>
    </w:r>
  </w:p>
  <w:p w:rsidR="00EB2DD9" w:rsidRPr="004B4FB6" w:rsidRDefault="00EB2D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D6F81"/>
    <w:rsid w:val="00016AB2"/>
    <w:rsid w:val="00032AAB"/>
    <w:rsid w:val="00041E1D"/>
    <w:rsid w:val="00066A8B"/>
    <w:rsid w:val="0009095A"/>
    <w:rsid w:val="00091A6D"/>
    <w:rsid w:val="000A3B8B"/>
    <w:rsid w:val="000A4AFE"/>
    <w:rsid w:val="000B4DA4"/>
    <w:rsid w:val="000D0EB4"/>
    <w:rsid w:val="000D3AE1"/>
    <w:rsid w:val="00110E49"/>
    <w:rsid w:val="001352A5"/>
    <w:rsid w:val="00144E09"/>
    <w:rsid w:val="00166132"/>
    <w:rsid w:val="00176C5C"/>
    <w:rsid w:val="00177309"/>
    <w:rsid w:val="00186A86"/>
    <w:rsid w:val="001A2AF7"/>
    <w:rsid w:val="001A74C7"/>
    <w:rsid w:val="001B318A"/>
    <w:rsid w:val="001C38F5"/>
    <w:rsid w:val="001F1E8D"/>
    <w:rsid w:val="00225C08"/>
    <w:rsid w:val="00232D03"/>
    <w:rsid w:val="00241607"/>
    <w:rsid w:val="002614A4"/>
    <w:rsid w:val="00272063"/>
    <w:rsid w:val="00282F54"/>
    <w:rsid w:val="00287570"/>
    <w:rsid w:val="002B4C6C"/>
    <w:rsid w:val="002E4D86"/>
    <w:rsid w:val="00300DD0"/>
    <w:rsid w:val="003101BB"/>
    <w:rsid w:val="003260A0"/>
    <w:rsid w:val="003324B3"/>
    <w:rsid w:val="00336606"/>
    <w:rsid w:val="00386D0E"/>
    <w:rsid w:val="003A6BF4"/>
    <w:rsid w:val="003B07D6"/>
    <w:rsid w:val="003B4F8C"/>
    <w:rsid w:val="003B517B"/>
    <w:rsid w:val="003F1985"/>
    <w:rsid w:val="003F2A60"/>
    <w:rsid w:val="00406145"/>
    <w:rsid w:val="00421AEF"/>
    <w:rsid w:val="00481551"/>
    <w:rsid w:val="00485BD4"/>
    <w:rsid w:val="00494E48"/>
    <w:rsid w:val="004A3516"/>
    <w:rsid w:val="004B2EC2"/>
    <w:rsid w:val="004B4FB6"/>
    <w:rsid w:val="004B6C07"/>
    <w:rsid w:val="004D1639"/>
    <w:rsid w:val="004E1646"/>
    <w:rsid w:val="004E3B7E"/>
    <w:rsid w:val="00503703"/>
    <w:rsid w:val="005139B9"/>
    <w:rsid w:val="00535502"/>
    <w:rsid w:val="00560D0D"/>
    <w:rsid w:val="00583B2A"/>
    <w:rsid w:val="005B12D3"/>
    <w:rsid w:val="005B2336"/>
    <w:rsid w:val="00603259"/>
    <w:rsid w:val="00640C7A"/>
    <w:rsid w:val="00642D9C"/>
    <w:rsid w:val="006466B0"/>
    <w:rsid w:val="00655262"/>
    <w:rsid w:val="00666CDF"/>
    <w:rsid w:val="00676020"/>
    <w:rsid w:val="00685D79"/>
    <w:rsid w:val="006B4F2F"/>
    <w:rsid w:val="006B51E6"/>
    <w:rsid w:val="006B6B01"/>
    <w:rsid w:val="006C264A"/>
    <w:rsid w:val="006D1B24"/>
    <w:rsid w:val="006D2FBA"/>
    <w:rsid w:val="006F38C4"/>
    <w:rsid w:val="007635A1"/>
    <w:rsid w:val="00767632"/>
    <w:rsid w:val="007A15EB"/>
    <w:rsid w:val="007C3F9A"/>
    <w:rsid w:val="007E078E"/>
    <w:rsid w:val="007F6E44"/>
    <w:rsid w:val="0080211A"/>
    <w:rsid w:val="00806F49"/>
    <w:rsid w:val="008319CC"/>
    <w:rsid w:val="008621F3"/>
    <w:rsid w:val="00881120"/>
    <w:rsid w:val="00882008"/>
    <w:rsid w:val="008867D6"/>
    <w:rsid w:val="00890A03"/>
    <w:rsid w:val="008A57C0"/>
    <w:rsid w:val="008B7AD5"/>
    <w:rsid w:val="008C065D"/>
    <w:rsid w:val="008C16F1"/>
    <w:rsid w:val="008D0073"/>
    <w:rsid w:val="008D4CCE"/>
    <w:rsid w:val="008D7335"/>
    <w:rsid w:val="008E6BB3"/>
    <w:rsid w:val="00913F6F"/>
    <w:rsid w:val="009172E3"/>
    <w:rsid w:val="0091780E"/>
    <w:rsid w:val="00924B93"/>
    <w:rsid w:val="00927753"/>
    <w:rsid w:val="0099134D"/>
    <w:rsid w:val="00997A90"/>
    <w:rsid w:val="009B760D"/>
    <w:rsid w:val="009C5DF0"/>
    <w:rsid w:val="009F2799"/>
    <w:rsid w:val="00A03294"/>
    <w:rsid w:val="00A07909"/>
    <w:rsid w:val="00A354C0"/>
    <w:rsid w:val="00A74231"/>
    <w:rsid w:val="00AA263D"/>
    <w:rsid w:val="00AB5CCC"/>
    <w:rsid w:val="00AC27E4"/>
    <w:rsid w:val="00AD55A6"/>
    <w:rsid w:val="00B2259E"/>
    <w:rsid w:val="00B40ED4"/>
    <w:rsid w:val="00B43536"/>
    <w:rsid w:val="00B541D2"/>
    <w:rsid w:val="00B813A8"/>
    <w:rsid w:val="00B90EC6"/>
    <w:rsid w:val="00B9265F"/>
    <w:rsid w:val="00B92C31"/>
    <w:rsid w:val="00B93D39"/>
    <w:rsid w:val="00BA56F1"/>
    <w:rsid w:val="00BA6A41"/>
    <w:rsid w:val="00BA6BD9"/>
    <w:rsid w:val="00BB0E04"/>
    <w:rsid w:val="00BC5EFE"/>
    <w:rsid w:val="00BD231A"/>
    <w:rsid w:val="00BD7542"/>
    <w:rsid w:val="00BE3DDD"/>
    <w:rsid w:val="00C023DD"/>
    <w:rsid w:val="00C12BC1"/>
    <w:rsid w:val="00C14A6C"/>
    <w:rsid w:val="00C209BE"/>
    <w:rsid w:val="00C2458B"/>
    <w:rsid w:val="00C5490D"/>
    <w:rsid w:val="00C60503"/>
    <w:rsid w:val="00C93D1E"/>
    <w:rsid w:val="00C94ECB"/>
    <w:rsid w:val="00CB491B"/>
    <w:rsid w:val="00CC6066"/>
    <w:rsid w:val="00CD6F81"/>
    <w:rsid w:val="00CE2616"/>
    <w:rsid w:val="00CF2456"/>
    <w:rsid w:val="00CF3EA1"/>
    <w:rsid w:val="00D210F8"/>
    <w:rsid w:val="00D25175"/>
    <w:rsid w:val="00D3798D"/>
    <w:rsid w:val="00D419EF"/>
    <w:rsid w:val="00D5587A"/>
    <w:rsid w:val="00D5786B"/>
    <w:rsid w:val="00D71D15"/>
    <w:rsid w:val="00D96BC6"/>
    <w:rsid w:val="00DA74DF"/>
    <w:rsid w:val="00DB5860"/>
    <w:rsid w:val="00DB7297"/>
    <w:rsid w:val="00DD2D38"/>
    <w:rsid w:val="00DE59CF"/>
    <w:rsid w:val="00E27916"/>
    <w:rsid w:val="00E30C53"/>
    <w:rsid w:val="00E43FEB"/>
    <w:rsid w:val="00E61ECF"/>
    <w:rsid w:val="00E67255"/>
    <w:rsid w:val="00E67AD9"/>
    <w:rsid w:val="00E72639"/>
    <w:rsid w:val="00E805E9"/>
    <w:rsid w:val="00E87C5C"/>
    <w:rsid w:val="00EB2DD9"/>
    <w:rsid w:val="00EB4FCD"/>
    <w:rsid w:val="00EC4AB1"/>
    <w:rsid w:val="00EE25C6"/>
    <w:rsid w:val="00EF413E"/>
    <w:rsid w:val="00F339FA"/>
    <w:rsid w:val="00F63D44"/>
    <w:rsid w:val="00F75A65"/>
    <w:rsid w:val="00F80CA4"/>
    <w:rsid w:val="00F9084B"/>
    <w:rsid w:val="00FC6A30"/>
    <w:rsid w:val="00FD5C69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tabs>
        <w:tab w:val="right" w:pos="-1843"/>
      </w:tabs>
      <w:spacing w:before="120" w:after="120" w:line="360" w:lineRule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right" w:pos="8364"/>
      </w:tabs>
      <w:ind w:right="-283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000000"/>
      <w:sz w:val="20"/>
      <w:u w:val="singl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ln"/>
    <w:next w:val="Normln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Zkladntext2">
    <w:name w:val="Body Text 2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pPr>
      <w:tabs>
        <w:tab w:val="right" w:pos="8364"/>
      </w:tabs>
    </w:pPr>
    <w:rPr>
      <w:b/>
      <w:bCs/>
    </w:rPr>
  </w:style>
  <w:style w:type="paragraph" w:styleId="Textvysvtlivek">
    <w:name w:val="endnote text"/>
    <w:basedOn w:val="Normln"/>
    <w:semiHidden/>
    <w:pPr>
      <w:tabs>
        <w:tab w:val="left" w:pos="567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1134" w:hanging="567"/>
    </w:pPr>
    <w:rPr>
      <w:b/>
      <w:color w:val="0000FF"/>
    </w:rPr>
  </w:style>
  <w:style w:type="paragraph" w:styleId="Zkladntext3">
    <w:name w:val="Body Text 3"/>
    <w:basedOn w:val="Normln"/>
    <w:rPr>
      <w:color w:val="000000"/>
    </w:rPr>
  </w:style>
  <w:style w:type="paragraph" w:styleId="Zkladntextodsazen2">
    <w:name w:val="Body Text Indent 2"/>
    <w:basedOn w:val="Normln"/>
    <w:pPr>
      <w:tabs>
        <w:tab w:val="left" w:pos="567"/>
      </w:tabs>
      <w:ind w:left="567" w:hanging="567"/>
    </w:pPr>
    <w:rPr>
      <w:color w:val="0000FF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D6F81"/>
    <w:pPr>
      <w:spacing w:line="260" w:lineRule="atLeast"/>
      <w:ind w:left="708"/>
    </w:pPr>
    <w:rPr>
      <w:snapToGrid w:val="0"/>
      <w:kern w:val="14"/>
      <w:szCs w:val="22"/>
      <w:lang w:val="nl-NL" w:eastAsia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4C7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1A74C7"/>
    <w:rPr>
      <w:rFonts w:ascii="Tahoma" w:hAnsi="Tahoma" w:cs="Tahoma"/>
      <w:sz w:val="16"/>
      <w:szCs w:val="16"/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B0E0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B0E04"/>
    <w:rPr>
      <w:sz w:val="16"/>
      <w:szCs w:val="16"/>
      <w:lang w:val="en-GB" w:eastAsia="en-US"/>
    </w:rPr>
  </w:style>
  <w:style w:type="character" w:customStyle="1" w:styleId="ZpatChar">
    <w:name w:val="Zápatí Char"/>
    <w:link w:val="Zpat"/>
    <w:uiPriority w:val="99"/>
    <w:rsid w:val="008A57C0"/>
    <w:rPr>
      <w:rFonts w:ascii="Arial" w:hAnsi="Arial"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tabs>
        <w:tab w:val="right" w:pos="-1843"/>
      </w:tabs>
      <w:spacing w:before="120" w:after="120" w:line="360" w:lineRule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right" w:pos="8364"/>
      </w:tabs>
      <w:ind w:right="-283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000000"/>
      <w:sz w:val="20"/>
      <w:u w:val="singl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ln"/>
    <w:next w:val="Normln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Zkladntext2">
    <w:name w:val="Body Text 2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pPr>
      <w:tabs>
        <w:tab w:val="right" w:pos="8364"/>
      </w:tabs>
    </w:pPr>
    <w:rPr>
      <w:b/>
      <w:bCs/>
    </w:rPr>
  </w:style>
  <w:style w:type="paragraph" w:styleId="Textvysvtlivek">
    <w:name w:val="endnote text"/>
    <w:basedOn w:val="Normln"/>
    <w:semiHidden/>
    <w:pPr>
      <w:tabs>
        <w:tab w:val="left" w:pos="567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1134" w:hanging="567"/>
    </w:pPr>
    <w:rPr>
      <w:b/>
      <w:color w:val="0000FF"/>
    </w:rPr>
  </w:style>
  <w:style w:type="paragraph" w:styleId="Zkladntext3">
    <w:name w:val="Body Text 3"/>
    <w:basedOn w:val="Normln"/>
    <w:rPr>
      <w:color w:val="000000"/>
    </w:rPr>
  </w:style>
  <w:style w:type="paragraph" w:styleId="Zkladntextodsazen2">
    <w:name w:val="Body Text Indent 2"/>
    <w:basedOn w:val="Normln"/>
    <w:pPr>
      <w:tabs>
        <w:tab w:val="left" w:pos="567"/>
      </w:tabs>
      <w:ind w:left="567" w:hanging="567"/>
    </w:pPr>
    <w:rPr>
      <w:color w:val="0000FF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D6F81"/>
    <w:pPr>
      <w:spacing w:line="260" w:lineRule="atLeast"/>
      <w:ind w:left="708"/>
    </w:pPr>
    <w:rPr>
      <w:snapToGrid w:val="0"/>
      <w:kern w:val="14"/>
      <w:szCs w:val="22"/>
      <w:lang w:val="nl-NL" w:eastAsia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4C7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1A74C7"/>
    <w:rPr>
      <w:rFonts w:ascii="Tahoma" w:hAnsi="Tahoma" w:cs="Tahoma"/>
      <w:sz w:val="16"/>
      <w:szCs w:val="16"/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B0E0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B0E04"/>
    <w:rPr>
      <w:sz w:val="16"/>
      <w:szCs w:val="16"/>
      <w:lang w:val="en-GB" w:eastAsia="en-US"/>
    </w:rPr>
  </w:style>
  <w:style w:type="character" w:customStyle="1" w:styleId="ZpatChar">
    <w:name w:val="Zápatí Char"/>
    <w:link w:val="Zpat"/>
    <w:uiPriority w:val="99"/>
    <w:rsid w:val="008A57C0"/>
    <w:rPr>
      <w:rFonts w:ascii="Arial" w:hAnsi="Arial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2BF0-A26E-4990-8891-CA83BBD2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1270</Words>
  <Characters>7499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LABELLING AND PACKAGE LEAFLET</vt:lpstr>
      <vt:lpstr>LABELLING AND PACKAGE LEAFLET</vt:lpstr>
      <vt:lpstr>LABELLING AND PACKAGE LEAFLET</vt:lpstr>
    </vt:vector>
  </TitlesOfParts>
  <Company>EMEA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LABELLING AND PACKAGE LEAFLET</dc:title>
  <dc:subject>Product Information-EMEA/352398/2009</dc:subject>
  <dc:creator>M.Derkx</dc:creator>
  <cp:lastModifiedBy>Wojtylová Jana</cp:lastModifiedBy>
  <cp:revision>49</cp:revision>
  <cp:lastPrinted>2019-11-15T08:43:00Z</cp:lastPrinted>
  <dcterms:created xsi:type="dcterms:W3CDTF">2019-02-12T12:59:00Z</dcterms:created>
  <dcterms:modified xsi:type="dcterms:W3CDTF">2020-01-20T11:36:00Z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RefFull">
    <vt:lpwstr>EMEA/xxxx/xx/EN</vt:lpwstr>
  </property>
  <property fmtid="{D5CDD505-2E9C-101B-9397-08002B2CF9AE}" pid="3" name="EMEADocClassificationText">
    <vt:lpwstr/>
  </property>
  <property fmtid="{D5CDD505-2E9C-101B-9397-08002B2CF9AE}" pid="4" name="EMEADocClassifcationCode">
    <vt:lpwstr/>
  </property>
  <property fmtid="{D5CDD505-2E9C-101B-9397-08002B2CF9AE}" pid="5" name="EMEADocTypeCode">
    <vt:lpwstr/>
  </property>
  <property fmtid="{D5CDD505-2E9C-101B-9397-08002B2CF9AE}" pid="6" name="EMEDDocRefPart0">
    <vt:lpwstr/>
  </property>
  <property fmtid="{D5CDD505-2E9C-101B-9397-08002B2CF9AE}" pid="7" name="EMEDDocRefPart1">
    <vt:lpwstr/>
  </property>
  <property fmtid="{D5CDD505-2E9C-101B-9397-08002B2CF9AE}" pid="8" name="EMEDDocRefPart2">
    <vt:lpwstr/>
  </property>
  <property fmtid="{D5CDD505-2E9C-101B-9397-08002B2CF9AE}" pid="9" name="EMEDDocRefPart3">
    <vt:lpwstr/>
  </property>
  <property fmtid="{D5CDD505-2E9C-101B-9397-08002B2CF9AE}" pid="10" name="EMEADocRefNum">
    <vt:lpwstr/>
  </property>
  <property fmtid="{D5CDD505-2E9C-101B-9397-08002B2CF9AE}" pid="11" name="EMEADocRefYear">
    <vt:lpwstr/>
  </property>
  <property fmtid="{D5CDD505-2E9C-101B-9397-08002B2CF9AE}" pid="12" name="EMEADocRefRoot">
    <vt:lpwstr/>
  </property>
  <property fmtid="{D5CDD505-2E9C-101B-9397-08002B2CF9AE}" pid="13" name="EMEADocRefPartFreeText">
    <vt:lpwstr/>
  </property>
  <property fmtid="{D5CDD505-2E9C-101B-9397-08002B2CF9AE}" pid="14" name="EMEADocVersion">
    <vt:lpwstr/>
  </property>
  <property fmtid="{D5CDD505-2E9C-101B-9397-08002B2CF9AE}" pid="15" name="EMEADocLanguage">
    <vt:lpwstr/>
  </property>
  <property fmtid="{D5CDD505-2E9C-101B-9397-08002B2CF9AE}" pid="16" name="EMEADocStatus">
    <vt:lpwstr/>
  </property>
  <property fmtid="{D5CDD505-2E9C-101B-9397-08002B2CF9AE}" pid="17" name="EMEADocDateDay">
    <vt:lpwstr/>
  </property>
  <property fmtid="{D5CDD505-2E9C-101B-9397-08002B2CF9AE}" pid="18" name="EMEADocDateYear">
    <vt:lpwstr/>
  </property>
  <property fmtid="{D5CDD505-2E9C-101B-9397-08002B2CF9AE}" pid="19" name="EMEADocDateMonth">
    <vt:lpwstr/>
  </property>
  <property fmtid="{D5CDD505-2E9C-101B-9397-08002B2CF9AE}" pid="20" name="EMEADocDate">
    <vt:lpwstr/>
  </property>
  <property fmtid="{D5CDD505-2E9C-101B-9397-08002B2CF9AE}" pid="21" name="EMEADocTitle">
    <vt:lpwstr/>
  </property>
  <property fmtid="{D5CDD505-2E9C-101B-9397-08002B2CF9AE}" pid="22" name="EMEADocExtCatTitle">
    <vt:lpwstr/>
  </property>
  <property fmtid="{D5CDD505-2E9C-101B-9397-08002B2CF9AE}" pid="23" name="DM_Status">
    <vt:lpwstr/>
  </property>
  <property fmtid="{D5CDD505-2E9C-101B-9397-08002B2CF9AE}" pid="24" name="DM_Authors">
    <vt:lpwstr/>
  </property>
  <property fmtid="{D5CDD505-2E9C-101B-9397-08002B2CF9AE}" pid="25" name="DM_Keywords">
    <vt:lpwstr/>
  </property>
  <property fmtid="{D5CDD505-2E9C-101B-9397-08002B2CF9AE}" pid="26" name="DM_Subject">
    <vt:lpwstr>Product Information-EMEA/352398/2009</vt:lpwstr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Name">
    <vt:lpwstr>V-152-PI-en</vt:lpwstr>
  </property>
  <property fmtid="{D5CDD505-2E9C-101B-9397-08002B2CF9AE}" pid="30" name="DM_Owner">
    <vt:lpwstr>Dauzier Delphine</vt:lpwstr>
  </property>
  <property fmtid="{D5CDD505-2E9C-101B-9397-08002B2CF9AE}" pid="31" name="DM_Creation_Date">
    <vt:lpwstr>05/06/2009 15:15:45</vt:lpwstr>
  </property>
  <property fmtid="{D5CDD505-2E9C-101B-9397-08002B2CF9AE}" pid="32" name="DM_Creator_Name">
    <vt:lpwstr>Dauzier Delphine</vt:lpwstr>
  </property>
  <property fmtid="{D5CDD505-2E9C-101B-9397-08002B2CF9AE}" pid="33" name="DM_Modifer_Name">
    <vt:lpwstr>Dauzier Delphine</vt:lpwstr>
  </property>
  <property fmtid="{D5CDD505-2E9C-101B-9397-08002B2CF9AE}" pid="34" name="DM_Modified_Date">
    <vt:lpwstr>05/06/2009 15:16:01</vt:lpwstr>
  </property>
  <property fmtid="{D5CDD505-2E9C-101B-9397-08002B2CF9AE}" pid="35" name="DM_Type">
    <vt:lpwstr>emea_product_document</vt:lpwstr>
  </property>
  <property fmtid="{D5CDD505-2E9C-101B-9397-08002B2CF9AE}" pid="36" name="DM_Version">
    <vt:lpwstr>0.1, CURRENT</vt:lpwstr>
  </property>
  <property fmtid="{D5CDD505-2E9C-101B-9397-08002B2CF9AE}" pid="37" name="DM_emea_doc_ref_id">
    <vt:lpwstr>EMEA/352398/2009</vt:lpwstr>
  </property>
  <property fmtid="{D5CDD505-2E9C-101B-9397-08002B2CF9AE}" pid="38" name="DM_emea_cc">
    <vt:lpwstr/>
  </property>
  <property fmtid="{D5CDD505-2E9C-101B-9397-08002B2CF9AE}" pid="39" name="DM_emea_message_subject">
    <vt:lpwstr/>
  </property>
  <property fmtid="{D5CDD505-2E9C-101B-9397-08002B2CF9AE}" pid="40" name="DM_emea_doc_number">
    <vt:lpwstr>352398</vt:lpwstr>
  </property>
  <property fmtid="{D5CDD505-2E9C-101B-9397-08002B2CF9AE}" pid="41" name="DM_emea_received_date">
    <vt:lpwstr>nulldate</vt:lpwstr>
  </property>
  <property fmtid="{D5CDD505-2E9C-101B-9397-08002B2CF9AE}" pid="42" name="DM_emea_resp_body">
    <vt:lpwstr/>
  </property>
  <property fmtid="{D5CDD505-2E9C-101B-9397-08002B2CF9AE}" pid="43" name="DM_emea_revision_label">
    <vt:lpwstr/>
  </property>
  <property fmtid="{D5CDD505-2E9C-101B-9397-08002B2CF9AE}" pid="44" name="DM_emea_to">
    <vt:lpwstr/>
  </property>
  <property fmtid="{D5CDD505-2E9C-101B-9397-08002B2CF9AE}" pid="45" name="DM_emea_bcc">
    <vt:lpwstr/>
  </property>
  <property fmtid="{D5CDD505-2E9C-101B-9397-08002B2CF9AE}" pid="46" name="DM_emea_doc_category">
    <vt:lpwstr>Product Information</vt:lpwstr>
  </property>
  <property fmtid="{D5CDD505-2E9C-101B-9397-08002B2CF9AE}" pid="47" name="DM_emea_from">
    <vt:lpwstr/>
  </property>
  <property fmtid="{D5CDD505-2E9C-101B-9397-08002B2CF9AE}" pid="48" name="DM_emea_internal_label">
    <vt:lpwstr>EMEA</vt:lpwstr>
  </property>
  <property fmtid="{D5CDD505-2E9C-101B-9397-08002B2CF9AE}" pid="49" name="DM_emea_legal_date">
    <vt:lpwstr>nulldate</vt:lpwstr>
  </property>
  <property fmtid="{D5CDD505-2E9C-101B-9397-08002B2CF9AE}" pid="50" name="DM_emea_year">
    <vt:lpwstr>2009</vt:lpwstr>
  </property>
  <property fmtid="{D5CDD505-2E9C-101B-9397-08002B2CF9AE}" pid="51" name="DM_emea_sent_date">
    <vt:lpwstr>nulldate</vt:lpwstr>
  </property>
  <property fmtid="{D5CDD505-2E9C-101B-9397-08002B2CF9AE}" pid="52" name="DM_emea_doc_lang">
    <vt:lpwstr/>
  </property>
  <property fmtid="{D5CDD505-2E9C-101B-9397-08002B2CF9AE}" pid="53" name="DM_emea_meeting_status">
    <vt:lpwstr/>
  </property>
  <property fmtid="{D5CDD505-2E9C-101B-9397-08002B2CF9AE}" pid="54" name="DM_emea_meeting_action">
    <vt:lpwstr/>
  </property>
  <property fmtid="{D5CDD505-2E9C-101B-9397-08002B2CF9AE}" pid="55" name="DM_emea_meeting_hyperlink">
    <vt:lpwstr/>
  </property>
  <property fmtid="{D5CDD505-2E9C-101B-9397-08002B2CF9AE}" pid="56" name="DM_emea_meeting_title">
    <vt:lpwstr/>
  </property>
  <property fmtid="{D5CDD505-2E9C-101B-9397-08002B2CF9AE}" pid="57" name="DM_emea_meeting_ref">
    <vt:lpwstr/>
  </property>
  <property fmtid="{D5CDD505-2E9C-101B-9397-08002B2CF9AE}" pid="58" name="DM_emea_meeting_flags">
    <vt:lpwstr/>
  </property>
  <property fmtid="{D5CDD505-2E9C-101B-9397-08002B2CF9AE}" pid="59" name="DM_emea_module">
    <vt:lpwstr/>
  </property>
  <property fmtid="{D5CDD505-2E9C-101B-9397-08002B2CF9AE}" pid="60" name="DM_emea_procedure_ref">
    <vt:lpwstr>EMEA/V/C/000152</vt:lpwstr>
  </property>
  <property fmtid="{D5CDD505-2E9C-101B-9397-08002B2CF9AE}" pid="61" name="DM_emea_domain">
    <vt:lpwstr>V</vt:lpwstr>
  </property>
  <property fmtid="{D5CDD505-2E9C-101B-9397-08002B2CF9AE}" pid="62" name="DM_emea_procedure">
    <vt:lpwstr>C</vt:lpwstr>
  </property>
  <property fmtid="{D5CDD505-2E9C-101B-9397-08002B2CF9AE}" pid="63" name="DM_emea_procedure_type">
    <vt:lpwstr/>
  </property>
  <property fmtid="{D5CDD505-2E9C-101B-9397-08002B2CF9AE}" pid="64" name="DM_emea_procedure_number">
    <vt:lpwstr/>
  </property>
  <property fmtid="{D5CDD505-2E9C-101B-9397-08002B2CF9AE}" pid="65" name="DM_emea_product_number">
    <vt:lpwstr>000152</vt:lpwstr>
  </property>
  <property fmtid="{D5CDD505-2E9C-101B-9397-08002B2CF9AE}" pid="66" name="DM_emea_product_substance">
    <vt:lpwstr>Melovem</vt:lpwstr>
  </property>
  <property fmtid="{D5CDD505-2E9C-101B-9397-08002B2CF9AE}" pid="67" name="DM_emea_par_dist">
    <vt:lpwstr/>
  </property>
</Properties>
</file>