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FF" w:rsidRPr="00A40EC9" w:rsidRDefault="00C114FF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A40EC9">
        <w:rPr>
          <w:b/>
          <w:szCs w:val="22"/>
        </w:rPr>
        <w:t>PŘÍBALOVÁ INFORMACE:</w:t>
      </w:r>
    </w:p>
    <w:p w:rsidR="00026194" w:rsidRPr="00A40EC9" w:rsidRDefault="005B579F" w:rsidP="009E76D1">
      <w:pPr>
        <w:tabs>
          <w:tab w:val="clear" w:pos="567"/>
        </w:tabs>
        <w:spacing w:line="240" w:lineRule="auto"/>
        <w:jc w:val="center"/>
        <w:rPr>
          <w:b/>
          <w:bCs/>
          <w:szCs w:val="22"/>
        </w:rPr>
      </w:pPr>
      <w:r w:rsidRPr="00A40EC9">
        <w:rPr>
          <w:b/>
          <w:bCs/>
          <w:szCs w:val="22"/>
        </w:rPr>
        <w:t xml:space="preserve">Propomitor 10 mg/ml injekční/infuzní emulze pro psy a kočky </w:t>
      </w:r>
    </w:p>
    <w:p w:rsidR="00C114FF" w:rsidRPr="00A40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A40EC9" w:rsidRDefault="00C114FF" w:rsidP="00A9226B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 w:rsidRPr="00A40EC9">
        <w:rPr>
          <w:b/>
          <w:szCs w:val="22"/>
          <w:highlight w:val="lightGray"/>
        </w:rPr>
        <w:t>1.</w:t>
      </w:r>
      <w:r w:rsidRPr="00A40EC9">
        <w:rPr>
          <w:b/>
          <w:szCs w:val="22"/>
        </w:rPr>
        <w:tab/>
        <w:t>JMÉNO A ADRESA DRŽITELE ROZHODNUTÍ O REGISTRACI A DRŽITELE POVOLENÍ K VÝROBĚ ODPOVĚDNÉHO ZA UVOLNĚNÍ ŠARŽE, POKUD SE NESHODUJE</w:t>
      </w:r>
    </w:p>
    <w:p w:rsidR="00C114FF" w:rsidRPr="00A40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A40EC9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A40EC9">
        <w:rPr>
          <w:iCs/>
          <w:szCs w:val="22"/>
          <w:u w:val="single"/>
        </w:rPr>
        <w:t>Držitel rozhodnutí o registraci a výrobce odpovědný za uvolnění šarže</w:t>
      </w:r>
      <w:r w:rsidRPr="00A40EC9">
        <w:t>:</w:t>
      </w:r>
    </w:p>
    <w:p w:rsidR="00B11CA1" w:rsidRPr="00A40EC9" w:rsidRDefault="00B11CA1" w:rsidP="00B11CA1">
      <w:pPr>
        <w:tabs>
          <w:tab w:val="clear" w:pos="567"/>
        </w:tabs>
        <w:spacing w:line="240" w:lineRule="auto"/>
        <w:rPr>
          <w:szCs w:val="22"/>
        </w:rPr>
      </w:pPr>
      <w:r w:rsidRPr="00A40EC9">
        <w:t>Orion Corporation</w:t>
      </w:r>
    </w:p>
    <w:p w:rsidR="00B11CA1" w:rsidRPr="00A40EC9" w:rsidRDefault="00B11CA1" w:rsidP="00B11CA1">
      <w:pPr>
        <w:tabs>
          <w:tab w:val="clear" w:pos="567"/>
        </w:tabs>
        <w:spacing w:line="240" w:lineRule="auto"/>
        <w:rPr>
          <w:szCs w:val="22"/>
        </w:rPr>
      </w:pPr>
      <w:r w:rsidRPr="00A40EC9">
        <w:t>Orionintie 1</w:t>
      </w:r>
    </w:p>
    <w:p w:rsidR="00B11CA1" w:rsidRPr="00A40EC9" w:rsidRDefault="00B11CA1" w:rsidP="00B11CA1">
      <w:pPr>
        <w:tabs>
          <w:tab w:val="clear" w:pos="567"/>
        </w:tabs>
        <w:spacing w:line="240" w:lineRule="auto"/>
        <w:rPr>
          <w:szCs w:val="22"/>
        </w:rPr>
      </w:pPr>
      <w:r w:rsidRPr="00A40EC9">
        <w:t>FI-02200 Espoo</w:t>
      </w:r>
    </w:p>
    <w:p w:rsidR="00B11CA1" w:rsidRPr="00A40EC9" w:rsidRDefault="00B11CA1" w:rsidP="00A9226B">
      <w:pPr>
        <w:tabs>
          <w:tab w:val="clear" w:pos="567"/>
        </w:tabs>
        <w:spacing w:line="240" w:lineRule="auto"/>
        <w:rPr>
          <w:szCs w:val="22"/>
        </w:rPr>
      </w:pPr>
      <w:r w:rsidRPr="00A40EC9">
        <w:t>Finsko</w:t>
      </w:r>
    </w:p>
    <w:p w:rsidR="00B11CA1" w:rsidRPr="00A40EC9" w:rsidRDefault="00B11CA1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A40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A40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r w:rsidRPr="00A40EC9">
        <w:rPr>
          <w:b/>
          <w:szCs w:val="22"/>
          <w:highlight w:val="lightGray"/>
        </w:rPr>
        <w:t>2.</w:t>
      </w:r>
      <w:r w:rsidRPr="00A40EC9">
        <w:rPr>
          <w:b/>
          <w:szCs w:val="22"/>
        </w:rPr>
        <w:tab/>
        <w:t>NÁZEV VETERINÁRNÍHO LÉČIVÉHO PŘÍPRAVKU</w:t>
      </w:r>
    </w:p>
    <w:p w:rsidR="00C114FF" w:rsidRPr="00A40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A40EC9" w:rsidRDefault="00827F49" w:rsidP="00A9226B">
      <w:pPr>
        <w:tabs>
          <w:tab w:val="clear" w:pos="567"/>
        </w:tabs>
        <w:spacing w:line="240" w:lineRule="auto"/>
        <w:rPr>
          <w:szCs w:val="22"/>
        </w:rPr>
      </w:pPr>
      <w:r w:rsidRPr="00A40EC9">
        <w:t>Propomitor 10 mg/ml injekční/infuzní emulze pro psy a kočky</w:t>
      </w:r>
    </w:p>
    <w:p w:rsidR="005F597F" w:rsidRPr="00A40EC9" w:rsidRDefault="005F597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A40EC9" w:rsidRDefault="009E76D1" w:rsidP="00A9226B">
      <w:pPr>
        <w:tabs>
          <w:tab w:val="clear" w:pos="567"/>
        </w:tabs>
        <w:spacing w:line="240" w:lineRule="auto"/>
        <w:rPr>
          <w:szCs w:val="22"/>
        </w:rPr>
      </w:pPr>
      <w:r>
        <w:t>P</w:t>
      </w:r>
      <w:r w:rsidR="005F597F" w:rsidRPr="00A40EC9">
        <w:t>ropofol</w:t>
      </w:r>
      <w:r>
        <w:t>um</w:t>
      </w:r>
    </w:p>
    <w:p w:rsidR="00C114FF" w:rsidRPr="00A40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A40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A40EC9" w:rsidRDefault="00C114FF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A40EC9">
        <w:rPr>
          <w:b/>
          <w:szCs w:val="22"/>
          <w:highlight w:val="lightGray"/>
        </w:rPr>
        <w:t>3.</w:t>
      </w:r>
      <w:r w:rsidRPr="00A40EC9">
        <w:rPr>
          <w:b/>
          <w:szCs w:val="22"/>
        </w:rPr>
        <w:tab/>
        <w:t>OBSAH LÉČIVÝCH A OSTATNÍCH LÁTEK</w:t>
      </w:r>
    </w:p>
    <w:p w:rsidR="00C114FF" w:rsidRPr="00A40EC9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:rsidR="00026194" w:rsidRPr="00A40EC9" w:rsidRDefault="00026194" w:rsidP="00026194">
      <w:pPr>
        <w:tabs>
          <w:tab w:val="clear" w:pos="567"/>
        </w:tabs>
        <w:spacing w:line="240" w:lineRule="auto"/>
        <w:rPr>
          <w:szCs w:val="22"/>
        </w:rPr>
      </w:pPr>
      <w:r w:rsidRPr="00A40EC9">
        <w:t>Každý ml obsahuje propofol</w:t>
      </w:r>
      <w:r w:rsidR="009E76D1">
        <w:t xml:space="preserve">um </w:t>
      </w:r>
      <w:r w:rsidRPr="00A40EC9">
        <w:tab/>
        <w:t>10 mg</w:t>
      </w:r>
    </w:p>
    <w:p w:rsidR="00026194" w:rsidRPr="00A40EC9" w:rsidRDefault="00026194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:rsidR="005F597F" w:rsidRPr="00A40EC9" w:rsidRDefault="005F597F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A40EC9">
        <w:t>Injekční/infuzní emulze.</w:t>
      </w:r>
    </w:p>
    <w:p w:rsidR="005F597F" w:rsidRPr="00A40EC9" w:rsidRDefault="005F597F" w:rsidP="005F597F">
      <w:pPr>
        <w:tabs>
          <w:tab w:val="clear" w:pos="567"/>
        </w:tabs>
        <w:spacing w:line="240" w:lineRule="auto"/>
        <w:rPr>
          <w:szCs w:val="22"/>
        </w:rPr>
      </w:pPr>
      <w:r w:rsidRPr="00A40EC9">
        <w:t>Bílá nebo téměř bílá homogenní emulze.</w:t>
      </w:r>
    </w:p>
    <w:p w:rsidR="005F597F" w:rsidRPr="00A40EC9" w:rsidRDefault="005F597F" w:rsidP="005F597F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A40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A40EC9" w:rsidRDefault="00C114FF" w:rsidP="00895A2F">
      <w:pPr>
        <w:tabs>
          <w:tab w:val="clear" w:pos="567"/>
        </w:tabs>
        <w:spacing w:line="240" w:lineRule="auto"/>
        <w:rPr>
          <w:b/>
          <w:szCs w:val="22"/>
        </w:rPr>
      </w:pPr>
      <w:r w:rsidRPr="00A40EC9">
        <w:rPr>
          <w:b/>
          <w:szCs w:val="22"/>
          <w:highlight w:val="lightGray"/>
        </w:rPr>
        <w:t>4.</w:t>
      </w:r>
      <w:r w:rsidRPr="00A40EC9">
        <w:rPr>
          <w:b/>
          <w:szCs w:val="22"/>
        </w:rPr>
        <w:tab/>
        <w:t>INDIKACE</w:t>
      </w:r>
    </w:p>
    <w:p w:rsidR="00C114FF" w:rsidRPr="00A40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5F597F" w:rsidRPr="00A40EC9" w:rsidRDefault="00401C9C" w:rsidP="00F00007">
      <w:pPr>
        <w:numPr>
          <w:ilvl w:val="0"/>
          <w:numId w:val="38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A40EC9">
        <w:t>Celková anest</w:t>
      </w:r>
      <w:r w:rsidR="00A06EAF">
        <w:t>é</w:t>
      </w:r>
      <w:r w:rsidRPr="00A40EC9">
        <w:t>zie pro krátk</w:t>
      </w:r>
      <w:r w:rsidR="00B85D71">
        <w:t>odobé</w:t>
      </w:r>
      <w:r w:rsidRPr="00A40EC9">
        <w:t xml:space="preserve"> zákroky trvající max. pět minut.</w:t>
      </w:r>
    </w:p>
    <w:p w:rsidR="005F597F" w:rsidRPr="00A40EC9" w:rsidRDefault="005F597F" w:rsidP="005F597F">
      <w:pPr>
        <w:tabs>
          <w:tab w:val="clear" w:pos="567"/>
        </w:tabs>
        <w:spacing w:line="240" w:lineRule="auto"/>
        <w:rPr>
          <w:szCs w:val="22"/>
        </w:rPr>
      </w:pPr>
    </w:p>
    <w:p w:rsidR="005F597F" w:rsidRPr="00A40EC9" w:rsidRDefault="00B85D71" w:rsidP="00F00007">
      <w:pPr>
        <w:numPr>
          <w:ilvl w:val="0"/>
          <w:numId w:val="38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>
        <w:t>Úvod do anestézie</w:t>
      </w:r>
      <w:r w:rsidRPr="00A40EC9">
        <w:t xml:space="preserve"> </w:t>
      </w:r>
      <w:r w:rsidR="00401C9C" w:rsidRPr="00A40EC9">
        <w:t>a udržování celkové anest</w:t>
      </w:r>
      <w:r w:rsidR="00A06EAF">
        <w:t>é</w:t>
      </w:r>
      <w:r w:rsidR="00401C9C" w:rsidRPr="00A40EC9">
        <w:t xml:space="preserve">zie </w:t>
      </w:r>
      <w:r>
        <w:t>přírůstkovým</w:t>
      </w:r>
      <w:r w:rsidRPr="00A40EC9">
        <w:t xml:space="preserve"> </w:t>
      </w:r>
      <w:r w:rsidR="00401C9C" w:rsidRPr="00A40EC9">
        <w:t>podáváním dávek do vyvolání účinku nebo podáváním pomocí inf</w:t>
      </w:r>
      <w:r w:rsidR="00A06EAF">
        <w:t>ú</w:t>
      </w:r>
      <w:r w:rsidR="00401C9C" w:rsidRPr="00A40EC9">
        <w:t>ze s konstantní rychlostí (CRI).</w:t>
      </w:r>
    </w:p>
    <w:p w:rsidR="005F597F" w:rsidRPr="00A40EC9" w:rsidRDefault="005F597F" w:rsidP="005F597F">
      <w:pPr>
        <w:tabs>
          <w:tab w:val="clear" w:pos="567"/>
        </w:tabs>
        <w:spacing w:line="240" w:lineRule="auto"/>
        <w:rPr>
          <w:szCs w:val="22"/>
        </w:rPr>
      </w:pPr>
    </w:p>
    <w:p w:rsidR="005F597F" w:rsidRPr="00A40EC9" w:rsidRDefault="00401C9C" w:rsidP="00F00007">
      <w:pPr>
        <w:numPr>
          <w:ilvl w:val="0"/>
          <w:numId w:val="38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A40EC9">
        <w:t>Vyvolání celkové anest</w:t>
      </w:r>
      <w:r w:rsidR="00A06EAF">
        <w:t>é</w:t>
      </w:r>
      <w:r w:rsidRPr="00A40EC9">
        <w:t>zie, kdy je udržování anest</w:t>
      </w:r>
      <w:r w:rsidR="00A06EAF">
        <w:t>é</w:t>
      </w:r>
      <w:r w:rsidRPr="00A40EC9">
        <w:t>zie zajištěno inhalací anest</w:t>
      </w:r>
      <w:r w:rsidR="00A06EAF">
        <w:t>é</w:t>
      </w:r>
      <w:r w:rsidRPr="00A40EC9">
        <w:t>tických látek.</w:t>
      </w:r>
    </w:p>
    <w:p w:rsidR="005F597F" w:rsidRPr="00A40EC9" w:rsidRDefault="005F597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A40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A40EC9" w:rsidRDefault="00C114FF" w:rsidP="00895A2F">
      <w:pPr>
        <w:tabs>
          <w:tab w:val="clear" w:pos="567"/>
        </w:tabs>
        <w:spacing w:line="240" w:lineRule="auto"/>
        <w:rPr>
          <w:b/>
          <w:szCs w:val="22"/>
        </w:rPr>
      </w:pPr>
      <w:r w:rsidRPr="00A40EC9">
        <w:rPr>
          <w:b/>
          <w:szCs w:val="22"/>
          <w:highlight w:val="lightGray"/>
        </w:rPr>
        <w:t>5.</w:t>
      </w:r>
      <w:r w:rsidRPr="00A40EC9">
        <w:rPr>
          <w:b/>
          <w:szCs w:val="22"/>
        </w:rPr>
        <w:tab/>
        <w:t>KONTRAINDIKACE</w:t>
      </w:r>
    </w:p>
    <w:p w:rsidR="00C114FF" w:rsidRPr="00A40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5F597F" w:rsidRPr="00A40EC9" w:rsidRDefault="005F597F" w:rsidP="005F597F">
      <w:pPr>
        <w:tabs>
          <w:tab w:val="clear" w:pos="567"/>
        </w:tabs>
        <w:spacing w:line="240" w:lineRule="auto"/>
        <w:rPr>
          <w:szCs w:val="22"/>
        </w:rPr>
      </w:pPr>
      <w:r w:rsidRPr="00A40EC9">
        <w:t>Nepoužívat v případech přecitlivělosti na léčivou látku nebo na některou z pomocných látek.</w:t>
      </w:r>
    </w:p>
    <w:p w:rsidR="00C114FF" w:rsidRPr="00A40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5F597F" w:rsidRPr="00A40EC9" w:rsidRDefault="005F597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A40EC9" w:rsidRDefault="00C114FF" w:rsidP="00895A2F">
      <w:pPr>
        <w:tabs>
          <w:tab w:val="clear" w:pos="567"/>
        </w:tabs>
        <w:spacing w:line="240" w:lineRule="auto"/>
        <w:rPr>
          <w:szCs w:val="22"/>
        </w:rPr>
      </w:pPr>
      <w:r w:rsidRPr="00A40EC9">
        <w:rPr>
          <w:b/>
          <w:szCs w:val="22"/>
          <w:highlight w:val="lightGray"/>
        </w:rPr>
        <w:t>6.</w:t>
      </w:r>
      <w:r w:rsidRPr="00A40EC9">
        <w:rPr>
          <w:b/>
          <w:szCs w:val="22"/>
        </w:rPr>
        <w:tab/>
        <w:t>NEŽÁDOUCÍ ÚČINKY</w:t>
      </w:r>
    </w:p>
    <w:p w:rsidR="00C114FF" w:rsidRPr="00A40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401C9C" w:rsidRPr="00A40EC9" w:rsidRDefault="00401C9C" w:rsidP="00401C9C">
      <w:pPr>
        <w:tabs>
          <w:tab w:val="clear" w:pos="567"/>
        </w:tabs>
        <w:spacing w:line="240" w:lineRule="auto"/>
      </w:pPr>
      <w:r w:rsidRPr="00A40EC9">
        <w:t>Velmi časté nežádoucí účinky: apnoe.</w:t>
      </w:r>
    </w:p>
    <w:p w:rsidR="00401C9C" w:rsidRPr="00A40EC9" w:rsidRDefault="00401C9C" w:rsidP="00401C9C">
      <w:pPr>
        <w:tabs>
          <w:tab w:val="clear" w:pos="567"/>
        </w:tabs>
        <w:spacing w:line="240" w:lineRule="auto"/>
        <w:rPr>
          <w:szCs w:val="22"/>
        </w:rPr>
      </w:pPr>
      <w:r w:rsidRPr="00A40EC9">
        <w:t xml:space="preserve">Časté nežádoucí účinky: bradykardie, arytmie, mírná hypotenze, známky vzrušení (pohybování končetinami, myoklonus, nystagmus, opistotonus), </w:t>
      </w:r>
      <w:r w:rsidR="00B85D71">
        <w:t>zvracení, říhání</w:t>
      </w:r>
      <w:r w:rsidRPr="00A40EC9">
        <w:t xml:space="preserve">, hypersalivace, kýchání, mnutí obličeje/nosu a pomalé zotavování. </w:t>
      </w:r>
      <w:r w:rsidR="00A57AA8" w:rsidRPr="00A40EC9">
        <w:t>Pokud je propofol používán bez premedikace jako jediná látka vyvolávající anest</w:t>
      </w:r>
      <w:r w:rsidR="00A06EAF">
        <w:t>é</w:t>
      </w:r>
      <w:r w:rsidR="00A57AA8" w:rsidRPr="00A40EC9">
        <w:t>zii, může být u psů pozorováno krátké přechodné zvýšení arteriálního krevního tlaku.</w:t>
      </w:r>
    </w:p>
    <w:p w:rsidR="00401C9C" w:rsidRPr="00A40EC9" w:rsidRDefault="00401C9C" w:rsidP="00401C9C">
      <w:pPr>
        <w:tabs>
          <w:tab w:val="clear" w:pos="567"/>
        </w:tabs>
        <w:spacing w:line="240" w:lineRule="auto"/>
        <w:rPr>
          <w:szCs w:val="22"/>
        </w:rPr>
      </w:pPr>
      <w:r w:rsidRPr="00A40EC9">
        <w:t>Neobvyklé nežádoucí účinky: zvýšení glukózy</w:t>
      </w:r>
      <w:r w:rsidR="00B85D71">
        <w:t xml:space="preserve"> v krvi</w:t>
      </w:r>
      <w:r w:rsidRPr="00A40EC9">
        <w:t>, bolest</w:t>
      </w:r>
      <w:r w:rsidR="00B85D71">
        <w:t>ivost</w:t>
      </w:r>
      <w:r w:rsidRPr="00A40EC9">
        <w:t xml:space="preserve"> v místě </w:t>
      </w:r>
      <w:r w:rsidR="00B85D71">
        <w:t>intravenózního</w:t>
      </w:r>
      <w:r w:rsidRPr="00A40EC9">
        <w:t xml:space="preserve"> podání.</w:t>
      </w:r>
    </w:p>
    <w:p w:rsidR="00401C9C" w:rsidRPr="00A40EC9" w:rsidRDefault="00B85D71" w:rsidP="00401C9C">
      <w:pPr>
        <w:tabs>
          <w:tab w:val="clear" w:pos="567"/>
        </w:tabs>
        <w:spacing w:line="240" w:lineRule="auto"/>
        <w:rPr>
          <w:szCs w:val="22"/>
        </w:rPr>
      </w:pPr>
      <w:r>
        <w:t>U koček</w:t>
      </w:r>
      <w:r w:rsidR="00A06EAF">
        <w:t xml:space="preserve"> podstupujícíchopakovanou anesté</w:t>
      </w:r>
      <w:r>
        <w:t>zii byla zaznamenána tvorba Heinzových tělísek, anorexie, průjem a mírný edém obličeje.</w:t>
      </w:r>
      <w:r w:rsidR="00401C9C" w:rsidRPr="00A40EC9">
        <w:t>Také může dojít k pomalejšímu zotavování. Omezení opakované anest</w:t>
      </w:r>
      <w:r w:rsidR="00A06EAF">
        <w:t>é</w:t>
      </w:r>
      <w:r w:rsidR="00401C9C" w:rsidRPr="00A40EC9">
        <w:t>zie na intervaly delší než 48 hodin sníží pravděpodobnost výskytů těchto účinků.</w:t>
      </w:r>
    </w:p>
    <w:p w:rsidR="00401C9C" w:rsidRPr="00A40EC9" w:rsidRDefault="00401C9C" w:rsidP="00401C9C">
      <w:pPr>
        <w:tabs>
          <w:tab w:val="clear" w:pos="567"/>
        </w:tabs>
        <w:spacing w:line="240" w:lineRule="auto"/>
        <w:rPr>
          <w:szCs w:val="22"/>
        </w:rPr>
      </w:pPr>
      <w:r w:rsidRPr="00A40EC9">
        <w:t>Tyto účinky jsou obecně přechodné a samy odezní.</w:t>
      </w:r>
    </w:p>
    <w:p w:rsidR="00401C9C" w:rsidRPr="00A40EC9" w:rsidRDefault="00401C9C" w:rsidP="00401C9C">
      <w:pPr>
        <w:tabs>
          <w:tab w:val="clear" w:pos="567"/>
        </w:tabs>
        <w:spacing w:line="240" w:lineRule="auto"/>
        <w:rPr>
          <w:szCs w:val="22"/>
        </w:rPr>
      </w:pPr>
    </w:p>
    <w:p w:rsidR="00401C9C" w:rsidRPr="00A40EC9" w:rsidRDefault="00401C9C" w:rsidP="00401C9C">
      <w:pPr>
        <w:tabs>
          <w:tab w:val="clear" w:pos="567"/>
        </w:tabs>
        <w:spacing w:line="240" w:lineRule="auto"/>
        <w:rPr>
          <w:szCs w:val="22"/>
        </w:rPr>
      </w:pPr>
      <w:r w:rsidRPr="00A40EC9">
        <w:t xml:space="preserve">Četnost nežádoucích účinků je charakterizována podle následujících pravidel: </w:t>
      </w:r>
    </w:p>
    <w:p w:rsidR="00401C9C" w:rsidRPr="00A40EC9" w:rsidRDefault="00401C9C" w:rsidP="00F00007">
      <w:pPr>
        <w:numPr>
          <w:ilvl w:val="0"/>
          <w:numId w:val="39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A40EC9">
        <w:t>velmi časté (nežádoucí účinek(nky) se projevil(y) u více než 1 z 10 ošetřených zvířat)</w:t>
      </w:r>
    </w:p>
    <w:p w:rsidR="00401C9C" w:rsidRPr="00A40EC9" w:rsidRDefault="00401C9C" w:rsidP="00F00007">
      <w:pPr>
        <w:numPr>
          <w:ilvl w:val="0"/>
          <w:numId w:val="39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A40EC9">
        <w:t>časté (u více než 1, ale méně než 10 ze 100 ošetřených zvířat)</w:t>
      </w:r>
    </w:p>
    <w:p w:rsidR="00401C9C" w:rsidRPr="00A40EC9" w:rsidRDefault="00401C9C" w:rsidP="00F00007">
      <w:pPr>
        <w:numPr>
          <w:ilvl w:val="0"/>
          <w:numId w:val="39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A40EC9">
        <w:t>neobvyklé (u více než 1, ale méně než 10 z 1 000 ošetřených zvířat)</w:t>
      </w:r>
    </w:p>
    <w:p w:rsidR="00401C9C" w:rsidRPr="00A40EC9" w:rsidRDefault="00401C9C" w:rsidP="00F00007">
      <w:pPr>
        <w:numPr>
          <w:ilvl w:val="0"/>
          <w:numId w:val="39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A40EC9">
        <w:t>vzácné (u více než 1, ale méně než 10 z 10 000 ošetřených zvířat)</w:t>
      </w:r>
    </w:p>
    <w:p w:rsidR="00401C9C" w:rsidRPr="00A40EC9" w:rsidRDefault="00401C9C" w:rsidP="00F00007">
      <w:pPr>
        <w:numPr>
          <w:ilvl w:val="0"/>
          <w:numId w:val="39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A40EC9">
        <w:t>velmi vzácné (u méně než 1 z 10 000 ošetřených zvířat, včetně ojedinělých hlášení).</w:t>
      </w:r>
    </w:p>
    <w:p w:rsidR="00401C9C" w:rsidRPr="00A40EC9" w:rsidRDefault="00401C9C" w:rsidP="00401C9C">
      <w:pPr>
        <w:tabs>
          <w:tab w:val="clear" w:pos="567"/>
        </w:tabs>
        <w:spacing w:line="240" w:lineRule="auto"/>
        <w:rPr>
          <w:szCs w:val="22"/>
        </w:rPr>
      </w:pPr>
    </w:p>
    <w:p w:rsidR="00401C9C" w:rsidRPr="00A40EC9" w:rsidRDefault="00401C9C" w:rsidP="00401C9C">
      <w:pPr>
        <w:tabs>
          <w:tab w:val="clear" w:pos="567"/>
        </w:tabs>
        <w:spacing w:line="240" w:lineRule="auto"/>
        <w:rPr>
          <w:szCs w:val="22"/>
        </w:rPr>
      </w:pPr>
      <w:r w:rsidRPr="00A40EC9">
        <w:t xml:space="preserve">Jestliže zaznamenáte kterýkoliv z nežádoucích </w:t>
      </w:r>
      <w:r w:rsidR="00A40EC9" w:rsidRPr="00A40EC9">
        <w:t>účinků,</w:t>
      </w:r>
      <w:r w:rsidRPr="00A40EC9">
        <w:t xml:space="preserve"> a to i takové, které nejsou uvedeny v této příbalové informaci, nebo si myslíte, že léčivo ne</w:t>
      </w:r>
      <w:r w:rsidR="00B85D71">
        <w:t>ní účinné</w:t>
      </w:r>
      <w:r w:rsidRPr="00A40EC9">
        <w:t>, oznamte to, prosím, vašemu veterinárnímu lékaři.</w:t>
      </w:r>
    </w:p>
    <w:p w:rsidR="00401C9C" w:rsidRPr="00A40EC9" w:rsidRDefault="00401C9C" w:rsidP="00401C9C">
      <w:pPr>
        <w:tabs>
          <w:tab w:val="clear" w:pos="567"/>
        </w:tabs>
        <w:spacing w:line="240" w:lineRule="auto"/>
        <w:rPr>
          <w:szCs w:val="22"/>
        </w:rPr>
      </w:pPr>
    </w:p>
    <w:p w:rsidR="00B85D71" w:rsidRPr="003468B4" w:rsidRDefault="00B85D71" w:rsidP="00B85D71">
      <w:r w:rsidRPr="003468B4">
        <w:t xml:space="preserve">Nežádoucí účinky můžete hlásit prostřednictvím formuláře na webových stránkách ÚSKVBL elektronicky, nebo také přímo na adresu: Ústav pro státní kontrolu veterinárních biopreparátů a léčiv, Hudcova 56a, 621 00 Brno, Mail: </w:t>
      </w:r>
      <w:hyperlink r:id="rId8" w:history="1">
        <w:r w:rsidRPr="003468B4">
          <w:rPr>
            <w:rStyle w:val="Hypertextovodkaz"/>
          </w:rPr>
          <w:t>adr@uskvbl.cz</w:t>
        </w:r>
      </w:hyperlink>
      <w:r w:rsidRPr="003468B4">
        <w:t xml:space="preserve">, Webové stránky: </w:t>
      </w:r>
      <w:hyperlink r:id="rId9" w:history="1">
        <w:r w:rsidRPr="003468B4">
          <w:rPr>
            <w:rStyle w:val="Hypertextovodkaz"/>
          </w:rPr>
          <w:t>http://www.uskvbl.cz/cs/farmakovigilance</w:t>
        </w:r>
      </w:hyperlink>
    </w:p>
    <w:p w:rsidR="00401C9C" w:rsidRPr="00A40EC9" w:rsidRDefault="00401C9C" w:rsidP="00401C9C">
      <w:pPr>
        <w:tabs>
          <w:tab w:val="clear" w:pos="567"/>
        </w:tabs>
        <w:spacing w:line="240" w:lineRule="auto"/>
        <w:rPr>
          <w:szCs w:val="22"/>
        </w:rPr>
      </w:pPr>
    </w:p>
    <w:p w:rsidR="00EB1A80" w:rsidRPr="00A40EC9" w:rsidRDefault="00EB1A80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A40EC9" w:rsidRDefault="00C114FF" w:rsidP="00895A2F">
      <w:pPr>
        <w:tabs>
          <w:tab w:val="clear" w:pos="567"/>
        </w:tabs>
        <w:spacing w:line="240" w:lineRule="auto"/>
        <w:rPr>
          <w:szCs w:val="22"/>
        </w:rPr>
      </w:pPr>
      <w:r w:rsidRPr="00A40EC9">
        <w:rPr>
          <w:b/>
          <w:szCs w:val="22"/>
          <w:highlight w:val="lightGray"/>
        </w:rPr>
        <w:t>7.</w:t>
      </w:r>
      <w:r w:rsidRPr="00A40EC9">
        <w:rPr>
          <w:b/>
          <w:szCs w:val="22"/>
        </w:rPr>
        <w:tab/>
        <w:t>CÍLOVÝ DRUH ZVÍŘAT</w:t>
      </w:r>
    </w:p>
    <w:p w:rsidR="00C114FF" w:rsidRPr="00A40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5467C1" w:rsidRPr="00A40EC9" w:rsidRDefault="005467C1" w:rsidP="00A9226B">
      <w:pPr>
        <w:tabs>
          <w:tab w:val="clear" w:pos="567"/>
        </w:tabs>
        <w:spacing w:line="240" w:lineRule="auto"/>
        <w:rPr>
          <w:szCs w:val="22"/>
        </w:rPr>
      </w:pPr>
      <w:r w:rsidRPr="00A40EC9">
        <w:t>Psi a kočky</w:t>
      </w:r>
    </w:p>
    <w:p w:rsidR="005467C1" w:rsidRPr="00A40EC9" w:rsidRDefault="005467C1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A40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A40EC9" w:rsidRDefault="00C114FF" w:rsidP="00895A2F">
      <w:pPr>
        <w:tabs>
          <w:tab w:val="clear" w:pos="567"/>
        </w:tabs>
        <w:spacing w:line="240" w:lineRule="auto"/>
        <w:rPr>
          <w:szCs w:val="22"/>
        </w:rPr>
      </w:pPr>
      <w:r w:rsidRPr="00A40EC9">
        <w:rPr>
          <w:b/>
          <w:szCs w:val="22"/>
          <w:highlight w:val="lightGray"/>
        </w:rPr>
        <w:t>8.</w:t>
      </w:r>
      <w:r w:rsidRPr="00A40EC9">
        <w:rPr>
          <w:b/>
          <w:szCs w:val="22"/>
        </w:rPr>
        <w:tab/>
        <w:t>DÁVKOVÁNÍ PRO KAŽDÝ DRUH, CESTA(Y) A ZPŮSOB PODÁNÍ</w:t>
      </w:r>
    </w:p>
    <w:p w:rsidR="00C114FF" w:rsidRPr="00A40EC9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:rsidR="00B85D71" w:rsidRPr="00EE0F1E" w:rsidRDefault="00B85D71" w:rsidP="00B85D71">
      <w:pPr>
        <w:tabs>
          <w:tab w:val="clear" w:pos="567"/>
        </w:tabs>
        <w:spacing w:line="240" w:lineRule="auto"/>
        <w:rPr>
          <w:szCs w:val="22"/>
        </w:rPr>
      </w:pPr>
      <w:r>
        <w:t>Tento přípravek je sterilní přípravek k intravenóznímu podání.</w:t>
      </w:r>
    </w:p>
    <w:p w:rsidR="00795F1C" w:rsidRPr="00A40EC9" w:rsidRDefault="00795F1C" w:rsidP="007335F5">
      <w:pPr>
        <w:tabs>
          <w:tab w:val="clear" w:pos="567"/>
        </w:tabs>
        <w:spacing w:line="240" w:lineRule="auto"/>
        <w:rPr>
          <w:szCs w:val="22"/>
        </w:rPr>
      </w:pPr>
    </w:p>
    <w:p w:rsidR="00B85D71" w:rsidRPr="00EE0F1E" w:rsidRDefault="00B85D71" w:rsidP="00B85D71">
      <w:pPr>
        <w:tabs>
          <w:tab w:val="clear" w:pos="567"/>
        </w:tabs>
        <w:spacing w:line="240" w:lineRule="auto"/>
        <w:rPr>
          <w:szCs w:val="22"/>
        </w:rPr>
      </w:pPr>
      <w:r>
        <w:t>Požadované dávky se mohou u jednotlivých zvířat významně liší a jsou ovlivněny různými faktory (</w:t>
      </w:r>
      <w:r w:rsidRPr="00A40EC9">
        <w:t xml:space="preserve">viz </w:t>
      </w:r>
      <w:r>
        <w:t>bod</w:t>
      </w:r>
      <w:r w:rsidRPr="00A40EC9">
        <w:t xml:space="preserve"> 12 Zvláštn</w:t>
      </w:r>
      <w:r>
        <w:t>í opatření pro použití u zvířat a bod</w:t>
      </w:r>
      <w:r w:rsidRPr="00A40EC9">
        <w:t xml:space="preserve"> 12 Interakce s dalšími léčivými přípravky a další formy interakce</w:t>
      </w:r>
      <w:r>
        <w:t xml:space="preserve">). Zejména platí, že použití pre-anestetických látek (premedikace) může významně snížit dávku propofolu a to podle typu a dávky pre-anestetické látky. </w:t>
      </w:r>
    </w:p>
    <w:p w:rsidR="007335F5" w:rsidRPr="00A40EC9" w:rsidRDefault="007335F5" w:rsidP="007335F5">
      <w:pPr>
        <w:tabs>
          <w:tab w:val="clear" w:pos="567"/>
        </w:tabs>
        <w:spacing w:line="240" w:lineRule="auto"/>
        <w:rPr>
          <w:szCs w:val="22"/>
        </w:rPr>
      </w:pPr>
    </w:p>
    <w:p w:rsidR="00B85D71" w:rsidRPr="00EE0F1E" w:rsidRDefault="00B85D71" w:rsidP="00B85D71">
      <w:pPr>
        <w:tabs>
          <w:tab w:val="clear" w:pos="567"/>
        </w:tabs>
        <w:spacing w:line="240" w:lineRule="auto"/>
        <w:rPr>
          <w:szCs w:val="22"/>
        </w:rPr>
      </w:pPr>
      <w:r>
        <w:t>Dávka by měla být odhadnuta na základě průměrné dávky, potře</w:t>
      </w:r>
      <w:r w:rsidR="00A06EAF">
        <w:t>bné k přípravě na anesté</w:t>
      </w:r>
      <w:r>
        <w:t xml:space="preserve">zii. Skutečné požadavky na dávku u daného zvířete mohou být významně nižší nebo </w:t>
      </w:r>
      <w:r w:rsidRPr="009815A5">
        <w:t xml:space="preserve"> </w:t>
      </w:r>
      <w:r>
        <w:t>vyšší než je průměrná dávka.</w:t>
      </w:r>
    </w:p>
    <w:p w:rsidR="007335F5" w:rsidRPr="00A40EC9" w:rsidRDefault="007335F5" w:rsidP="007335F5">
      <w:pPr>
        <w:tabs>
          <w:tab w:val="clear" w:pos="567"/>
        </w:tabs>
        <w:spacing w:line="240" w:lineRule="auto"/>
        <w:rPr>
          <w:szCs w:val="22"/>
        </w:rPr>
      </w:pPr>
    </w:p>
    <w:p w:rsidR="00B85D71" w:rsidRDefault="00B85D71" w:rsidP="00B85D71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>Úvod do anestézie</w:t>
      </w:r>
    </w:p>
    <w:p w:rsidR="00657BB1" w:rsidRDefault="00657BB1" w:rsidP="00657BB1">
      <w:pPr>
        <w:tabs>
          <w:tab w:val="clear" w:pos="567"/>
        </w:tabs>
        <w:spacing w:line="240" w:lineRule="auto"/>
        <w:rPr>
          <w:szCs w:val="22"/>
        </w:rPr>
      </w:pPr>
      <w:r>
        <w:t>Indukční dávka veterinárního léčivého přípravku uvedená v tabulce níže je založena na údajích získaných v kontrolovaných laboratorních a terénních studiích  a představuje průměrné množství léčiva, které u psů nebo koček úspěšně vyvolá anestetický účinek. Skutečná podaná dávka by měla být založena na individuální reakci daného zvířete.</w:t>
      </w:r>
    </w:p>
    <w:p w:rsidR="00657BB1" w:rsidRDefault="00657BB1" w:rsidP="00657BB1">
      <w:pPr>
        <w:tabs>
          <w:tab w:val="clear" w:pos="567"/>
        </w:tabs>
        <w:spacing w:line="240" w:lineRule="auto"/>
        <w:rPr>
          <w:szCs w:val="22"/>
        </w:rPr>
      </w:pPr>
    </w:p>
    <w:p w:rsidR="007335F5" w:rsidRPr="00A40EC9" w:rsidRDefault="007335F5" w:rsidP="007335F5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2853"/>
        <w:gridCol w:w="3639"/>
      </w:tblGrid>
      <w:tr w:rsidR="007335F5" w:rsidRPr="00A40EC9" w:rsidTr="00B94B14">
        <w:tc>
          <w:tcPr>
            <w:tcW w:w="150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35F5" w:rsidRPr="00A40EC9" w:rsidRDefault="007335F5" w:rsidP="00B94B14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A40EC9">
              <w:rPr>
                <w:b/>
                <w:szCs w:val="22"/>
              </w:rPr>
              <w:t>PSI</w:t>
            </w:r>
          </w:p>
        </w:tc>
        <w:tc>
          <w:tcPr>
            <w:tcW w:w="1536" w:type="pct"/>
            <w:tcBorders>
              <w:bottom w:val="single" w:sz="4" w:space="0" w:color="auto"/>
            </w:tcBorders>
          </w:tcPr>
          <w:p w:rsidR="007335F5" w:rsidRPr="00A40EC9" w:rsidRDefault="00657BB1" w:rsidP="001642BC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Průvodce dávkování</w:t>
            </w:r>
          </w:p>
          <w:p w:rsidR="007335F5" w:rsidRPr="00A40EC9" w:rsidRDefault="007335F5" w:rsidP="00657BB1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</w:rPr>
            </w:pPr>
            <w:r w:rsidRPr="00A40EC9">
              <w:rPr>
                <w:b/>
                <w:szCs w:val="22"/>
              </w:rPr>
              <w:t xml:space="preserve">mg/kg </w:t>
            </w:r>
            <w:r w:rsidR="00657BB1">
              <w:rPr>
                <w:b/>
                <w:szCs w:val="22"/>
              </w:rPr>
              <w:t>živ</w:t>
            </w:r>
            <w:r w:rsidRPr="00A40EC9">
              <w:rPr>
                <w:b/>
                <w:szCs w:val="22"/>
              </w:rPr>
              <w:t>é hmotnosti</w:t>
            </w:r>
          </w:p>
        </w:tc>
        <w:tc>
          <w:tcPr>
            <w:tcW w:w="1959" w:type="pct"/>
            <w:tcBorders>
              <w:bottom w:val="single" w:sz="4" w:space="0" w:color="auto"/>
            </w:tcBorders>
            <w:shd w:val="clear" w:color="auto" w:fill="auto"/>
          </w:tcPr>
          <w:p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</w:rPr>
            </w:pPr>
            <w:r w:rsidRPr="00A40EC9">
              <w:rPr>
                <w:b/>
                <w:szCs w:val="22"/>
              </w:rPr>
              <w:t>Objem dávky</w:t>
            </w:r>
          </w:p>
          <w:p w:rsidR="007335F5" w:rsidRPr="00A40EC9" w:rsidRDefault="007335F5" w:rsidP="00657BB1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</w:rPr>
            </w:pPr>
            <w:r w:rsidRPr="00A40EC9">
              <w:rPr>
                <w:b/>
                <w:szCs w:val="22"/>
              </w:rPr>
              <w:t xml:space="preserve">ml/kg </w:t>
            </w:r>
            <w:r w:rsidR="00657BB1">
              <w:rPr>
                <w:b/>
                <w:szCs w:val="22"/>
              </w:rPr>
              <w:t>živ</w:t>
            </w:r>
            <w:r w:rsidRPr="00A40EC9">
              <w:rPr>
                <w:b/>
                <w:szCs w:val="22"/>
              </w:rPr>
              <w:t>é hmotnosti</w:t>
            </w:r>
          </w:p>
        </w:tc>
      </w:tr>
      <w:tr w:rsidR="007335F5" w:rsidRPr="00A40EC9" w:rsidTr="001642BC">
        <w:tc>
          <w:tcPr>
            <w:tcW w:w="1505" w:type="pct"/>
            <w:tcBorders>
              <w:bottom w:val="nil"/>
            </w:tcBorders>
            <w:shd w:val="clear" w:color="auto" w:fill="auto"/>
          </w:tcPr>
          <w:p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A40EC9">
              <w:rPr>
                <w:b/>
                <w:szCs w:val="22"/>
              </w:rPr>
              <w:t>Bez premedikace</w:t>
            </w:r>
          </w:p>
        </w:tc>
        <w:tc>
          <w:tcPr>
            <w:tcW w:w="1536" w:type="pct"/>
            <w:tcBorders>
              <w:bottom w:val="nil"/>
            </w:tcBorders>
          </w:tcPr>
          <w:p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40EC9">
              <w:t>6,5</w:t>
            </w:r>
          </w:p>
        </w:tc>
        <w:tc>
          <w:tcPr>
            <w:tcW w:w="1959" w:type="pct"/>
            <w:tcBorders>
              <w:bottom w:val="nil"/>
            </w:tcBorders>
            <w:shd w:val="clear" w:color="auto" w:fill="auto"/>
          </w:tcPr>
          <w:p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40EC9">
              <w:t>0,65</w:t>
            </w:r>
          </w:p>
        </w:tc>
      </w:tr>
      <w:tr w:rsidR="007335F5" w:rsidRPr="00A40EC9" w:rsidTr="001642BC">
        <w:tc>
          <w:tcPr>
            <w:tcW w:w="1505" w:type="pct"/>
            <w:tcBorders>
              <w:top w:val="nil"/>
            </w:tcBorders>
            <w:shd w:val="clear" w:color="auto" w:fill="auto"/>
          </w:tcPr>
          <w:p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A40EC9">
              <w:rPr>
                <w:b/>
                <w:szCs w:val="22"/>
                <w:u w:val="single"/>
              </w:rPr>
              <w:t>S premedikací</w:t>
            </w:r>
            <w:r w:rsidRPr="00A40EC9">
              <w:rPr>
                <w:b/>
                <w:szCs w:val="22"/>
              </w:rPr>
              <w:t>*</w:t>
            </w:r>
          </w:p>
          <w:p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A40EC9">
              <w:rPr>
                <w:b/>
                <w:szCs w:val="22"/>
              </w:rPr>
              <w:t xml:space="preserve">alfa-2 agonista </w:t>
            </w:r>
          </w:p>
          <w:p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A40EC9">
              <w:rPr>
                <w:b/>
                <w:szCs w:val="22"/>
              </w:rPr>
              <w:t>na bázi acepromazinu</w:t>
            </w:r>
          </w:p>
        </w:tc>
        <w:tc>
          <w:tcPr>
            <w:tcW w:w="1536" w:type="pct"/>
            <w:tcBorders>
              <w:top w:val="nil"/>
            </w:tcBorders>
          </w:tcPr>
          <w:p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  <w:p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40EC9">
              <w:t>3,0</w:t>
            </w:r>
          </w:p>
          <w:p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40EC9">
              <w:t>4,5</w:t>
            </w:r>
          </w:p>
        </w:tc>
        <w:tc>
          <w:tcPr>
            <w:tcW w:w="1959" w:type="pct"/>
            <w:tcBorders>
              <w:top w:val="nil"/>
            </w:tcBorders>
            <w:shd w:val="clear" w:color="auto" w:fill="auto"/>
          </w:tcPr>
          <w:p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  <w:p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40EC9">
              <w:t>0,30</w:t>
            </w:r>
          </w:p>
          <w:p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40EC9">
              <w:t>0,45</w:t>
            </w:r>
          </w:p>
        </w:tc>
      </w:tr>
      <w:tr w:rsidR="007335F5" w:rsidRPr="00A40EC9" w:rsidTr="001642BC">
        <w:tc>
          <w:tcPr>
            <w:tcW w:w="1505" w:type="pct"/>
            <w:tcBorders>
              <w:bottom w:val="single" w:sz="4" w:space="0" w:color="auto"/>
            </w:tcBorders>
            <w:shd w:val="clear" w:color="auto" w:fill="auto"/>
          </w:tcPr>
          <w:p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A40EC9">
              <w:rPr>
                <w:b/>
                <w:szCs w:val="22"/>
              </w:rPr>
              <w:t>KOČKY</w:t>
            </w:r>
          </w:p>
        </w:tc>
        <w:tc>
          <w:tcPr>
            <w:tcW w:w="1536" w:type="pct"/>
            <w:tcBorders>
              <w:bottom w:val="single" w:sz="4" w:space="0" w:color="auto"/>
            </w:tcBorders>
          </w:tcPr>
          <w:p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959" w:type="pct"/>
            <w:tcBorders>
              <w:bottom w:val="single" w:sz="4" w:space="0" w:color="auto"/>
            </w:tcBorders>
            <w:shd w:val="clear" w:color="auto" w:fill="auto"/>
          </w:tcPr>
          <w:p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</w:tr>
      <w:tr w:rsidR="007335F5" w:rsidRPr="00A40EC9" w:rsidTr="001642BC">
        <w:tc>
          <w:tcPr>
            <w:tcW w:w="1505" w:type="pct"/>
            <w:tcBorders>
              <w:bottom w:val="nil"/>
            </w:tcBorders>
            <w:shd w:val="clear" w:color="auto" w:fill="auto"/>
          </w:tcPr>
          <w:p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A40EC9">
              <w:rPr>
                <w:b/>
                <w:szCs w:val="22"/>
              </w:rPr>
              <w:t>Bez premedikace</w:t>
            </w:r>
          </w:p>
        </w:tc>
        <w:tc>
          <w:tcPr>
            <w:tcW w:w="1536" w:type="pct"/>
            <w:tcBorders>
              <w:bottom w:val="nil"/>
            </w:tcBorders>
          </w:tcPr>
          <w:p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40EC9">
              <w:t>8,0</w:t>
            </w:r>
          </w:p>
        </w:tc>
        <w:tc>
          <w:tcPr>
            <w:tcW w:w="1959" w:type="pct"/>
            <w:tcBorders>
              <w:bottom w:val="nil"/>
            </w:tcBorders>
            <w:shd w:val="clear" w:color="auto" w:fill="auto"/>
          </w:tcPr>
          <w:p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40EC9">
              <w:t>0,8</w:t>
            </w:r>
          </w:p>
        </w:tc>
      </w:tr>
      <w:tr w:rsidR="007335F5" w:rsidRPr="00A40EC9" w:rsidTr="001642BC">
        <w:tc>
          <w:tcPr>
            <w:tcW w:w="1505" w:type="pct"/>
            <w:tcBorders>
              <w:top w:val="nil"/>
            </w:tcBorders>
            <w:shd w:val="clear" w:color="auto" w:fill="auto"/>
          </w:tcPr>
          <w:p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A40EC9">
              <w:rPr>
                <w:b/>
                <w:szCs w:val="22"/>
                <w:u w:val="single"/>
              </w:rPr>
              <w:t>S premedikací</w:t>
            </w:r>
            <w:r w:rsidRPr="00A40EC9">
              <w:rPr>
                <w:b/>
                <w:szCs w:val="22"/>
              </w:rPr>
              <w:t>*</w:t>
            </w:r>
          </w:p>
          <w:p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A40EC9">
              <w:rPr>
                <w:b/>
                <w:szCs w:val="22"/>
              </w:rPr>
              <w:t>alfa-2 agonista</w:t>
            </w:r>
          </w:p>
          <w:p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A40EC9">
              <w:rPr>
                <w:b/>
                <w:szCs w:val="22"/>
              </w:rPr>
              <w:t>na bázi acepromazinu</w:t>
            </w:r>
          </w:p>
        </w:tc>
        <w:tc>
          <w:tcPr>
            <w:tcW w:w="1536" w:type="pct"/>
            <w:tcBorders>
              <w:top w:val="nil"/>
            </w:tcBorders>
          </w:tcPr>
          <w:p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  <w:p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40EC9">
              <w:t>2,0</w:t>
            </w:r>
          </w:p>
          <w:p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40EC9">
              <w:t>6,0</w:t>
            </w:r>
          </w:p>
        </w:tc>
        <w:tc>
          <w:tcPr>
            <w:tcW w:w="1959" w:type="pct"/>
            <w:tcBorders>
              <w:top w:val="nil"/>
            </w:tcBorders>
            <w:shd w:val="clear" w:color="auto" w:fill="auto"/>
          </w:tcPr>
          <w:p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  <w:p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40EC9">
              <w:t>0,2</w:t>
            </w:r>
          </w:p>
          <w:p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40EC9">
              <w:t>0,6</w:t>
            </w:r>
          </w:p>
        </w:tc>
      </w:tr>
    </w:tbl>
    <w:p w:rsidR="007335F5" w:rsidRPr="00A40EC9" w:rsidRDefault="007335F5" w:rsidP="007335F5">
      <w:pPr>
        <w:tabs>
          <w:tab w:val="clear" w:pos="567"/>
        </w:tabs>
        <w:spacing w:line="240" w:lineRule="auto"/>
        <w:rPr>
          <w:szCs w:val="22"/>
        </w:rPr>
      </w:pPr>
    </w:p>
    <w:p w:rsidR="00657BB1" w:rsidRPr="00EE0F1E" w:rsidRDefault="00657BB1" w:rsidP="00657BB1">
      <w:pPr>
        <w:tabs>
          <w:tab w:val="clear" w:pos="567"/>
        </w:tabs>
        <w:spacing w:line="240" w:lineRule="auto"/>
        <w:rPr>
          <w:szCs w:val="22"/>
        </w:rPr>
      </w:pPr>
      <w:r>
        <w:t>* U některých zvířat při premedikaci alfa-2 adrenoceptorem dle protokolu mohou být účinné indukční dávky, které jsou významně nižší než je průměrná dávka.</w:t>
      </w:r>
    </w:p>
    <w:p w:rsidR="00B03DB0" w:rsidRPr="00A40EC9" w:rsidRDefault="00B03DB0" w:rsidP="00B03DB0">
      <w:pPr>
        <w:tabs>
          <w:tab w:val="clear" w:pos="567"/>
        </w:tabs>
        <w:spacing w:line="240" w:lineRule="auto"/>
        <w:rPr>
          <w:szCs w:val="22"/>
        </w:rPr>
      </w:pPr>
    </w:p>
    <w:p w:rsidR="00B03DB0" w:rsidRPr="00A40EC9" w:rsidRDefault="00B03DB0" w:rsidP="00B03DB0">
      <w:pPr>
        <w:tabs>
          <w:tab w:val="clear" w:pos="567"/>
        </w:tabs>
        <w:spacing w:line="240" w:lineRule="auto"/>
        <w:rPr>
          <w:szCs w:val="22"/>
        </w:rPr>
      </w:pPr>
      <w:r w:rsidRPr="00A40EC9">
        <w:t>Pokud je propofol použit v kombinaci například s ketaminem, fentanylem nebo benzodiazepiny k </w:t>
      </w:r>
      <w:r w:rsidR="00657BB1">
        <w:t>úvodu do</w:t>
      </w:r>
      <w:r w:rsidR="00657BB1" w:rsidRPr="00A40EC9">
        <w:t xml:space="preserve"> </w:t>
      </w:r>
      <w:r w:rsidRPr="00A40EC9">
        <w:t>anest</w:t>
      </w:r>
      <w:r w:rsidR="00657BB1">
        <w:t>é</w:t>
      </w:r>
      <w:r w:rsidRPr="00A40EC9">
        <w:t>zie (takzvaná koindukce), lze celkovou dávku propofolu ještě snížit.</w:t>
      </w:r>
    </w:p>
    <w:p w:rsidR="007335F5" w:rsidRPr="00A40EC9" w:rsidRDefault="007335F5" w:rsidP="007335F5">
      <w:pPr>
        <w:tabs>
          <w:tab w:val="clear" w:pos="567"/>
        </w:tabs>
        <w:spacing w:line="240" w:lineRule="auto"/>
        <w:rPr>
          <w:szCs w:val="22"/>
        </w:rPr>
      </w:pPr>
    </w:p>
    <w:p w:rsidR="00657BB1" w:rsidRPr="00EE0F1E" w:rsidRDefault="00657BB1" w:rsidP="00657BB1">
      <w:pPr>
        <w:tabs>
          <w:tab w:val="clear" w:pos="567"/>
        </w:tabs>
        <w:spacing w:line="240" w:lineRule="auto"/>
        <w:rPr>
          <w:szCs w:val="22"/>
        </w:rPr>
      </w:pPr>
      <w:r>
        <w:t>Dávkovací stříkačka by měla být připravena dle objemu dávky přípravku uvedeného výše. Tento objem by měl být vypočten na základě živé hmotnosti. Dávka by měla být podávána pomalu  z důvodu omezení výskytu a délky apnoe a podávání by mělo pokračovat, dokud lé</w:t>
      </w:r>
      <w:r w:rsidR="00A06EAF">
        <w:t>kař nevyhodnotí hloubku anesté</w:t>
      </w:r>
      <w:r>
        <w:t>zie jako dostatečnou k endotracheální intubaci nebo k provedení plánovaného zákroku. Jako vodítko - podávání přípravku by mělo trvat po dobu 20 až 60 sekund.</w:t>
      </w:r>
    </w:p>
    <w:p w:rsidR="007335F5" w:rsidRPr="00A40EC9" w:rsidRDefault="007335F5" w:rsidP="007335F5">
      <w:pPr>
        <w:tabs>
          <w:tab w:val="clear" w:pos="567"/>
        </w:tabs>
        <w:spacing w:line="240" w:lineRule="auto"/>
        <w:rPr>
          <w:szCs w:val="22"/>
        </w:rPr>
      </w:pPr>
    </w:p>
    <w:p w:rsidR="00657BB1" w:rsidRPr="00EE0F1E" w:rsidRDefault="00657BB1" w:rsidP="00657BB1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>Udržování anestézie</w:t>
      </w:r>
    </w:p>
    <w:p w:rsidR="00026194" w:rsidRPr="00A40EC9" w:rsidRDefault="00026194" w:rsidP="007335F5">
      <w:pPr>
        <w:tabs>
          <w:tab w:val="clear" w:pos="567"/>
        </w:tabs>
        <w:spacing w:line="240" w:lineRule="auto"/>
        <w:rPr>
          <w:szCs w:val="22"/>
        </w:rPr>
      </w:pPr>
    </w:p>
    <w:p w:rsidR="00026194" w:rsidRPr="00A40EC9" w:rsidRDefault="00026194" w:rsidP="007335F5">
      <w:pPr>
        <w:tabs>
          <w:tab w:val="clear" w:pos="567"/>
        </w:tabs>
        <w:spacing w:line="240" w:lineRule="auto"/>
        <w:rPr>
          <w:i/>
          <w:szCs w:val="22"/>
        </w:rPr>
      </w:pPr>
      <w:r w:rsidRPr="00A40EC9">
        <w:rPr>
          <w:i/>
          <w:szCs w:val="22"/>
        </w:rPr>
        <w:t>Opakované bolusové injekce</w:t>
      </w:r>
    </w:p>
    <w:p w:rsidR="00657BB1" w:rsidRPr="00C87EC7" w:rsidRDefault="00657BB1" w:rsidP="00657BB1">
      <w:pPr>
        <w:tabs>
          <w:tab w:val="clear" w:pos="567"/>
        </w:tabs>
        <w:spacing w:line="240" w:lineRule="auto"/>
        <w:rPr>
          <w:i/>
          <w:szCs w:val="22"/>
        </w:rPr>
      </w:pPr>
      <w:r w:rsidRPr="009E3C22">
        <w:rPr>
          <w:i/>
          <w:szCs w:val="22"/>
        </w:rPr>
        <w:t>Opakované bolusové injekce</w:t>
      </w:r>
      <w:r>
        <w:rPr>
          <w:i/>
          <w:szCs w:val="22"/>
        </w:rPr>
        <w:t xml:space="preserve">  </w:t>
      </w:r>
    </w:p>
    <w:p w:rsidR="00657BB1" w:rsidRPr="00EE0F1E" w:rsidRDefault="00657BB1" w:rsidP="00657BB1">
      <w:pPr>
        <w:tabs>
          <w:tab w:val="clear" w:pos="567"/>
        </w:tabs>
        <w:spacing w:line="240" w:lineRule="auto"/>
        <w:rPr>
          <w:szCs w:val="22"/>
        </w:rPr>
      </w:pPr>
      <w:r>
        <w:t>Velikost dávky a trvání účinku se budou lišit</w:t>
      </w:r>
      <w:r w:rsidRPr="009E3C22">
        <w:t xml:space="preserve"> </w:t>
      </w:r>
      <w:r>
        <w:t>u jednotlivých zvířat při udržování anestézie</w:t>
      </w:r>
      <w:r w:rsidRPr="00007BDD">
        <w:t xml:space="preserve"> </w:t>
      </w:r>
      <w:r>
        <w:t>přírůstkovým podáváním přípravku. Přírůstkové dávky nutné k udržování anestézie jsou u zvířat s premedikací typicky nižší než u zvířat bez premedikace.</w:t>
      </w:r>
    </w:p>
    <w:p w:rsidR="007335F5" w:rsidRPr="00A40EC9" w:rsidRDefault="007335F5" w:rsidP="007335F5">
      <w:pPr>
        <w:tabs>
          <w:tab w:val="clear" w:pos="567"/>
        </w:tabs>
        <w:spacing w:line="240" w:lineRule="auto"/>
        <w:rPr>
          <w:szCs w:val="22"/>
        </w:rPr>
      </w:pPr>
    </w:p>
    <w:p w:rsidR="007335F5" w:rsidRPr="00A40EC9" w:rsidRDefault="007335F5" w:rsidP="007335F5">
      <w:pPr>
        <w:tabs>
          <w:tab w:val="clear" w:pos="567"/>
        </w:tabs>
        <w:spacing w:line="240" w:lineRule="auto"/>
        <w:rPr>
          <w:szCs w:val="22"/>
        </w:rPr>
      </w:pPr>
      <w:r w:rsidRPr="00A40EC9">
        <w:t>Pokud anestetický účinek příliš zeslábne, lze podat p</w:t>
      </w:r>
      <w:r w:rsidR="0052071C">
        <w:t>řírůstkovou</w:t>
      </w:r>
      <w:r w:rsidRPr="00A40EC9">
        <w:t xml:space="preserve"> dávku přibližně 1 mg/kg (0,1 ml/kg) u psů a 2 mg/kg (0,2 ml/kg) u koček. Tuto dávku lze podle potřeby opakovat k udržení dostatečně hluboké anest</w:t>
      </w:r>
      <w:r w:rsidR="00A06EAF">
        <w:t>é</w:t>
      </w:r>
      <w:r w:rsidRPr="00A40EC9">
        <w:t xml:space="preserve">zie, přičemž mezi jednotlivými dávkami vyčkejte 20 až 30 sekund, abyste mohli posoudit </w:t>
      </w:r>
      <w:r w:rsidR="0052071C">
        <w:t xml:space="preserve">její </w:t>
      </w:r>
      <w:r w:rsidRPr="00A40EC9">
        <w:t>účinek. Jednotlivé p</w:t>
      </w:r>
      <w:r w:rsidR="0052071C">
        <w:t>řírůstkové</w:t>
      </w:r>
      <w:r w:rsidRPr="00A40EC9">
        <w:t xml:space="preserve"> dávky by měly být podávány pomalu až do dosažení požadovaného účinku.</w:t>
      </w:r>
    </w:p>
    <w:p w:rsidR="007335F5" w:rsidRPr="00A40EC9" w:rsidRDefault="007335F5" w:rsidP="007335F5">
      <w:pPr>
        <w:tabs>
          <w:tab w:val="clear" w:pos="567"/>
        </w:tabs>
        <w:spacing w:line="240" w:lineRule="auto"/>
        <w:rPr>
          <w:szCs w:val="22"/>
        </w:rPr>
      </w:pPr>
    </w:p>
    <w:p w:rsidR="00026194" w:rsidRPr="00A40EC9" w:rsidRDefault="00026194" w:rsidP="007335F5">
      <w:pPr>
        <w:tabs>
          <w:tab w:val="clear" w:pos="567"/>
        </w:tabs>
        <w:spacing w:line="240" w:lineRule="auto"/>
        <w:rPr>
          <w:i/>
          <w:szCs w:val="22"/>
        </w:rPr>
      </w:pPr>
      <w:r w:rsidRPr="00A40EC9">
        <w:rPr>
          <w:i/>
          <w:szCs w:val="22"/>
        </w:rPr>
        <w:t>Inf</w:t>
      </w:r>
      <w:r w:rsidR="0052071C">
        <w:rPr>
          <w:i/>
          <w:szCs w:val="22"/>
        </w:rPr>
        <w:t>ú</w:t>
      </w:r>
      <w:r w:rsidRPr="00A40EC9">
        <w:rPr>
          <w:i/>
          <w:szCs w:val="22"/>
        </w:rPr>
        <w:t>ze s konstantní rychlostí</w:t>
      </w:r>
    </w:p>
    <w:p w:rsidR="0052071C" w:rsidRDefault="0052071C" w:rsidP="0052071C">
      <w:pPr>
        <w:tabs>
          <w:tab w:val="clear" w:pos="567"/>
        </w:tabs>
        <w:spacing w:line="240" w:lineRule="auto"/>
      </w:pPr>
      <w:r>
        <w:t xml:space="preserve">Pokud je anestézie udržována pomocí infúze s konstantní rychlostí (CRI) podání propofolu, je dávka u psů 0,2–0,4 mg/kg/min. Skutečná podaná dávka musí být založena na individuální reakci daného zvířete a může být krátkodobě zvýšena až na 0,6 mg/kg/min. U koček je udržovací dávka 0,1–0,3 mg/kg/min. a měla by být přizpůsobena dle individuální reakce. Infúze s konstantní rychlostí trvající až 2 hodiny při dávce 0,4 mg/kg/min u psů a 0,2 mg/kg/min u koček je podle hlášení dobře snášena. Kromě toho může být rychlost infúze zvýšena nebo snížena po krocích 0,025–0,1 mg/kg/min. u psů nebo 0,01–0,025 mg/kg/min. u koček v intervalech 5–10 minut, aby se přizpůsobila úroveň anestézie. </w:t>
      </w:r>
    </w:p>
    <w:p w:rsidR="0052071C" w:rsidRPr="00EE0F1E" w:rsidRDefault="0052071C" w:rsidP="0052071C">
      <w:pPr>
        <w:tabs>
          <w:tab w:val="clear" w:pos="567"/>
        </w:tabs>
        <w:spacing w:line="240" w:lineRule="auto"/>
        <w:rPr>
          <w:szCs w:val="22"/>
        </w:rPr>
      </w:pPr>
    </w:p>
    <w:p w:rsidR="0052071C" w:rsidRPr="00EE0F1E" w:rsidRDefault="0052071C" w:rsidP="0052071C">
      <w:pPr>
        <w:tabs>
          <w:tab w:val="clear" w:pos="567"/>
        </w:tabs>
        <w:spacing w:line="240" w:lineRule="auto"/>
        <w:rPr>
          <w:szCs w:val="22"/>
        </w:rPr>
      </w:pPr>
      <w:r>
        <w:t>Nepřetržité a dlouhodobé vystavení (trvající více než 30 minut) může vést k pomalejšímu zotavení, zejména u koček.</w:t>
      </w:r>
    </w:p>
    <w:p w:rsidR="007335F5" w:rsidRPr="00A40EC9" w:rsidRDefault="007335F5" w:rsidP="007335F5">
      <w:pPr>
        <w:tabs>
          <w:tab w:val="clear" w:pos="567"/>
        </w:tabs>
        <w:spacing w:line="240" w:lineRule="auto"/>
        <w:rPr>
          <w:szCs w:val="22"/>
        </w:rPr>
      </w:pPr>
    </w:p>
    <w:p w:rsidR="007335F5" w:rsidRPr="00A40EC9" w:rsidRDefault="007335F5" w:rsidP="007335F5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A40EC9">
        <w:rPr>
          <w:szCs w:val="22"/>
          <w:u w:val="single"/>
        </w:rPr>
        <w:t>Udržování anest</w:t>
      </w:r>
      <w:r w:rsidR="0052071C">
        <w:rPr>
          <w:szCs w:val="22"/>
          <w:u w:val="single"/>
        </w:rPr>
        <w:t>é</w:t>
      </w:r>
      <w:r w:rsidRPr="00A40EC9">
        <w:rPr>
          <w:szCs w:val="22"/>
          <w:u w:val="single"/>
        </w:rPr>
        <w:t>zie pomocí inhalačních látek</w:t>
      </w:r>
    </w:p>
    <w:p w:rsidR="0052071C" w:rsidRPr="00EE0F1E" w:rsidRDefault="0052071C" w:rsidP="0052071C">
      <w:pPr>
        <w:tabs>
          <w:tab w:val="clear" w:pos="567"/>
        </w:tabs>
        <w:spacing w:line="240" w:lineRule="auto"/>
        <w:rPr>
          <w:szCs w:val="22"/>
        </w:rPr>
      </w:pPr>
      <w:r>
        <w:t>Pokud jsou k udržování celkové anestézie použity inhalační látky, měla by být podána pro úvod do anestézie vyšší úvodní koncentrace inhalačního anestetika než je běžné při úvodu do anestézie barbituráty.</w:t>
      </w:r>
    </w:p>
    <w:p w:rsidR="007335F5" w:rsidRPr="00A40EC9" w:rsidRDefault="007335F5" w:rsidP="007335F5">
      <w:pPr>
        <w:tabs>
          <w:tab w:val="clear" w:pos="567"/>
        </w:tabs>
        <w:spacing w:line="240" w:lineRule="auto"/>
        <w:rPr>
          <w:szCs w:val="22"/>
        </w:rPr>
      </w:pPr>
    </w:p>
    <w:p w:rsidR="007335F5" w:rsidRPr="00A40EC9" w:rsidRDefault="007335F5" w:rsidP="007335F5">
      <w:pPr>
        <w:tabs>
          <w:tab w:val="clear" w:pos="567"/>
        </w:tabs>
        <w:spacing w:line="240" w:lineRule="auto"/>
        <w:rPr>
          <w:szCs w:val="22"/>
        </w:rPr>
      </w:pPr>
      <w:r w:rsidRPr="00A40EC9">
        <w:t xml:space="preserve">Další informace viz </w:t>
      </w:r>
      <w:r w:rsidR="0052071C">
        <w:t>bod</w:t>
      </w:r>
      <w:r w:rsidRPr="00A40EC9">
        <w:t xml:space="preserve"> 12 Zvláštní opatření pro použití u zvířat.</w:t>
      </w:r>
    </w:p>
    <w:p w:rsidR="007335F5" w:rsidRPr="00A40EC9" w:rsidRDefault="007335F5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:rsidR="00C114FF" w:rsidRPr="00A40EC9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:rsidR="00C114FF" w:rsidRPr="00A40EC9" w:rsidRDefault="00C114FF" w:rsidP="00895A2F">
      <w:pPr>
        <w:tabs>
          <w:tab w:val="clear" w:pos="567"/>
        </w:tabs>
        <w:spacing w:line="240" w:lineRule="auto"/>
        <w:rPr>
          <w:szCs w:val="22"/>
        </w:rPr>
      </w:pPr>
      <w:r w:rsidRPr="00A40EC9">
        <w:rPr>
          <w:b/>
          <w:szCs w:val="22"/>
          <w:highlight w:val="lightGray"/>
        </w:rPr>
        <w:t>9.</w:t>
      </w:r>
      <w:r w:rsidRPr="00A40EC9">
        <w:rPr>
          <w:b/>
          <w:szCs w:val="22"/>
        </w:rPr>
        <w:tab/>
        <w:t>POKYNY PRO SPRÁVNÉ PODÁNÍ</w:t>
      </w:r>
    </w:p>
    <w:p w:rsidR="00C114FF" w:rsidRPr="00A40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732D7D" w:rsidRPr="00A40EC9" w:rsidRDefault="00732D7D" w:rsidP="00732D7D">
      <w:pPr>
        <w:tabs>
          <w:tab w:val="clear" w:pos="567"/>
        </w:tabs>
        <w:spacing w:line="240" w:lineRule="auto"/>
        <w:rPr>
          <w:szCs w:val="22"/>
        </w:rPr>
      </w:pPr>
      <w:r w:rsidRPr="00A40EC9">
        <w:t>Před použitím jemně protřep</w:t>
      </w:r>
      <w:r w:rsidR="0052071C">
        <w:t>at</w:t>
      </w:r>
      <w:r w:rsidRPr="00A40EC9">
        <w:t>.</w:t>
      </w:r>
    </w:p>
    <w:p w:rsidR="00732D7D" w:rsidRPr="00A40EC9" w:rsidRDefault="00732D7D" w:rsidP="00A9226B">
      <w:pPr>
        <w:tabs>
          <w:tab w:val="clear" w:pos="567"/>
        </w:tabs>
        <w:spacing w:line="240" w:lineRule="auto"/>
        <w:rPr>
          <w:szCs w:val="22"/>
        </w:rPr>
      </w:pPr>
    </w:p>
    <w:p w:rsidR="00C80401" w:rsidRPr="00A40EC9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A40EC9" w:rsidRDefault="00C114FF" w:rsidP="00895A2F">
      <w:pPr>
        <w:tabs>
          <w:tab w:val="clear" w:pos="567"/>
        </w:tabs>
        <w:spacing w:line="240" w:lineRule="auto"/>
        <w:rPr>
          <w:szCs w:val="22"/>
        </w:rPr>
      </w:pPr>
      <w:r w:rsidRPr="00A40EC9">
        <w:rPr>
          <w:b/>
          <w:szCs w:val="22"/>
          <w:highlight w:val="lightGray"/>
        </w:rPr>
        <w:t>10.</w:t>
      </w:r>
      <w:r w:rsidRPr="00A40EC9">
        <w:rPr>
          <w:b/>
          <w:szCs w:val="22"/>
        </w:rPr>
        <w:tab/>
        <w:t>OCHRANNÁ(É) LHŮTA(Y)</w:t>
      </w:r>
    </w:p>
    <w:p w:rsidR="00C114FF" w:rsidRPr="00A40EC9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:rsidR="007335F5" w:rsidRDefault="00A32EBB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Není určeno pro potravinová zvířata.</w:t>
      </w:r>
    </w:p>
    <w:p w:rsidR="00D102F2" w:rsidRPr="00A40EC9" w:rsidRDefault="00D102F2" w:rsidP="00A9226B">
      <w:pPr>
        <w:tabs>
          <w:tab w:val="clear" w:pos="567"/>
        </w:tabs>
        <w:spacing w:line="240" w:lineRule="auto"/>
        <w:rPr>
          <w:iCs/>
          <w:szCs w:val="22"/>
        </w:rPr>
      </w:pPr>
      <w:bookmarkStart w:id="0" w:name="_GoBack"/>
      <w:bookmarkEnd w:id="0"/>
    </w:p>
    <w:p w:rsidR="00C114FF" w:rsidRPr="00A40EC9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:rsidR="00C114FF" w:rsidRPr="00A40EC9" w:rsidRDefault="00C114FF" w:rsidP="00166575">
      <w:pPr>
        <w:keepNext/>
        <w:tabs>
          <w:tab w:val="clear" w:pos="567"/>
        </w:tabs>
        <w:spacing w:line="240" w:lineRule="auto"/>
        <w:rPr>
          <w:szCs w:val="22"/>
        </w:rPr>
      </w:pPr>
      <w:r w:rsidRPr="00A40EC9">
        <w:rPr>
          <w:b/>
          <w:szCs w:val="22"/>
          <w:highlight w:val="lightGray"/>
        </w:rPr>
        <w:t>11.</w:t>
      </w:r>
      <w:r w:rsidRPr="00A40EC9">
        <w:rPr>
          <w:b/>
          <w:szCs w:val="22"/>
        </w:rPr>
        <w:tab/>
        <w:t>ZVLÁŠTNÍ OPATŘENÍ PRO UCHOVÁVÁNÍ</w:t>
      </w:r>
    </w:p>
    <w:p w:rsidR="00C114FF" w:rsidRPr="00A40EC9" w:rsidRDefault="00C114FF" w:rsidP="00166575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C114FF" w:rsidRPr="00A40EC9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A40EC9">
        <w:t>Uchovávat mimo dohled a dosah dětí.</w:t>
      </w:r>
    </w:p>
    <w:p w:rsidR="00C114FF" w:rsidRPr="00A40EC9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7335F5" w:rsidRPr="00A40EC9" w:rsidRDefault="007335F5" w:rsidP="007335F5">
      <w:pPr>
        <w:tabs>
          <w:tab w:val="clear" w:pos="567"/>
        </w:tabs>
        <w:spacing w:line="240" w:lineRule="auto"/>
        <w:rPr>
          <w:szCs w:val="22"/>
        </w:rPr>
      </w:pPr>
      <w:r w:rsidRPr="00A40EC9">
        <w:t>Chraňte před mrazem.</w:t>
      </w:r>
    </w:p>
    <w:p w:rsidR="00827F49" w:rsidRPr="00A40EC9" w:rsidRDefault="00827F49" w:rsidP="007335F5">
      <w:pPr>
        <w:tabs>
          <w:tab w:val="clear" w:pos="567"/>
        </w:tabs>
        <w:spacing w:line="240" w:lineRule="auto"/>
        <w:rPr>
          <w:szCs w:val="22"/>
        </w:rPr>
      </w:pPr>
    </w:p>
    <w:p w:rsidR="00827F49" w:rsidRPr="00A40EC9" w:rsidRDefault="00827F49" w:rsidP="007335F5">
      <w:pPr>
        <w:tabs>
          <w:tab w:val="clear" w:pos="567"/>
        </w:tabs>
        <w:spacing w:line="240" w:lineRule="auto"/>
        <w:rPr>
          <w:szCs w:val="22"/>
        </w:rPr>
      </w:pPr>
      <w:r w:rsidRPr="00A40EC9">
        <w:t xml:space="preserve">Doba použitelnosti po prvním otevření </w:t>
      </w:r>
      <w:r w:rsidR="000F2727">
        <w:t xml:space="preserve">vnitřního </w:t>
      </w:r>
      <w:r w:rsidRPr="00A40EC9">
        <w:t>obalu: spotřebujte</w:t>
      </w:r>
      <w:r w:rsidR="000F2727">
        <w:t xml:space="preserve"> ihned</w:t>
      </w:r>
      <w:r w:rsidRPr="00A40EC9">
        <w:t>.</w:t>
      </w:r>
    </w:p>
    <w:p w:rsidR="00C114FF" w:rsidRPr="00A40EC9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C114FF" w:rsidRPr="00A40EC9" w:rsidRDefault="0043320A" w:rsidP="00BA00D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A40EC9">
        <w:t xml:space="preserve">Nepoužívejte tento veterinární léčivý přípravek po uplynutí doby použitelnosti uvedené na lahvičce a krabičce </w:t>
      </w:r>
      <w:r w:rsidR="000F2727">
        <w:t xml:space="preserve">po </w:t>
      </w:r>
      <w:r w:rsidRPr="00A40EC9">
        <w:t>EXP. Doba použitelnosti končí posledním dnem v uvedeném měsíci.</w:t>
      </w:r>
    </w:p>
    <w:p w:rsidR="00C114FF" w:rsidRPr="00A40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A40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A40EC9" w:rsidRDefault="00C114FF" w:rsidP="00895A2F">
      <w:pPr>
        <w:tabs>
          <w:tab w:val="clear" w:pos="567"/>
        </w:tabs>
        <w:spacing w:line="240" w:lineRule="auto"/>
        <w:rPr>
          <w:b/>
          <w:szCs w:val="22"/>
        </w:rPr>
      </w:pPr>
      <w:r w:rsidRPr="00A40EC9">
        <w:rPr>
          <w:b/>
          <w:szCs w:val="22"/>
          <w:highlight w:val="lightGray"/>
        </w:rPr>
        <w:t>12.</w:t>
      </w:r>
      <w:r w:rsidRPr="00A40EC9">
        <w:rPr>
          <w:b/>
          <w:szCs w:val="22"/>
        </w:rPr>
        <w:tab/>
        <w:t>ZVLÁŠTNÍ UPOZORNĚNÍ</w:t>
      </w:r>
    </w:p>
    <w:p w:rsidR="00C114FF" w:rsidRPr="00A40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43320A" w:rsidRPr="00A40EC9" w:rsidRDefault="0043320A" w:rsidP="0043320A">
      <w:pPr>
        <w:tabs>
          <w:tab w:val="clear" w:pos="567"/>
        </w:tabs>
        <w:spacing w:line="240" w:lineRule="auto"/>
        <w:rPr>
          <w:szCs w:val="22"/>
        </w:rPr>
      </w:pPr>
      <w:r w:rsidRPr="00A40EC9">
        <w:rPr>
          <w:szCs w:val="22"/>
          <w:u w:val="single"/>
        </w:rPr>
        <w:t>Zvláštní upozornění pro každý cílový druh</w:t>
      </w:r>
    </w:p>
    <w:p w:rsidR="0052071C" w:rsidRPr="00B71938" w:rsidRDefault="0052071C" w:rsidP="0052071C">
      <w:pPr>
        <w:rPr>
          <w:color w:val="1F497D"/>
          <w:lang w:eastAsia="cs-CZ"/>
        </w:rPr>
      </w:pPr>
      <w:r w:rsidRPr="00F155E0">
        <w:t>Přípravek je stabilní emulze.</w:t>
      </w:r>
      <w:r>
        <w:t xml:space="preserve"> </w:t>
      </w:r>
      <w:r w:rsidRPr="00F155E0">
        <w:rPr>
          <w:color w:val="1F497D"/>
          <w:lang w:eastAsia="cs-CZ"/>
        </w:rPr>
        <w:t>Před použitím je třeba přípravek vizuálně zkontrolovat, že nejsou přítomny viditelné kapičky nebo cizorodé částice ani nedochází k oddělení fází, v opačném </w:t>
      </w:r>
      <w:r w:rsidRPr="00B71938">
        <w:rPr>
          <w:color w:val="1F497D"/>
          <w:lang w:eastAsia="cs-CZ"/>
        </w:rPr>
        <w:t>případě přípravek zlikvidujte. Nepoužívejte, pokud oddělení fází přetrvává i po jemném protřepání.</w:t>
      </w:r>
    </w:p>
    <w:p w:rsidR="0095549B" w:rsidRPr="00A40EC9" w:rsidRDefault="0095549B" w:rsidP="0095549B">
      <w:pPr>
        <w:tabs>
          <w:tab w:val="clear" w:pos="567"/>
        </w:tabs>
        <w:spacing w:line="240" w:lineRule="auto"/>
        <w:rPr>
          <w:szCs w:val="22"/>
        </w:rPr>
      </w:pPr>
    </w:p>
    <w:p w:rsidR="0052071C" w:rsidRDefault="0052071C" w:rsidP="0052071C">
      <w:pPr>
        <w:tabs>
          <w:tab w:val="clear" w:pos="567"/>
        </w:tabs>
        <w:spacing w:line="240" w:lineRule="auto"/>
        <w:rPr>
          <w:szCs w:val="22"/>
        </w:rPr>
      </w:pPr>
      <w:r>
        <w:t>Pokud bude přípravek podáván příliš pomalu, nemusí být dosažena  dostatečná úroven</w:t>
      </w:r>
      <w:r w:rsidR="00870B83">
        <w:t xml:space="preserve"> anesté</w:t>
      </w:r>
      <w:r>
        <w:t>zie, protože nebude dosažen dostatečný práh farmakologické účinnosti.</w:t>
      </w:r>
    </w:p>
    <w:p w:rsidR="0043320A" w:rsidRPr="00A40EC9" w:rsidRDefault="0043320A" w:rsidP="0043320A">
      <w:pPr>
        <w:tabs>
          <w:tab w:val="clear" w:pos="567"/>
        </w:tabs>
        <w:spacing w:line="240" w:lineRule="auto"/>
        <w:rPr>
          <w:szCs w:val="22"/>
        </w:rPr>
      </w:pPr>
    </w:p>
    <w:p w:rsidR="004A2506" w:rsidRPr="00A40EC9" w:rsidRDefault="0043320A" w:rsidP="00F14134">
      <w:pPr>
        <w:keepNext/>
        <w:tabs>
          <w:tab w:val="clear" w:pos="567"/>
        </w:tabs>
        <w:spacing w:line="240" w:lineRule="auto"/>
        <w:rPr>
          <w:szCs w:val="22"/>
        </w:rPr>
      </w:pPr>
      <w:r w:rsidRPr="00A40EC9">
        <w:rPr>
          <w:szCs w:val="22"/>
          <w:u w:val="single"/>
        </w:rPr>
        <w:t>Zvláštní opatření pro použití u zvířat</w:t>
      </w:r>
    </w:p>
    <w:p w:rsidR="00870B83" w:rsidRPr="00AF7679" w:rsidRDefault="00870B83" w:rsidP="00870B83">
      <w:pPr>
        <w:tabs>
          <w:tab w:val="clear" w:pos="567"/>
        </w:tabs>
        <w:spacing w:line="240" w:lineRule="auto"/>
        <w:rPr>
          <w:szCs w:val="22"/>
        </w:rPr>
      </w:pPr>
      <w:r>
        <w:t>V době zahájení anestézie může dojít k mírné hypotenzi a přechodné apnoi. Při použití tohoto veterinárního léčivého přípravku je nutno zajistit dostupnost technických prostředků k udržení průchodnosti dýchacích cest pacienta, umělé ventilace a obohacení kyslíkem. Po vyvolání anestézie se doporučuje použít endotrachiální trubici. Při delší anestézii vyvolané propofolem byly hlášeny zvýšené hodnoty oxidu uhličitého v </w:t>
      </w:r>
      <w:r w:rsidR="00A06EAF">
        <w:t>krvi. V průběhu udržování anesté</w:t>
      </w:r>
      <w:r>
        <w:t xml:space="preserve">zie se </w:t>
      </w:r>
      <w:r w:rsidRPr="00354209">
        <w:t xml:space="preserve">doporučuje podávat </w:t>
      </w:r>
      <w:r>
        <w:t>obohacení</w:t>
      </w:r>
      <w:r w:rsidRPr="00354209">
        <w:t xml:space="preserve"> kyslík</w:t>
      </w:r>
      <w:r w:rsidRPr="00B71938">
        <w:t>em</w:t>
      </w:r>
      <w:r w:rsidRPr="00354209">
        <w:t>. Kromě toho by měla být zvážena</w:t>
      </w:r>
      <w:r w:rsidR="00A06EAF">
        <w:t xml:space="preserve"> v průběhu delší anesté</w:t>
      </w:r>
      <w:r>
        <w:t>zie potřeba umělé ventilace.</w:t>
      </w:r>
    </w:p>
    <w:p w:rsidR="00B03DB0" w:rsidRPr="00A40EC9" w:rsidRDefault="00B03DB0" w:rsidP="00B03DB0">
      <w:pPr>
        <w:tabs>
          <w:tab w:val="clear" w:pos="567"/>
        </w:tabs>
        <w:spacing w:line="240" w:lineRule="auto"/>
        <w:rPr>
          <w:szCs w:val="22"/>
        </w:rPr>
      </w:pPr>
    </w:p>
    <w:p w:rsidR="00870B83" w:rsidRDefault="00870B83" w:rsidP="00870B83">
      <w:pPr>
        <w:tabs>
          <w:tab w:val="clear" w:pos="567"/>
        </w:tabs>
        <w:spacing w:line="240" w:lineRule="auto"/>
        <w:rPr>
          <w:szCs w:val="22"/>
        </w:rPr>
      </w:pPr>
      <w:r>
        <w:t>Pokud je přípravek podán příliš rychle, může vyvolat kardiopulmonální depresi (apnoe, bradykardie, hypotenze).</w:t>
      </w:r>
    </w:p>
    <w:p w:rsidR="004A2506" w:rsidRPr="00A40EC9" w:rsidRDefault="004A2506" w:rsidP="004A2506">
      <w:pPr>
        <w:tabs>
          <w:tab w:val="clear" w:pos="567"/>
        </w:tabs>
        <w:spacing w:line="240" w:lineRule="auto"/>
        <w:rPr>
          <w:szCs w:val="22"/>
        </w:rPr>
      </w:pPr>
    </w:p>
    <w:p w:rsidR="00870B83" w:rsidRDefault="00870B83" w:rsidP="00870B83">
      <w:pPr>
        <w:tabs>
          <w:tab w:val="clear" w:pos="567"/>
        </w:tabs>
        <w:spacing w:line="240" w:lineRule="auto"/>
        <w:rPr>
          <w:szCs w:val="22"/>
        </w:rPr>
      </w:pPr>
      <w:r>
        <w:t>Tak jako při jiných intravenózních anesteticích, je potřeba být  opatrný při podávání přípravku psům a kočkám s poškozením srdce, dýchacího traktu, ledvin nebo jater, jako i u hypovolemických nebo oslabených zvířat.</w:t>
      </w:r>
    </w:p>
    <w:p w:rsidR="00026194" w:rsidRPr="00A40EC9" w:rsidRDefault="00026194" w:rsidP="00026194">
      <w:pPr>
        <w:tabs>
          <w:tab w:val="clear" w:pos="567"/>
        </w:tabs>
        <w:spacing w:line="240" w:lineRule="auto"/>
        <w:rPr>
          <w:szCs w:val="22"/>
        </w:rPr>
      </w:pPr>
    </w:p>
    <w:p w:rsidR="00870B83" w:rsidRPr="00AF7679" w:rsidRDefault="00870B83" w:rsidP="00870B83">
      <w:pPr>
        <w:tabs>
          <w:tab w:val="clear" w:pos="567"/>
        </w:tabs>
        <w:spacing w:line="240" w:lineRule="auto"/>
        <w:rPr>
          <w:szCs w:val="22"/>
        </w:rPr>
      </w:pPr>
      <w:r w:rsidRPr="00354209">
        <w:t>Propofol může zvýšit u zdravých psů</w:t>
      </w:r>
      <w:r w:rsidRPr="00B71938">
        <w:t xml:space="preserve"> </w:t>
      </w:r>
      <w:r w:rsidRPr="00354209">
        <w:t>metabolismus glukózy v krvi a vylučování inzulinu</w:t>
      </w:r>
      <w:r>
        <w:t>. Protože nejsou k dispozici údaje o bezpečnosti u diabetických zvířat, používejte přípravek pouze po zvážení terapeutického prospěchu a rizika veterinárním lékařem.</w:t>
      </w:r>
    </w:p>
    <w:p w:rsidR="00B03DB0" w:rsidRPr="00A40EC9" w:rsidRDefault="00B03DB0" w:rsidP="00B03DB0">
      <w:pPr>
        <w:tabs>
          <w:tab w:val="clear" w:pos="567"/>
        </w:tabs>
        <w:spacing w:line="240" w:lineRule="auto"/>
        <w:rPr>
          <w:szCs w:val="22"/>
        </w:rPr>
      </w:pPr>
    </w:p>
    <w:p w:rsidR="00870B83" w:rsidRPr="009E1B67" w:rsidRDefault="00870B83" w:rsidP="00870B83">
      <w:pPr>
        <w:tabs>
          <w:tab w:val="clear" w:pos="567"/>
        </w:tabs>
        <w:spacing w:line="240" w:lineRule="auto"/>
        <w:rPr>
          <w:szCs w:val="22"/>
        </w:rPr>
      </w:pPr>
      <w:r>
        <w:t>Opatrnost by měla být zachována při podávání přípravku pacientům s hypoproteinémií, hyperlipidémií, jako i u velice hubených zvířat, protože tato zvířata mohou být náchylnější k vzniku nežádoucích účinků.</w:t>
      </w:r>
    </w:p>
    <w:p w:rsidR="00B03DB0" w:rsidRPr="00A40EC9" w:rsidRDefault="00B03DB0" w:rsidP="00B03DB0">
      <w:pPr>
        <w:tabs>
          <w:tab w:val="clear" w:pos="567"/>
        </w:tabs>
        <w:spacing w:line="240" w:lineRule="auto"/>
        <w:rPr>
          <w:szCs w:val="22"/>
        </w:rPr>
      </w:pPr>
    </w:p>
    <w:p w:rsidR="00B03DB0" w:rsidRPr="00A40EC9" w:rsidRDefault="00B03DB0" w:rsidP="00B03DB0">
      <w:pPr>
        <w:tabs>
          <w:tab w:val="clear" w:pos="567"/>
        </w:tabs>
        <w:spacing w:line="240" w:lineRule="auto"/>
        <w:rPr>
          <w:szCs w:val="22"/>
        </w:rPr>
      </w:pPr>
      <w:r w:rsidRPr="00A40EC9">
        <w:t xml:space="preserve">Bezpečnost přípravku nebyla stanovena u psů a koček mladších než 4 měsíce. U těchto zvířat by měl být přípravek používán pouze </w:t>
      </w:r>
      <w:r w:rsidR="00870B83">
        <w:t>po</w:t>
      </w:r>
      <w:r w:rsidRPr="00A40EC9">
        <w:t xml:space="preserve"> zvážení terapeutického prospěchu a rizika příslušným veterinárním lékařem.</w:t>
      </w:r>
    </w:p>
    <w:p w:rsidR="004A2506" w:rsidRPr="00A40EC9" w:rsidRDefault="004A2506" w:rsidP="004A2506">
      <w:pPr>
        <w:tabs>
          <w:tab w:val="clear" w:pos="567"/>
        </w:tabs>
        <w:spacing w:line="240" w:lineRule="auto"/>
        <w:rPr>
          <w:szCs w:val="22"/>
        </w:rPr>
      </w:pPr>
    </w:p>
    <w:p w:rsidR="00870B83" w:rsidRDefault="00870B83" w:rsidP="00870B83">
      <w:pPr>
        <w:tabs>
          <w:tab w:val="clear" w:pos="567"/>
        </w:tabs>
        <w:spacing w:line="240" w:lineRule="auto"/>
        <w:rPr>
          <w:szCs w:val="22"/>
        </w:rPr>
      </w:pPr>
      <w:r w:rsidRPr="00354209">
        <w:t xml:space="preserve">Bylo pozorováno, že </w:t>
      </w:r>
      <w:r w:rsidRPr="000A1D5C">
        <w:t>clearance propofolu probíhá pomaleji u obézních zvířat, zvířat</w:t>
      </w:r>
      <w:r>
        <w:t xml:space="preserve"> s nadváhou a psů starších 8 let. Při podávání přípravku těmto zvířatům by měla být  zachována zvlášť vysoká opatrnost; zejména platí, že v těchto případech může být k vyvolání a udržení </w:t>
      </w:r>
      <w:r w:rsidRPr="000A1D5C">
        <w:t>požadovaného účinku dostatečná nižší dávka. U chrtů byla hlášena pozorovan</w:t>
      </w:r>
      <w:r w:rsidRPr="0069286C">
        <w:t xml:space="preserve">á pomalejší </w:t>
      </w:r>
      <w:r w:rsidRPr="009E3C22">
        <w:t xml:space="preserve">clearance </w:t>
      </w:r>
      <w:r w:rsidRPr="00201F62">
        <w:t xml:space="preserve">propofolu a zotavení </w:t>
      </w:r>
      <w:r w:rsidRPr="000A1D5C">
        <w:t>z anestézie u nich může probíhat o něco pomaleji než u psů jiných plemen.</w:t>
      </w:r>
    </w:p>
    <w:p w:rsidR="00870B83" w:rsidRPr="002121F4" w:rsidRDefault="00870B83" w:rsidP="00870B83">
      <w:pPr>
        <w:tabs>
          <w:tab w:val="clear" w:pos="567"/>
        </w:tabs>
        <w:spacing w:line="240" w:lineRule="auto"/>
        <w:rPr>
          <w:szCs w:val="22"/>
        </w:rPr>
      </w:pPr>
    </w:p>
    <w:p w:rsidR="00B03DB0" w:rsidRPr="00A40EC9" w:rsidRDefault="00B03DB0" w:rsidP="00B03DB0">
      <w:pPr>
        <w:tabs>
          <w:tab w:val="clear" w:pos="567"/>
        </w:tabs>
        <w:spacing w:line="240" w:lineRule="auto"/>
        <w:rPr>
          <w:szCs w:val="22"/>
        </w:rPr>
      </w:pPr>
    </w:p>
    <w:p w:rsidR="00870B83" w:rsidRPr="00A40EC9" w:rsidRDefault="00870B83" w:rsidP="00870B83">
      <w:pPr>
        <w:tabs>
          <w:tab w:val="clear" w:pos="567"/>
        </w:tabs>
        <w:spacing w:line="240" w:lineRule="auto"/>
      </w:pPr>
      <w:r w:rsidRPr="00B7351D">
        <w:t>Propofol nemá analgetické účinky, proto by měla být podána dodatečná analgetika, pokud se</w:t>
      </w:r>
      <w:r>
        <w:t xml:space="preserve"> předpokládá bolestivost zákroku. Pokud je používán propofol společně s opioidy, lze v případech výskytu bradykardie podat anticholinergickou látku (např. atropin) na základě zvážení terapeutického prospěchu a rizika příslušným veterinárním lékařem. Viz bod </w:t>
      </w:r>
      <w:r w:rsidRPr="00A40EC9">
        <w:t>12 Interakce s dalšími léčivými přípravky a další formy interakce.</w:t>
      </w:r>
    </w:p>
    <w:p w:rsidR="00A57AA8" w:rsidRPr="00A40EC9" w:rsidRDefault="00A57AA8" w:rsidP="00B03DB0">
      <w:pPr>
        <w:tabs>
          <w:tab w:val="clear" w:pos="567"/>
        </w:tabs>
        <w:spacing w:line="240" w:lineRule="auto"/>
        <w:rPr>
          <w:szCs w:val="22"/>
        </w:rPr>
      </w:pPr>
    </w:p>
    <w:p w:rsidR="00A57AA8" w:rsidRPr="00A40EC9" w:rsidRDefault="00A57AA8" w:rsidP="00B03DB0">
      <w:pPr>
        <w:tabs>
          <w:tab w:val="clear" w:pos="567"/>
        </w:tabs>
        <w:spacing w:line="240" w:lineRule="auto"/>
        <w:rPr>
          <w:szCs w:val="22"/>
        </w:rPr>
      </w:pPr>
      <w:r w:rsidRPr="00A40EC9">
        <w:rPr>
          <w:szCs w:val="22"/>
        </w:rPr>
        <w:t xml:space="preserve">Při podávání přípravku </w:t>
      </w:r>
      <w:r w:rsidR="00870B83">
        <w:t xml:space="preserve">dodržujte </w:t>
      </w:r>
      <w:r w:rsidRPr="00A40EC9">
        <w:rPr>
          <w:szCs w:val="22"/>
        </w:rPr>
        <w:t>aseptické postupy.</w:t>
      </w:r>
    </w:p>
    <w:p w:rsidR="004A2506" w:rsidRPr="00A40EC9" w:rsidRDefault="004A2506" w:rsidP="0043320A">
      <w:pPr>
        <w:tabs>
          <w:tab w:val="clear" w:pos="567"/>
        </w:tabs>
        <w:spacing w:line="240" w:lineRule="auto"/>
        <w:rPr>
          <w:szCs w:val="22"/>
        </w:rPr>
      </w:pPr>
    </w:p>
    <w:p w:rsidR="0043320A" w:rsidRPr="00A40EC9" w:rsidRDefault="0043320A" w:rsidP="003468B4">
      <w:pPr>
        <w:keepNext/>
        <w:tabs>
          <w:tab w:val="clear" w:pos="567"/>
        </w:tabs>
        <w:spacing w:line="240" w:lineRule="auto"/>
        <w:rPr>
          <w:szCs w:val="22"/>
        </w:rPr>
      </w:pPr>
      <w:r w:rsidRPr="00A40EC9">
        <w:rPr>
          <w:szCs w:val="22"/>
          <w:u w:val="single"/>
        </w:rPr>
        <w:t>Zvláštní opatření určené osobám, které podávají veterinární léčivý přípravek zvířatům</w:t>
      </w:r>
      <w:r w:rsidR="00737FB7">
        <w:rPr>
          <w:szCs w:val="22"/>
          <w:u w:val="single"/>
        </w:rPr>
        <w:t>:</w:t>
      </w:r>
    </w:p>
    <w:p w:rsidR="004A2506" w:rsidRPr="00A40EC9" w:rsidRDefault="004A2506" w:rsidP="004A250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A40EC9">
        <w:t xml:space="preserve">Propofol je </w:t>
      </w:r>
      <w:r w:rsidR="00737FB7">
        <w:t xml:space="preserve">silné </w:t>
      </w:r>
      <w:r w:rsidRPr="00A40EC9">
        <w:t>celkové anestetikum</w:t>
      </w:r>
      <w:r w:rsidR="00737FB7">
        <w:t xml:space="preserve">, </w:t>
      </w:r>
      <w:r w:rsidRPr="00A40EC9">
        <w:t xml:space="preserve">proto </w:t>
      </w:r>
      <w:r w:rsidR="00737FB7">
        <w:t xml:space="preserve">předcházejte náhodnému samopodání injekce. Používejte krytku jehly </w:t>
      </w:r>
      <w:r w:rsidRPr="00A40EC9">
        <w:t xml:space="preserve">až do okamžiku </w:t>
      </w:r>
      <w:r w:rsidR="00737FB7">
        <w:t>podání přípravku</w:t>
      </w:r>
    </w:p>
    <w:p w:rsidR="004A2506" w:rsidRPr="00A40EC9" w:rsidRDefault="004A2506" w:rsidP="004A250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:rsidR="004A2506" w:rsidRPr="00A40EC9" w:rsidRDefault="004A2506" w:rsidP="004A250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A40EC9">
        <w:t xml:space="preserve">V případě náhodného sebepoškození injekčně aplikovaným přípravkem vyhledejte </w:t>
      </w:r>
      <w:r w:rsidR="00737FB7">
        <w:t xml:space="preserve">ihned </w:t>
      </w:r>
      <w:r w:rsidRPr="00A40EC9">
        <w:t xml:space="preserve">lékařskou pomoc a ukažte </w:t>
      </w:r>
      <w:r w:rsidR="00737FB7">
        <w:t xml:space="preserve">příbalovou informaci nebo etiketu praktickému lékaři, ale </w:t>
      </w:r>
      <w:r w:rsidRPr="00A40EC9">
        <w:t xml:space="preserve"> </w:t>
      </w:r>
      <w:r w:rsidRPr="00A40EC9">
        <w:rPr>
          <w:b/>
          <w:szCs w:val="22"/>
        </w:rPr>
        <w:t xml:space="preserve">NEŘIĎTE </w:t>
      </w:r>
      <w:r w:rsidR="00737FB7">
        <w:rPr>
          <w:b/>
          <w:szCs w:val="22"/>
        </w:rPr>
        <w:t>MOTOROVÉ VOZIDLO</w:t>
      </w:r>
      <w:r w:rsidRPr="00A40EC9">
        <w:rPr>
          <w:b/>
          <w:szCs w:val="22"/>
        </w:rPr>
        <w:t xml:space="preserve">, </w:t>
      </w:r>
      <w:r w:rsidR="00737FB7">
        <w:rPr>
          <w:b/>
          <w:szCs w:val="22"/>
        </w:rPr>
        <w:t xml:space="preserve">neboť </w:t>
      </w:r>
      <w:r w:rsidRPr="00A40EC9">
        <w:rPr>
          <w:b/>
          <w:szCs w:val="22"/>
        </w:rPr>
        <w:t>může dojít k sedaci.</w:t>
      </w:r>
    </w:p>
    <w:p w:rsidR="004A2506" w:rsidRPr="00A40EC9" w:rsidRDefault="004A2506" w:rsidP="004A250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:rsidR="004A2506" w:rsidRPr="00A40EC9" w:rsidRDefault="00B03DB0" w:rsidP="004A250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A40EC9">
        <w:t xml:space="preserve">Tento přípravek může </w:t>
      </w:r>
      <w:r w:rsidR="00737FB7">
        <w:t>vyvolat</w:t>
      </w:r>
      <w:r w:rsidRPr="00A40EC9">
        <w:t xml:space="preserve"> hypersenzitivní (alergické) reakce u osob, které </w:t>
      </w:r>
      <w:r w:rsidR="00737FB7">
        <w:t>jsou citlivé</w:t>
      </w:r>
      <w:r w:rsidRPr="00A40EC9">
        <w:t xml:space="preserve"> na propofol, sój</w:t>
      </w:r>
      <w:r w:rsidR="00737FB7">
        <w:t>u</w:t>
      </w:r>
      <w:r w:rsidRPr="00A40EC9">
        <w:t xml:space="preserve"> nebo vejce. Lidé se známou přecitlivělostí na </w:t>
      </w:r>
      <w:r w:rsidR="00737FB7">
        <w:t>tyto látky</w:t>
      </w:r>
      <w:r w:rsidRPr="00A40EC9">
        <w:t xml:space="preserve"> by se měli vyhnout kontaktu s veterinárním léčivým přípravkem.</w:t>
      </w:r>
    </w:p>
    <w:p w:rsidR="004A2506" w:rsidRPr="00A40EC9" w:rsidRDefault="004A2506" w:rsidP="004A250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:rsidR="004A2506" w:rsidRPr="00A40EC9" w:rsidRDefault="00737FB7" w:rsidP="004A250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 xml:space="preserve">Zabraňte </w:t>
      </w:r>
      <w:r w:rsidR="004A2506" w:rsidRPr="00A40EC9">
        <w:t xml:space="preserve">kontaktu s pokožkou a očima, </w:t>
      </w:r>
      <w:r>
        <w:t xml:space="preserve">jelikož přípravek </w:t>
      </w:r>
      <w:r w:rsidR="004A2506" w:rsidRPr="00A40EC9">
        <w:t xml:space="preserve"> může </w:t>
      </w:r>
      <w:r>
        <w:t>vyvolat</w:t>
      </w:r>
      <w:r w:rsidRPr="00A40EC9">
        <w:t xml:space="preserve"> </w:t>
      </w:r>
      <w:r w:rsidR="004A2506" w:rsidRPr="00A40EC9">
        <w:t>podráždění.</w:t>
      </w:r>
    </w:p>
    <w:p w:rsidR="004A2506" w:rsidRPr="00A40EC9" w:rsidRDefault="004A2506" w:rsidP="004A250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:rsidR="004A2506" w:rsidRPr="00A40EC9" w:rsidRDefault="004A2506" w:rsidP="004A250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A40EC9">
        <w:t>V</w:t>
      </w:r>
      <w:r w:rsidR="00737FB7">
        <w:t> </w:t>
      </w:r>
      <w:r w:rsidRPr="00A40EC9">
        <w:t>případě</w:t>
      </w:r>
      <w:r w:rsidR="00737FB7">
        <w:t xml:space="preserve"> potřísnění </w:t>
      </w:r>
      <w:r w:rsidRPr="00A40EC9">
        <w:t xml:space="preserve">pokožky nebo očí, </w:t>
      </w:r>
      <w:r w:rsidR="00737FB7">
        <w:t>ihned</w:t>
      </w:r>
      <w:r w:rsidRPr="00A40EC9">
        <w:t xml:space="preserve"> umyjte zasažené místo velkým množstvím </w:t>
      </w:r>
      <w:r w:rsidR="00737FB7">
        <w:t>čisté</w:t>
      </w:r>
      <w:r w:rsidRPr="00A40EC9">
        <w:t xml:space="preserve"> vody. Pokud podráždění přetrvává, vyhledejte lékařskou pomoc.</w:t>
      </w:r>
    </w:p>
    <w:p w:rsidR="004A2506" w:rsidRPr="00A40EC9" w:rsidRDefault="004A2506" w:rsidP="004A250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:rsidR="004A2506" w:rsidRPr="00A40EC9" w:rsidRDefault="004A2506" w:rsidP="004A250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  <w:szCs w:val="22"/>
        </w:rPr>
      </w:pPr>
      <w:r w:rsidRPr="00A40EC9">
        <w:rPr>
          <w:b/>
          <w:szCs w:val="22"/>
        </w:rPr>
        <w:t>Pro lékaře:</w:t>
      </w:r>
    </w:p>
    <w:p w:rsidR="0043320A" w:rsidRPr="00A40EC9" w:rsidRDefault="004A2506" w:rsidP="0043320A">
      <w:pPr>
        <w:tabs>
          <w:tab w:val="clear" w:pos="567"/>
        </w:tabs>
        <w:spacing w:line="240" w:lineRule="auto"/>
        <w:rPr>
          <w:szCs w:val="22"/>
        </w:rPr>
      </w:pPr>
      <w:r w:rsidRPr="00A40EC9">
        <w:t>Nenechávejte pacienta bez dozoru. Udržujte průchodnost dýchacích cest a poskytujte symptomatickou a podpůrnou léčbu.</w:t>
      </w:r>
    </w:p>
    <w:p w:rsidR="004A2506" w:rsidRPr="00A40EC9" w:rsidRDefault="004A2506" w:rsidP="0043320A">
      <w:pPr>
        <w:tabs>
          <w:tab w:val="clear" w:pos="567"/>
        </w:tabs>
        <w:spacing w:line="240" w:lineRule="auto"/>
        <w:rPr>
          <w:szCs w:val="22"/>
        </w:rPr>
      </w:pPr>
    </w:p>
    <w:p w:rsidR="00A265BF" w:rsidRPr="00A40EC9" w:rsidRDefault="00A265BF" w:rsidP="0043320A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A40EC9">
        <w:rPr>
          <w:szCs w:val="22"/>
          <w:u w:val="single"/>
        </w:rPr>
        <w:t>Březost a laktace</w:t>
      </w:r>
    </w:p>
    <w:p w:rsidR="00870B83" w:rsidRPr="00EE0F1E" w:rsidRDefault="00870B83" w:rsidP="00870B83">
      <w:pPr>
        <w:tabs>
          <w:tab w:val="clear" w:pos="567"/>
        </w:tabs>
        <w:spacing w:line="240" w:lineRule="auto"/>
        <w:rPr>
          <w:szCs w:val="22"/>
        </w:rPr>
      </w:pPr>
      <w:r>
        <w:t>Bezpečnost veterinárního léčivého přípravku pro použití během březosti (u plodů/novorozených mláďat) a laktace nebyla stanovena. Propofol byl bezpečn</w:t>
      </w:r>
      <w:r w:rsidR="00A06EAF">
        <w:t>ě použit u psů k vyvolání anesté</w:t>
      </w:r>
      <w:r>
        <w:t>zie před porodem císařským řezem. Propofol prostupuje přes placentu a hematoencefalickou bariéru plodu, proto může mít v době vývoje mozku nežádoucí účinek na neurologický vývoj u plodů a novorozených mláďat. V důsledku rizika neonatálního úmrtí se nedoporučuje používat propofol k udržování anestézie během operace císařským  řezem.</w:t>
      </w:r>
    </w:p>
    <w:p w:rsidR="004A2506" w:rsidRPr="00A40EC9" w:rsidRDefault="004A2506" w:rsidP="004A2506">
      <w:pPr>
        <w:tabs>
          <w:tab w:val="clear" w:pos="567"/>
        </w:tabs>
        <w:spacing w:line="240" w:lineRule="auto"/>
        <w:rPr>
          <w:szCs w:val="22"/>
        </w:rPr>
      </w:pPr>
    </w:p>
    <w:p w:rsidR="00BE3261" w:rsidRPr="00A40EC9" w:rsidRDefault="00337F43" w:rsidP="0043320A">
      <w:pPr>
        <w:tabs>
          <w:tab w:val="clear" w:pos="567"/>
        </w:tabs>
        <w:spacing w:line="240" w:lineRule="auto"/>
        <w:rPr>
          <w:szCs w:val="22"/>
        </w:rPr>
      </w:pPr>
      <w:r w:rsidRPr="003468B4">
        <w:rPr>
          <w:szCs w:val="22"/>
          <w:lang w:eastAsia="cs-CZ"/>
        </w:rPr>
        <w:t>Přípravek použít pouze po zvážení terapeutického prospěchu a rizika příslušným veterinárním lékařem.</w:t>
      </w:r>
    </w:p>
    <w:p w:rsidR="0043320A" w:rsidRPr="00A40EC9" w:rsidRDefault="0043320A" w:rsidP="0043320A">
      <w:pPr>
        <w:tabs>
          <w:tab w:val="clear" w:pos="567"/>
        </w:tabs>
        <w:spacing w:line="240" w:lineRule="auto"/>
        <w:rPr>
          <w:szCs w:val="22"/>
        </w:rPr>
      </w:pPr>
      <w:r w:rsidRPr="00A40EC9">
        <w:rPr>
          <w:szCs w:val="22"/>
          <w:u w:val="single"/>
        </w:rPr>
        <w:t>Interakce s dalšími léčivými přípravky a další formy interakce</w:t>
      </w:r>
    </w:p>
    <w:p w:rsidR="004A2506" w:rsidRPr="00A40EC9" w:rsidRDefault="00337F43" w:rsidP="004A2506">
      <w:pPr>
        <w:tabs>
          <w:tab w:val="clear" w:pos="567"/>
        </w:tabs>
        <w:spacing w:line="240" w:lineRule="auto"/>
        <w:rPr>
          <w:szCs w:val="22"/>
        </w:rPr>
      </w:pPr>
      <w:r w:rsidRPr="007015FF">
        <w:t>Propofol lze použít společně s látkami k premedikaci</w:t>
      </w:r>
      <w:r w:rsidRPr="00854D5E">
        <w:t xml:space="preserve"> jako j</w:t>
      </w:r>
      <w:r>
        <w:t>sou</w:t>
      </w:r>
      <w:r w:rsidRPr="007015FF">
        <w:t xml:space="preserve"> </w:t>
      </w:r>
      <w:r w:rsidR="004A2506" w:rsidRPr="00A40EC9">
        <w:t xml:space="preserve">např. atropin, glykopyrolát, </w:t>
      </w:r>
      <w:r w:rsidR="004A2506" w:rsidRPr="00A40EC9">
        <w:sym w:font="Symbol" w:char="F061"/>
      </w:r>
      <w:r w:rsidR="004A2506" w:rsidRPr="00A40EC9">
        <w:t>-2 agonisté (medetomidin, dexmedetomidin), acepromazin, benzodiazepiny (diazepam, midazolam); inhalačními látkami (např. halothan, isofluran, sevofluran, enfluran a oxid dusný); jako i analgetiky, například pethidin a buprenorfin.</w:t>
      </w:r>
    </w:p>
    <w:p w:rsidR="004A2506" w:rsidRPr="00A40EC9" w:rsidRDefault="004A2506" w:rsidP="004A2506">
      <w:pPr>
        <w:tabs>
          <w:tab w:val="clear" w:pos="567"/>
        </w:tabs>
        <w:spacing w:line="240" w:lineRule="auto"/>
        <w:rPr>
          <w:szCs w:val="22"/>
        </w:rPr>
      </w:pPr>
    </w:p>
    <w:p w:rsidR="00337F43" w:rsidRPr="003911C8" w:rsidRDefault="00337F43" w:rsidP="00337F43">
      <w:pPr>
        <w:tabs>
          <w:tab w:val="clear" w:pos="567"/>
        </w:tabs>
        <w:spacing w:line="240" w:lineRule="auto"/>
        <w:rPr>
          <w:szCs w:val="22"/>
        </w:rPr>
      </w:pPr>
      <w:r w:rsidRPr="007015FF">
        <w:t xml:space="preserve">Tento přípravek lze podávat paralelně se všemi intravenózními kapalinami např. pomocí Y </w:t>
      </w:r>
      <w:r>
        <w:t>spojky začleněné co nejblíže</w:t>
      </w:r>
      <w:r w:rsidRPr="00854D5E">
        <w:t xml:space="preserve"> k míst</w:t>
      </w:r>
      <w:r>
        <w:t>u</w:t>
      </w:r>
      <w:r w:rsidRPr="00854D5E">
        <w:t xml:space="preserve"> </w:t>
      </w:r>
      <w:r>
        <w:t>vpichu</w:t>
      </w:r>
      <w:r w:rsidRPr="00854D5E">
        <w:t>. Přípravek lze zředit 5% infuzním roztokem glukózy. Studie kompatibility s jinými infuzními roztoky (např. NaCl nebo Ringerovým lak</w:t>
      </w:r>
      <w:r>
        <w:t>tá</w:t>
      </w:r>
      <w:r w:rsidRPr="00854D5E">
        <w:t>tovým roztokem) nebyly s tímto veterinárním léčivým přípravkem provedeny.</w:t>
      </w:r>
    </w:p>
    <w:p w:rsidR="004A2506" w:rsidRPr="00A40EC9" w:rsidRDefault="004A2506" w:rsidP="004A2506">
      <w:pPr>
        <w:tabs>
          <w:tab w:val="clear" w:pos="567"/>
        </w:tabs>
        <w:spacing w:line="240" w:lineRule="auto"/>
        <w:rPr>
          <w:szCs w:val="22"/>
        </w:rPr>
      </w:pPr>
    </w:p>
    <w:p w:rsidR="004A2506" w:rsidRPr="00A40EC9" w:rsidRDefault="00337F43" w:rsidP="004A2506">
      <w:pPr>
        <w:tabs>
          <w:tab w:val="clear" w:pos="567"/>
        </w:tabs>
        <w:spacing w:line="240" w:lineRule="auto"/>
        <w:rPr>
          <w:szCs w:val="22"/>
        </w:rPr>
      </w:pPr>
      <w:r>
        <w:t xml:space="preserve">Souběžné podání </w:t>
      </w:r>
      <w:r w:rsidR="004A2506" w:rsidRPr="00A40EC9">
        <w:t>sedativ nebo analgetik pravděpodobně vede ke snížení dávky propofolu potřebné k vyvolání a udržení anest</w:t>
      </w:r>
      <w:r w:rsidR="00A06EAF">
        <w:t>é</w:t>
      </w:r>
      <w:r w:rsidR="004A2506" w:rsidRPr="00A40EC9">
        <w:t xml:space="preserve">zie. Viz </w:t>
      </w:r>
      <w:r>
        <w:t>bod</w:t>
      </w:r>
      <w:r w:rsidR="004A2506" w:rsidRPr="00A40EC9">
        <w:t xml:space="preserve"> 8.</w:t>
      </w:r>
    </w:p>
    <w:p w:rsidR="004A2506" w:rsidRPr="00A40EC9" w:rsidRDefault="004A2506" w:rsidP="004A2506">
      <w:pPr>
        <w:tabs>
          <w:tab w:val="clear" w:pos="567"/>
        </w:tabs>
        <w:spacing w:line="240" w:lineRule="auto"/>
        <w:rPr>
          <w:szCs w:val="22"/>
        </w:rPr>
      </w:pPr>
    </w:p>
    <w:p w:rsidR="004A2506" w:rsidRPr="00A40EC9" w:rsidRDefault="004A2506" w:rsidP="004A2506">
      <w:pPr>
        <w:tabs>
          <w:tab w:val="clear" w:pos="567"/>
        </w:tabs>
        <w:spacing w:line="240" w:lineRule="auto"/>
        <w:rPr>
          <w:szCs w:val="22"/>
        </w:rPr>
      </w:pPr>
      <w:r w:rsidRPr="00A40EC9">
        <w:t xml:space="preserve">Současné použití propofolu s opioidy může vést k vážné respirační depresi a významnému snížení frekvence srdečního tepu. </w:t>
      </w:r>
      <w:r w:rsidR="00337F43">
        <w:t xml:space="preserve">U koček byl při současném použití propofolu a ketaminu pozorován častější výskyt apnoe než u použití propofolu s jinými látkami k premedikaci. Aby se snížilo riziko apnoe, propofol by měl být podáván pomalu v průběhu 20 až 60 sekund. </w:t>
      </w:r>
      <w:r w:rsidRPr="00A40EC9">
        <w:t xml:space="preserve"> Další informace viz </w:t>
      </w:r>
      <w:r w:rsidR="00337F43">
        <w:t>bod</w:t>
      </w:r>
      <w:r w:rsidR="00337F43" w:rsidRPr="00A40EC9">
        <w:t xml:space="preserve"> </w:t>
      </w:r>
      <w:r w:rsidRPr="00A40EC9">
        <w:t>12 Zvláštní opatření pro použití u zvířat.</w:t>
      </w:r>
      <w:r w:rsidR="00337F43">
        <w:t xml:space="preserve"> </w:t>
      </w:r>
    </w:p>
    <w:p w:rsidR="004A2506" w:rsidRPr="00A40EC9" w:rsidRDefault="004A2506" w:rsidP="004A2506">
      <w:pPr>
        <w:tabs>
          <w:tab w:val="clear" w:pos="567"/>
        </w:tabs>
        <w:spacing w:line="240" w:lineRule="auto"/>
        <w:rPr>
          <w:szCs w:val="22"/>
        </w:rPr>
      </w:pPr>
    </w:p>
    <w:p w:rsidR="004A2506" w:rsidRPr="00A40EC9" w:rsidRDefault="004A2506" w:rsidP="004A2506">
      <w:pPr>
        <w:tabs>
          <w:tab w:val="clear" w:pos="567"/>
        </w:tabs>
        <w:spacing w:line="240" w:lineRule="auto"/>
        <w:rPr>
          <w:szCs w:val="22"/>
        </w:rPr>
      </w:pPr>
      <w:r w:rsidRPr="00A40EC9">
        <w:t>Společné podávání propofolových a opioidových (např. fentanyl, alfentanil) inf</w:t>
      </w:r>
      <w:r w:rsidR="00A06EAF">
        <w:t>ú</w:t>
      </w:r>
      <w:r w:rsidRPr="00A40EC9">
        <w:t>zí za účelem udržování celkové anest</w:t>
      </w:r>
      <w:r w:rsidR="00A06EAF">
        <w:t>é</w:t>
      </w:r>
      <w:r w:rsidRPr="00A40EC9">
        <w:t>zie může vést k delší době zotav</w:t>
      </w:r>
      <w:r w:rsidR="00337F43">
        <w:t>ová</w:t>
      </w:r>
      <w:r w:rsidRPr="00A40EC9">
        <w:t>ní. U psů, kterým byl podán propofol a následně alfentanil, byla pozorována srdeční zástava.</w:t>
      </w:r>
    </w:p>
    <w:p w:rsidR="004A2506" w:rsidRPr="00A40EC9" w:rsidRDefault="004A2506" w:rsidP="004A2506">
      <w:pPr>
        <w:tabs>
          <w:tab w:val="clear" w:pos="567"/>
        </w:tabs>
        <w:spacing w:line="240" w:lineRule="auto"/>
        <w:rPr>
          <w:szCs w:val="22"/>
        </w:rPr>
      </w:pPr>
    </w:p>
    <w:p w:rsidR="004A2506" w:rsidRPr="00A40EC9" w:rsidRDefault="004A2506" w:rsidP="004A2506">
      <w:pPr>
        <w:tabs>
          <w:tab w:val="clear" w:pos="567"/>
        </w:tabs>
        <w:spacing w:line="240" w:lineRule="auto"/>
        <w:rPr>
          <w:szCs w:val="22"/>
        </w:rPr>
      </w:pPr>
      <w:r w:rsidRPr="00A40EC9">
        <w:t xml:space="preserve">Podávání propofolu společně s dalšími léčivými přípravky, které jsou metabolizovány pomocí cytochromu P450 (isoenzymu 2B11 u psů), například chloramfenikolem, ketokonazolem a loperamidem, snižuje </w:t>
      </w:r>
      <w:r w:rsidR="00337F43" w:rsidRPr="00854D5E">
        <w:t>clearence</w:t>
      </w:r>
      <w:r w:rsidRPr="00A40EC9">
        <w:t xml:space="preserve"> propofolu a prodlužuje zotavení z anest</w:t>
      </w:r>
      <w:r w:rsidR="00337F43">
        <w:t>é</w:t>
      </w:r>
      <w:r w:rsidRPr="00A40EC9">
        <w:t>zie.</w:t>
      </w:r>
    </w:p>
    <w:p w:rsidR="004A2506" w:rsidRPr="00A40EC9" w:rsidRDefault="004A2506" w:rsidP="0043320A">
      <w:pPr>
        <w:tabs>
          <w:tab w:val="clear" w:pos="567"/>
        </w:tabs>
        <w:spacing w:line="240" w:lineRule="auto"/>
        <w:rPr>
          <w:szCs w:val="22"/>
        </w:rPr>
      </w:pPr>
    </w:p>
    <w:p w:rsidR="0043320A" w:rsidRPr="00A40EC9" w:rsidRDefault="0043320A" w:rsidP="0043320A">
      <w:pPr>
        <w:tabs>
          <w:tab w:val="clear" w:pos="567"/>
        </w:tabs>
        <w:spacing w:line="240" w:lineRule="auto"/>
        <w:rPr>
          <w:szCs w:val="22"/>
        </w:rPr>
      </w:pPr>
      <w:r w:rsidRPr="00A40EC9">
        <w:rPr>
          <w:szCs w:val="22"/>
          <w:u w:val="single"/>
        </w:rPr>
        <w:t>Předávkování (symptomy, první pomoc, antidota)</w:t>
      </w:r>
    </w:p>
    <w:p w:rsidR="00337F43" w:rsidRDefault="00337F43" w:rsidP="00337F43">
      <w:pPr>
        <w:tabs>
          <w:tab w:val="clear" w:pos="567"/>
        </w:tabs>
        <w:spacing w:line="240" w:lineRule="auto"/>
        <w:rPr>
          <w:szCs w:val="22"/>
        </w:rPr>
      </w:pPr>
      <w:r>
        <w:t>Náhodné předávkování pravděpodobně vyvolá kardiorespirační depresi. V takových případech zajistěte průchodnost dýchacích cest a začněte s asistovanou nebo umělou ventilací s obohacením kyslíkem, podáváním látek ovlivňujících tlak a intravenózním podáním tekutin. Tím podpoříte kardiovaskulární funkci. U psů mohou bolusové dávky přesahující 10 mg/kg způsobit cyanózu. Také může být pozorována mydriáza. Pokud dojde k cyanóze a mydriáze, znamená to, že je nutné obohacení kyslíkem. Při bolusových dávkách 19,5 mg/kg u koček a 20 mg/kg u psů byl zaznamenán úhyn.</w:t>
      </w:r>
    </w:p>
    <w:p w:rsidR="0043320A" w:rsidRPr="00A40EC9" w:rsidRDefault="0043320A" w:rsidP="0043320A">
      <w:pPr>
        <w:tabs>
          <w:tab w:val="clear" w:pos="567"/>
        </w:tabs>
        <w:spacing w:line="240" w:lineRule="auto"/>
        <w:rPr>
          <w:szCs w:val="22"/>
        </w:rPr>
      </w:pPr>
    </w:p>
    <w:p w:rsidR="0043320A" w:rsidRPr="00A40EC9" w:rsidRDefault="0043320A" w:rsidP="0043320A">
      <w:pPr>
        <w:tabs>
          <w:tab w:val="clear" w:pos="567"/>
        </w:tabs>
        <w:spacing w:line="240" w:lineRule="auto"/>
        <w:rPr>
          <w:szCs w:val="22"/>
        </w:rPr>
      </w:pPr>
      <w:r w:rsidRPr="00A40EC9">
        <w:rPr>
          <w:szCs w:val="22"/>
          <w:u w:val="single"/>
        </w:rPr>
        <w:t>Inkompatibility</w:t>
      </w:r>
    </w:p>
    <w:p w:rsidR="004A2506" w:rsidRPr="00A40EC9" w:rsidRDefault="004A2506" w:rsidP="004A2506">
      <w:pPr>
        <w:tabs>
          <w:tab w:val="clear" w:pos="567"/>
        </w:tabs>
        <w:spacing w:line="240" w:lineRule="auto"/>
        <w:rPr>
          <w:szCs w:val="22"/>
        </w:rPr>
      </w:pPr>
      <w:r w:rsidRPr="00A40EC9">
        <w:t xml:space="preserve">Přípravek lze zředit 5% infuzním roztokem glukózy. Studie kompatibility s jinými infuzními roztoky (např. NaCl nebo Ringerovým </w:t>
      </w:r>
      <w:r w:rsidR="000F2727">
        <w:t xml:space="preserve">laktátovým </w:t>
      </w:r>
      <w:r w:rsidRPr="00A40EC9">
        <w:t>roztokem) nebyly s tímto veterinárním léčivým přípravkem provedeny.</w:t>
      </w:r>
    </w:p>
    <w:p w:rsidR="00C114FF" w:rsidRPr="00A40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43320A" w:rsidRPr="00A40EC9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A40EC9" w:rsidRDefault="00C114FF" w:rsidP="00A4313D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 w:rsidRPr="00A40EC9">
        <w:rPr>
          <w:b/>
          <w:szCs w:val="22"/>
          <w:highlight w:val="lightGray"/>
        </w:rPr>
        <w:t>13.</w:t>
      </w:r>
      <w:r w:rsidRPr="00A40EC9">
        <w:rPr>
          <w:b/>
          <w:szCs w:val="22"/>
        </w:rPr>
        <w:tab/>
        <w:t>ZVLÁŠTNÍ OPATŘENÍ PRO ZNEŠKODŇOVÁNÍ NEPOUŽITÝCH PŘÍPRAVKŮ NEBO ODPADU, POKUD JE JICH TŘEBA</w:t>
      </w:r>
    </w:p>
    <w:p w:rsidR="00C114FF" w:rsidRPr="00A40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854A76" w:rsidRPr="00A40EC9" w:rsidRDefault="005B579F" w:rsidP="00854A76">
      <w:pPr>
        <w:tabs>
          <w:tab w:val="clear" w:pos="567"/>
        </w:tabs>
        <w:spacing w:line="240" w:lineRule="auto"/>
        <w:rPr>
          <w:iCs/>
          <w:szCs w:val="22"/>
        </w:rPr>
      </w:pPr>
      <w:r w:rsidRPr="00A40EC9">
        <w:t>Léčivé přípravky se nesmí likvidovat prostřednictvím odpadní vody či domovního odpadu. O</w:t>
      </w:r>
      <w:r w:rsidR="00A40EC9">
        <w:t> </w:t>
      </w:r>
      <w:r w:rsidRPr="00A40EC9">
        <w:t>možnostech likvidace nepotřebných léčivých přípravků se poraďte s vaším veterinárním lékařem nebo lékárníkem. Tato opatření napomáhají chránit životní prostředí.</w:t>
      </w:r>
    </w:p>
    <w:p w:rsidR="00C114FF" w:rsidRPr="00A40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A40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A40EC9" w:rsidRDefault="00C114FF" w:rsidP="00895A2F">
      <w:pPr>
        <w:tabs>
          <w:tab w:val="clear" w:pos="567"/>
        </w:tabs>
        <w:spacing w:line="240" w:lineRule="auto"/>
        <w:rPr>
          <w:szCs w:val="22"/>
        </w:rPr>
      </w:pPr>
      <w:r w:rsidRPr="00A40EC9">
        <w:rPr>
          <w:b/>
          <w:szCs w:val="22"/>
          <w:highlight w:val="lightGray"/>
        </w:rPr>
        <w:t>14.</w:t>
      </w:r>
      <w:r w:rsidRPr="00A40EC9">
        <w:rPr>
          <w:b/>
          <w:szCs w:val="22"/>
        </w:rPr>
        <w:tab/>
        <w:t>DATUM POSLEDNÍ REVIZE PŘÍBALOVÉ INFORMACE</w:t>
      </w:r>
    </w:p>
    <w:p w:rsidR="00C114FF" w:rsidRPr="00A40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F14134" w:rsidRPr="00A40EC9" w:rsidRDefault="00337F43" w:rsidP="00A9226B">
      <w:pPr>
        <w:tabs>
          <w:tab w:val="clear" w:pos="567"/>
        </w:tabs>
        <w:spacing w:line="240" w:lineRule="auto"/>
        <w:rPr>
          <w:szCs w:val="22"/>
        </w:rPr>
      </w:pPr>
      <w:r>
        <w:t>Duben 2020</w:t>
      </w:r>
    </w:p>
    <w:p w:rsidR="005B579F" w:rsidRPr="00A40EC9" w:rsidRDefault="005B579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A40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A40EC9" w:rsidRDefault="00C114FF" w:rsidP="00895A2F">
      <w:pPr>
        <w:tabs>
          <w:tab w:val="clear" w:pos="567"/>
        </w:tabs>
        <w:spacing w:line="240" w:lineRule="auto"/>
        <w:rPr>
          <w:szCs w:val="22"/>
        </w:rPr>
      </w:pPr>
      <w:r w:rsidRPr="00A40EC9">
        <w:rPr>
          <w:b/>
          <w:szCs w:val="22"/>
          <w:highlight w:val="lightGray"/>
        </w:rPr>
        <w:t>15.</w:t>
      </w:r>
      <w:r w:rsidRPr="00A40EC9">
        <w:rPr>
          <w:b/>
          <w:szCs w:val="22"/>
        </w:rPr>
        <w:tab/>
        <w:t>DALŠÍ INFORMACE</w:t>
      </w:r>
    </w:p>
    <w:p w:rsidR="00C114FF" w:rsidRPr="00A40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337F43" w:rsidRDefault="00337F43" w:rsidP="00337F43">
      <w:r>
        <w:t>Pouze pro zvířata.</w:t>
      </w:r>
    </w:p>
    <w:p w:rsidR="00337F43" w:rsidRDefault="00337F43" w:rsidP="00337F43">
      <w:r>
        <w:t>Veterinární léčivý přípravek je vydáván pouze na předpis.</w:t>
      </w:r>
    </w:p>
    <w:p w:rsidR="00B7351D" w:rsidRDefault="00B7351D" w:rsidP="00337F43"/>
    <w:p w:rsidR="008F294F" w:rsidRPr="00A40EC9" w:rsidRDefault="008F294F" w:rsidP="008F294F">
      <w:pPr>
        <w:tabs>
          <w:tab w:val="clear" w:pos="567"/>
        </w:tabs>
        <w:spacing w:line="240" w:lineRule="auto"/>
        <w:rPr>
          <w:szCs w:val="22"/>
        </w:rPr>
      </w:pPr>
      <w:r w:rsidRPr="00A40EC9">
        <w:t>Velikosti balení: 1</w:t>
      </w:r>
      <w:r w:rsidR="000F2727">
        <w:t xml:space="preserve"> </w:t>
      </w:r>
      <w:r w:rsidRPr="00A40EC9">
        <w:t>x</w:t>
      </w:r>
      <w:r w:rsidR="000F2727">
        <w:t xml:space="preserve"> </w:t>
      </w:r>
      <w:r w:rsidRPr="00A40EC9">
        <w:t>20 ml, 5</w:t>
      </w:r>
      <w:r w:rsidR="000F2727">
        <w:t xml:space="preserve"> </w:t>
      </w:r>
      <w:r w:rsidRPr="00A40EC9">
        <w:t>x</w:t>
      </w:r>
      <w:r w:rsidR="000F2727">
        <w:t xml:space="preserve"> </w:t>
      </w:r>
      <w:r w:rsidRPr="00A40EC9">
        <w:t>20 ml, 1</w:t>
      </w:r>
      <w:r w:rsidR="000F2727">
        <w:t xml:space="preserve"> </w:t>
      </w:r>
      <w:r w:rsidRPr="00A40EC9">
        <w:t>x</w:t>
      </w:r>
      <w:r w:rsidR="000F2727">
        <w:t xml:space="preserve"> </w:t>
      </w:r>
      <w:r w:rsidRPr="00A40EC9">
        <w:t>50 ml, 1</w:t>
      </w:r>
      <w:r w:rsidR="000F2727">
        <w:t xml:space="preserve"> </w:t>
      </w:r>
      <w:r w:rsidRPr="00A40EC9">
        <w:t>x</w:t>
      </w:r>
      <w:r w:rsidR="000F2727">
        <w:t xml:space="preserve"> </w:t>
      </w:r>
      <w:r w:rsidRPr="00A40EC9">
        <w:t>100 ml</w:t>
      </w:r>
    </w:p>
    <w:p w:rsidR="008F294F" w:rsidRPr="00A40EC9" w:rsidRDefault="008F294F" w:rsidP="008F294F">
      <w:pPr>
        <w:tabs>
          <w:tab w:val="clear" w:pos="567"/>
        </w:tabs>
        <w:spacing w:line="240" w:lineRule="auto"/>
        <w:rPr>
          <w:szCs w:val="22"/>
        </w:rPr>
      </w:pPr>
    </w:p>
    <w:p w:rsidR="00C114FF" w:rsidRDefault="008F294F" w:rsidP="00A9226B">
      <w:pPr>
        <w:tabs>
          <w:tab w:val="clear" w:pos="567"/>
        </w:tabs>
        <w:spacing w:line="240" w:lineRule="auto"/>
      </w:pPr>
      <w:r w:rsidRPr="00A40EC9">
        <w:t>Na trhu nemusí být všechny velikosti balení.</w:t>
      </w:r>
    </w:p>
    <w:p w:rsidR="00A22D98" w:rsidRDefault="00A22D98" w:rsidP="00A9226B">
      <w:pPr>
        <w:tabs>
          <w:tab w:val="clear" w:pos="567"/>
        </w:tabs>
        <w:spacing w:line="240" w:lineRule="auto"/>
      </w:pPr>
    </w:p>
    <w:p w:rsidR="00A22D98" w:rsidRDefault="00A22D98" w:rsidP="00A22D98">
      <w:pPr>
        <w:tabs>
          <w:tab w:val="clear" w:pos="567"/>
        </w:tabs>
        <w:spacing w:line="240" w:lineRule="auto"/>
        <w:rPr>
          <w:szCs w:val="22"/>
        </w:rPr>
      </w:pPr>
      <w:r w:rsidRPr="00A22D98">
        <w:rPr>
          <w:szCs w:val="22"/>
        </w:rPr>
        <w:t xml:space="preserve">Obchodní zastoupení/ Obchodné zastúpenie: </w:t>
      </w:r>
      <w:r w:rsidRPr="00A22D98">
        <w:rPr>
          <w:szCs w:val="22"/>
        </w:rPr>
        <w:tab/>
      </w:r>
      <w:r w:rsidRPr="00A22D98">
        <w:rPr>
          <w:szCs w:val="22"/>
        </w:rPr>
        <w:tab/>
      </w:r>
    </w:p>
    <w:p w:rsidR="00A22D98" w:rsidRPr="00A22D98" w:rsidRDefault="00A22D98" w:rsidP="00A22D98">
      <w:pPr>
        <w:tabs>
          <w:tab w:val="clear" w:pos="567"/>
        </w:tabs>
        <w:spacing w:line="240" w:lineRule="auto"/>
        <w:rPr>
          <w:szCs w:val="22"/>
        </w:rPr>
      </w:pPr>
      <w:r w:rsidRPr="00A22D98">
        <w:rPr>
          <w:szCs w:val="22"/>
        </w:rPr>
        <w:t>Orion Pharma s.r.o.</w:t>
      </w:r>
    </w:p>
    <w:p w:rsidR="00A22D98" w:rsidRPr="00A22D98" w:rsidRDefault="00A22D98" w:rsidP="00A22D98">
      <w:pPr>
        <w:tabs>
          <w:tab w:val="clear" w:pos="567"/>
        </w:tabs>
        <w:spacing w:line="240" w:lineRule="auto"/>
        <w:rPr>
          <w:szCs w:val="22"/>
        </w:rPr>
      </w:pPr>
      <w:r w:rsidRPr="00A22D98">
        <w:rPr>
          <w:szCs w:val="22"/>
        </w:rPr>
        <w:t>Zelený pruh 95/97,</w:t>
      </w:r>
    </w:p>
    <w:p w:rsidR="00A22D98" w:rsidRPr="00A22D98" w:rsidRDefault="00A22D98" w:rsidP="00A22D98">
      <w:pPr>
        <w:tabs>
          <w:tab w:val="clear" w:pos="567"/>
        </w:tabs>
        <w:spacing w:line="240" w:lineRule="auto"/>
        <w:rPr>
          <w:szCs w:val="22"/>
        </w:rPr>
      </w:pPr>
      <w:r w:rsidRPr="00A22D98">
        <w:rPr>
          <w:szCs w:val="22"/>
        </w:rPr>
        <w:t>140 00, Praha, ČR</w:t>
      </w:r>
    </w:p>
    <w:p w:rsidR="00A22D98" w:rsidRPr="00A40EC9" w:rsidRDefault="00A22D98" w:rsidP="00A22D98">
      <w:pPr>
        <w:tabs>
          <w:tab w:val="clear" w:pos="567"/>
        </w:tabs>
        <w:spacing w:line="240" w:lineRule="auto"/>
        <w:rPr>
          <w:szCs w:val="22"/>
        </w:rPr>
      </w:pPr>
      <w:r w:rsidRPr="00A22D98">
        <w:rPr>
          <w:szCs w:val="22"/>
        </w:rPr>
        <w:t>Tel: +420 227 027 263, fax: +420 227 230 661</w:t>
      </w:r>
    </w:p>
    <w:sectPr w:rsidR="00A22D98" w:rsidRPr="00A40EC9" w:rsidSect="007F2F03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D85" w:rsidRDefault="00305D85">
      <w:r>
        <w:separator/>
      </w:r>
    </w:p>
  </w:endnote>
  <w:endnote w:type="continuationSeparator" w:id="0">
    <w:p w:rsidR="00305D85" w:rsidRDefault="0030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A4" w:rsidRPr="00B94A1B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305D85">
      <w:rPr>
        <w:rFonts w:ascii="Times New Roman" w:hAnsi="Times New Roman"/>
        <w:noProof/>
      </w:rPr>
      <w:t>1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A4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4F6F64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D85" w:rsidRDefault="00305D85">
      <w:r>
        <w:separator/>
      </w:r>
    </w:p>
  </w:footnote>
  <w:footnote w:type="continuationSeparator" w:id="0">
    <w:p w:rsidR="00305D85" w:rsidRDefault="00305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E2E" w:rsidRDefault="008A4E2E" w:rsidP="008A4E2E">
    <w:pPr>
      <w:pStyle w:val="Zhlav"/>
    </w:pPr>
  </w:p>
  <w:p w:rsidR="008A4E2E" w:rsidRDefault="008A4E2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5951995"/>
    <w:multiLevelType w:val="hybridMultilevel"/>
    <w:tmpl w:val="51CC99F4"/>
    <w:lvl w:ilvl="0" w:tplc="7862E6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>
    <w:nsid w:val="57F75792"/>
    <w:multiLevelType w:val="hybridMultilevel"/>
    <w:tmpl w:val="15269350"/>
    <w:lvl w:ilvl="0" w:tplc="7862E6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3F65D8"/>
    <w:multiLevelType w:val="multilevel"/>
    <w:tmpl w:val="A02E932A"/>
    <w:numStyleLink w:val="BulletsAgency"/>
  </w:abstractNum>
  <w:abstractNum w:abstractNumId="27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6"/>
  </w:num>
  <w:num w:numId="31">
    <w:abstractNumId w:val="37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6"/>
  </w:num>
  <w:num w:numId="38">
    <w:abstractNumId w:val="25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C114FF"/>
    <w:rsid w:val="00021015"/>
    <w:rsid w:val="00021B82"/>
    <w:rsid w:val="00024777"/>
    <w:rsid w:val="00024E21"/>
    <w:rsid w:val="00025AD7"/>
    <w:rsid w:val="00026194"/>
    <w:rsid w:val="000268BB"/>
    <w:rsid w:val="00036C50"/>
    <w:rsid w:val="00052D2B"/>
    <w:rsid w:val="00054F55"/>
    <w:rsid w:val="00062945"/>
    <w:rsid w:val="00080453"/>
    <w:rsid w:val="0008169A"/>
    <w:rsid w:val="0008385B"/>
    <w:rsid w:val="000860CE"/>
    <w:rsid w:val="00092A37"/>
    <w:rsid w:val="000938A6"/>
    <w:rsid w:val="00097C1E"/>
    <w:rsid w:val="000A1DF5"/>
    <w:rsid w:val="000B7873"/>
    <w:rsid w:val="000C02A1"/>
    <w:rsid w:val="000C1D4F"/>
    <w:rsid w:val="000C687A"/>
    <w:rsid w:val="000D67D0"/>
    <w:rsid w:val="000E195C"/>
    <w:rsid w:val="000E3602"/>
    <w:rsid w:val="000F1116"/>
    <w:rsid w:val="000F2727"/>
    <w:rsid w:val="000F38DA"/>
    <w:rsid w:val="000F5822"/>
    <w:rsid w:val="000F796B"/>
    <w:rsid w:val="0010031E"/>
    <w:rsid w:val="001012EB"/>
    <w:rsid w:val="001078D1"/>
    <w:rsid w:val="00112288"/>
    <w:rsid w:val="00113B57"/>
    <w:rsid w:val="00115782"/>
    <w:rsid w:val="00124F36"/>
    <w:rsid w:val="00125666"/>
    <w:rsid w:val="00125C80"/>
    <w:rsid w:val="001343EB"/>
    <w:rsid w:val="0013799F"/>
    <w:rsid w:val="00140DF6"/>
    <w:rsid w:val="00145C3F"/>
    <w:rsid w:val="00145D34"/>
    <w:rsid w:val="00146284"/>
    <w:rsid w:val="0014690F"/>
    <w:rsid w:val="0015098E"/>
    <w:rsid w:val="001642BC"/>
    <w:rsid w:val="00166575"/>
    <w:rsid w:val="001674D3"/>
    <w:rsid w:val="00175264"/>
    <w:rsid w:val="001803D2"/>
    <w:rsid w:val="0018228B"/>
    <w:rsid w:val="00185B50"/>
    <w:rsid w:val="0018625C"/>
    <w:rsid w:val="00187DE7"/>
    <w:rsid w:val="00187E62"/>
    <w:rsid w:val="00192045"/>
    <w:rsid w:val="00193B14"/>
    <w:rsid w:val="00193E72"/>
    <w:rsid w:val="00195267"/>
    <w:rsid w:val="0019600B"/>
    <w:rsid w:val="0019686E"/>
    <w:rsid w:val="001A0E2C"/>
    <w:rsid w:val="001A28C9"/>
    <w:rsid w:val="001A34BC"/>
    <w:rsid w:val="001B1C77"/>
    <w:rsid w:val="001B6F4A"/>
    <w:rsid w:val="001C4DA7"/>
    <w:rsid w:val="001C5288"/>
    <w:rsid w:val="001C5B03"/>
    <w:rsid w:val="001D14B0"/>
    <w:rsid w:val="001D6D96"/>
    <w:rsid w:val="001E5621"/>
    <w:rsid w:val="001E7C2E"/>
    <w:rsid w:val="001F3EF9"/>
    <w:rsid w:val="001F627D"/>
    <w:rsid w:val="001F6622"/>
    <w:rsid w:val="002100FC"/>
    <w:rsid w:val="00213890"/>
    <w:rsid w:val="00214E52"/>
    <w:rsid w:val="002207C0"/>
    <w:rsid w:val="00224B93"/>
    <w:rsid w:val="0023676E"/>
    <w:rsid w:val="002414B6"/>
    <w:rsid w:val="002422EB"/>
    <w:rsid w:val="00242397"/>
    <w:rsid w:val="00250DD1"/>
    <w:rsid w:val="00251183"/>
    <w:rsid w:val="00251689"/>
    <w:rsid w:val="0025267C"/>
    <w:rsid w:val="00253B6B"/>
    <w:rsid w:val="002569BF"/>
    <w:rsid w:val="00265656"/>
    <w:rsid w:val="00265E77"/>
    <w:rsid w:val="00266155"/>
    <w:rsid w:val="0027270B"/>
    <w:rsid w:val="002838C8"/>
    <w:rsid w:val="00290805"/>
    <w:rsid w:val="00290C2A"/>
    <w:rsid w:val="002931DD"/>
    <w:rsid w:val="002A0E7C"/>
    <w:rsid w:val="002A21ED"/>
    <w:rsid w:val="002A3F88"/>
    <w:rsid w:val="002B0F11"/>
    <w:rsid w:val="002C55FF"/>
    <w:rsid w:val="002C592B"/>
    <w:rsid w:val="002D1E34"/>
    <w:rsid w:val="002E3A90"/>
    <w:rsid w:val="002E46CC"/>
    <w:rsid w:val="002E4F48"/>
    <w:rsid w:val="002E62CB"/>
    <w:rsid w:val="002E6DF1"/>
    <w:rsid w:val="002E6ED9"/>
    <w:rsid w:val="002F0957"/>
    <w:rsid w:val="002F41AD"/>
    <w:rsid w:val="002F43F6"/>
    <w:rsid w:val="002F71D5"/>
    <w:rsid w:val="003020BB"/>
    <w:rsid w:val="00304393"/>
    <w:rsid w:val="00305AB2"/>
    <w:rsid w:val="00305D85"/>
    <w:rsid w:val="0031032B"/>
    <w:rsid w:val="00316E87"/>
    <w:rsid w:val="0032453E"/>
    <w:rsid w:val="00325053"/>
    <w:rsid w:val="003256AC"/>
    <w:rsid w:val="00330DD5"/>
    <w:rsid w:val="0033129D"/>
    <w:rsid w:val="003320ED"/>
    <w:rsid w:val="0033480E"/>
    <w:rsid w:val="00337123"/>
    <w:rsid w:val="00337F43"/>
    <w:rsid w:val="00341866"/>
    <w:rsid w:val="003468B4"/>
    <w:rsid w:val="003535E0"/>
    <w:rsid w:val="00366F56"/>
    <w:rsid w:val="0037041A"/>
    <w:rsid w:val="003737C8"/>
    <w:rsid w:val="00375209"/>
    <w:rsid w:val="0037589D"/>
    <w:rsid w:val="00376BB1"/>
    <w:rsid w:val="00377E23"/>
    <w:rsid w:val="0038277C"/>
    <w:rsid w:val="003909E0"/>
    <w:rsid w:val="00393E09"/>
    <w:rsid w:val="00395B15"/>
    <w:rsid w:val="00396026"/>
    <w:rsid w:val="003A3E2F"/>
    <w:rsid w:val="003A6CCB"/>
    <w:rsid w:val="003B10C4"/>
    <w:rsid w:val="003B48EB"/>
    <w:rsid w:val="003C33FF"/>
    <w:rsid w:val="003C64A5"/>
    <w:rsid w:val="003D03CC"/>
    <w:rsid w:val="003D4BB7"/>
    <w:rsid w:val="003E0116"/>
    <w:rsid w:val="003E26C3"/>
    <w:rsid w:val="003F0D6C"/>
    <w:rsid w:val="003F0F26"/>
    <w:rsid w:val="003F12D9"/>
    <w:rsid w:val="003F1B4C"/>
    <w:rsid w:val="003F3E06"/>
    <w:rsid w:val="004008F6"/>
    <w:rsid w:val="00401C9C"/>
    <w:rsid w:val="00411C46"/>
    <w:rsid w:val="00412BBE"/>
    <w:rsid w:val="00414B20"/>
    <w:rsid w:val="00417DE3"/>
    <w:rsid w:val="00420850"/>
    <w:rsid w:val="00423968"/>
    <w:rsid w:val="00427054"/>
    <w:rsid w:val="004304B1"/>
    <w:rsid w:val="0043320A"/>
    <w:rsid w:val="004332E3"/>
    <w:rsid w:val="004518A6"/>
    <w:rsid w:val="00453E1D"/>
    <w:rsid w:val="00454589"/>
    <w:rsid w:val="00456ED0"/>
    <w:rsid w:val="00457550"/>
    <w:rsid w:val="00460E61"/>
    <w:rsid w:val="00474C50"/>
    <w:rsid w:val="004771F9"/>
    <w:rsid w:val="00486006"/>
    <w:rsid w:val="00486BAD"/>
    <w:rsid w:val="00486BBE"/>
    <w:rsid w:val="00487123"/>
    <w:rsid w:val="004A02DE"/>
    <w:rsid w:val="004A1BD5"/>
    <w:rsid w:val="004A2506"/>
    <w:rsid w:val="004A61E1"/>
    <w:rsid w:val="004B2344"/>
    <w:rsid w:val="004B5DDC"/>
    <w:rsid w:val="004B798E"/>
    <w:rsid w:val="004C2ABD"/>
    <w:rsid w:val="004D3E58"/>
    <w:rsid w:val="004D6746"/>
    <w:rsid w:val="004D767B"/>
    <w:rsid w:val="004E0F32"/>
    <w:rsid w:val="004E23A1"/>
    <w:rsid w:val="004E7092"/>
    <w:rsid w:val="004E71AD"/>
    <w:rsid w:val="004E7ECE"/>
    <w:rsid w:val="004F6F64"/>
    <w:rsid w:val="005004EC"/>
    <w:rsid w:val="00517756"/>
    <w:rsid w:val="005202C6"/>
    <w:rsid w:val="0052071C"/>
    <w:rsid w:val="00523C53"/>
    <w:rsid w:val="00527B8F"/>
    <w:rsid w:val="00542012"/>
    <w:rsid w:val="00543DF5"/>
    <w:rsid w:val="005467C1"/>
    <w:rsid w:val="0055260D"/>
    <w:rsid w:val="005538A2"/>
    <w:rsid w:val="00555422"/>
    <w:rsid w:val="00555810"/>
    <w:rsid w:val="00561C04"/>
    <w:rsid w:val="00562DCA"/>
    <w:rsid w:val="0056568F"/>
    <w:rsid w:val="00582578"/>
    <w:rsid w:val="005B04A8"/>
    <w:rsid w:val="005B28AD"/>
    <w:rsid w:val="005B328D"/>
    <w:rsid w:val="005B3503"/>
    <w:rsid w:val="005B3EE7"/>
    <w:rsid w:val="005B4DCD"/>
    <w:rsid w:val="005B4FAD"/>
    <w:rsid w:val="005B579F"/>
    <w:rsid w:val="005D380C"/>
    <w:rsid w:val="005D6E04"/>
    <w:rsid w:val="005D7A12"/>
    <w:rsid w:val="005E53EE"/>
    <w:rsid w:val="005F0542"/>
    <w:rsid w:val="005F0F72"/>
    <w:rsid w:val="005F1C1F"/>
    <w:rsid w:val="005F346D"/>
    <w:rsid w:val="005F38FB"/>
    <w:rsid w:val="005F597F"/>
    <w:rsid w:val="00602D3B"/>
    <w:rsid w:val="0060401D"/>
    <w:rsid w:val="00606EA1"/>
    <w:rsid w:val="006128F0"/>
    <w:rsid w:val="0061726B"/>
    <w:rsid w:val="0062387A"/>
    <w:rsid w:val="0063377D"/>
    <w:rsid w:val="006344BE"/>
    <w:rsid w:val="00634A66"/>
    <w:rsid w:val="00640336"/>
    <w:rsid w:val="00640FC9"/>
    <w:rsid w:val="006432F2"/>
    <w:rsid w:val="00647072"/>
    <w:rsid w:val="0065320F"/>
    <w:rsid w:val="00653D64"/>
    <w:rsid w:val="00654E13"/>
    <w:rsid w:val="00657BB1"/>
    <w:rsid w:val="0066282E"/>
    <w:rsid w:val="00667489"/>
    <w:rsid w:val="00670D44"/>
    <w:rsid w:val="00676AFC"/>
    <w:rsid w:val="006807CD"/>
    <w:rsid w:val="00682D43"/>
    <w:rsid w:val="00685BAF"/>
    <w:rsid w:val="006A0D03"/>
    <w:rsid w:val="006A41E9"/>
    <w:rsid w:val="006B12CB"/>
    <w:rsid w:val="006B5916"/>
    <w:rsid w:val="006C4775"/>
    <w:rsid w:val="006C4F4A"/>
    <w:rsid w:val="006C5E80"/>
    <w:rsid w:val="006C7CEE"/>
    <w:rsid w:val="006D075E"/>
    <w:rsid w:val="006D7C6E"/>
    <w:rsid w:val="006E2F95"/>
    <w:rsid w:val="00705EAF"/>
    <w:rsid w:val="007101CC"/>
    <w:rsid w:val="00724E3B"/>
    <w:rsid w:val="00725EEA"/>
    <w:rsid w:val="00730CE9"/>
    <w:rsid w:val="00732D7D"/>
    <w:rsid w:val="007335F5"/>
    <w:rsid w:val="0073373D"/>
    <w:rsid w:val="00737FB7"/>
    <w:rsid w:val="007439DB"/>
    <w:rsid w:val="007568D8"/>
    <w:rsid w:val="00765316"/>
    <w:rsid w:val="007708C8"/>
    <w:rsid w:val="00771C5E"/>
    <w:rsid w:val="0077719D"/>
    <w:rsid w:val="00780DF0"/>
    <w:rsid w:val="00782F0F"/>
    <w:rsid w:val="00787482"/>
    <w:rsid w:val="00795F1C"/>
    <w:rsid w:val="007A286D"/>
    <w:rsid w:val="007A38DF"/>
    <w:rsid w:val="007B20CF"/>
    <w:rsid w:val="007B2499"/>
    <w:rsid w:val="007B72E1"/>
    <w:rsid w:val="007B783A"/>
    <w:rsid w:val="007C1B95"/>
    <w:rsid w:val="007D73FB"/>
    <w:rsid w:val="007E2F2D"/>
    <w:rsid w:val="007F1433"/>
    <w:rsid w:val="007F1491"/>
    <w:rsid w:val="007F2F03"/>
    <w:rsid w:val="00800FE0"/>
    <w:rsid w:val="008066AD"/>
    <w:rsid w:val="00814AF1"/>
    <w:rsid w:val="0081517F"/>
    <w:rsid w:val="00815370"/>
    <w:rsid w:val="0082153D"/>
    <w:rsid w:val="00822B86"/>
    <w:rsid w:val="008255AA"/>
    <w:rsid w:val="00827F49"/>
    <w:rsid w:val="00830FF3"/>
    <w:rsid w:val="008334BF"/>
    <w:rsid w:val="00836B8C"/>
    <w:rsid w:val="00840062"/>
    <w:rsid w:val="008410C5"/>
    <w:rsid w:val="00841431"/>
    <w:rsid w:val="00846C08"/>
    <w:rsid w:val="008530E7"/>
    <w:rsid w:val="00854A76"/>
    <w:rsid w:val="00856BDB"/>
    <w:rsid w:val="00857675"/>
    <w:rsid w:val="00870B83"/>
    <w:rsid w:val="00875EC3"/>
    <w:rsid w:val="008763E7"/>
    <w:rsid w:val="008808C5"/>
    <w:rsid w:val="00881A7C"/>
    <w:rsid w:val="00883C78"/>
    <w:rsid w:val="00885159"/>
    <w:rsid w:val="00885214"/>
    <w:rsid w:val="00887615"/>
    <w:rsid w:val="00890052"/>
    <w:rsid w:val="00894E3A"/>
    <w:rsid w:val="00895007"/>
    <w:rsid w:val="00895A2F"/>
    <w:rsid w:val="00896EBD"/>
    <w:rsid w:val="008A4E2E"/>
    <w:rsid w:val="008A5665"/>
    <w:rsid w:val="008B24A8"/>
    <w:rsid w:val="008B25E4"/>
    <w:rsid w:val="008B3D78"/>
    <w:rsid w:val="008C261B"/>
    <w:rsid w:val="008C4FCA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F294F"/>
    <w:rsid w:val="008F4DEF"/>
    <w:rsid w:val="00903D0D"/>
    <w:rsid w:val="009048E1"/>
    <w:rsid w:val="0090598C"/>
    <w:rsid w:val="009071BB"/>
    <w:rsid w:val="00913885"/>
    <w:rsid w:val="00931D41"/>
    <w:rsid w:val="00933D18"/>
    <w:rsid w:val="00942221"/>
    <w:rsid w:val="00944FA1"/>
    <w:rsid w:val="00950FBB"/>
    <w:rsid w:val="0095122F"/>
    <w:rsid w:val="00953349"/>
    <w:rsid w:val="00954E0C"/>
    <w:rsid w:val="0095549B"/>
    <w:rsid w:val="00960861"/>
    <w:rsid w:val="00961156"/>
    <w:rsid w:val="00964F03"/>
    <w:rsid w:val="00966F1F"/>
    <w:rsid w:val="00975676"/>
    <w:rsid w:val="00976467"/>
    <w:rsid w:val="00976D32"/>
    <w:rsid w:val="009774A5"/>
    <w:rsid w:val="009844F7"/>
    <w:rsid w:val="009938F7"/>
    <w:rsid w:val="009A05AA"/>
    <w:rsid w:val="009A2D5A"/>
    <w:rsid w:val="009B2C7E"/>
    <w:rsid w:val="009B6DBD"/>
    <w:rsid w:val="009C108A"/>
    <w:rsid w:val="009C2E47"/>
    <w:rsid w:val="009C6BFB"/>
    <w:rsid w:val="009C6DCF"/>
    <w:rsid w:val="009C76D8"/>
    <w:rsid w:val="009D0C05"/>
    <w:rsid w:val="009E23E5"/>
    <w:rsid w:val="009E2C00"/>
    <w:rsid w:val="009E49AD"/>
    <w:rsid w:val="009E70F4"/>
    <w:rsid w:val="009E76D1"/>
    <w:rsid w:val="009F1AD2"/>
    <w:rsid w:val="00A0479E"/>
    <w:rsid w:val="00A06EAF"/>
    <w:rsid w:val="00A07979"/>
    <w:rsid w:val="00A11755"/>
    <w:rsid w:val="00A207FB"/>
    <w:rsid w:val="00A22D98"/>
    <w:rsid w:val="00A24016"/>
    <w:rsid w:val="00A265BF"/>
    <w:rsid w:val="00A26F44"/>
    <w:rsid w:val="00A32EBB"/>
    <w:rsid w:val="00A34FAB"/>
    <w:rsid w:val="00A40EC9"/>
    <w:rsid w:val="00A4313D"/>
    <w:rsid w:val="00A50120"/>
    <w:rsid w:val="00A57AA8"/>
    <w:rsid w:val="00A60351"/>
    <w:rsid w:val="00A61C6D"/>
    <w:rsid w:val="00A63015"/>
    <w:rsid w:val="00A66254"/>
    <w:rsid w:val="00A678B4"/>
    <w:rsid w:val="00A704A3"/>
    <w:rsid w:val="00A75E23"/>
    <w:rsid w:val="00A82AA0"/>
    <w:rsid w:val="00A82F8A"/>
    <w:rsid w:val="00A84BF0"/>
    <w:rsid w:val="00A9226B"/>
    <w:rsid w:val="00A9575C"/>
    <w:rsid w:val="00A95B56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B03DB0"/>
    <w:rsid w:val="00B119A2"/>
    <w:rsid w:val="00B11CA1"/>
    <w:rsid w:val="00B177F2"/>
    <w:rsid w:val="00B201F1"/>
    <w:rsid w:val="00B304E7"/>
    <w:rsid w:val="00B318B6"/>
    <w:rsid w:val="00B41F47"/>
    <w:rsid w:val="00B60AC9"/>
    <w:rsid w:val="00B67323"/>
    <w:rsid w:val="00B715F2"/>
    <w:rsid w:val="00B7351D"/>
    <w:rsid w:val="00B74071"/>
    <w:rsid w:val="00B7428E"/>
    <w:rsid w:val="00B74B67"/>
    <w:rsid w:val="00B779AA"/>
    <w:rsid w:val="00B81C95"/>
    <w:rsid w:val="00B82330"/>
    <w:rsid w:val="00B82520"/>
    <w:rsid w:val="00B82ED4"/>
    <w:rsid w:val="00B8424F"/>
    <w:rsid w:val="00B85D71"/>
    <w:rsid w:val="00B86896"/>
    <w:rsid w:val="00B875A6"/>
    <w:rsid w:val="00B9388C"/>
    <w:rsid w:val="00B93E4C"/>
    <w:rsid w:val="00B94A1B"/>
    <w:rsid w:val="00B94B14"/>
    <w:rsid w:val="00BA00D7"/>
    <w:rsid w:val="00BA5C89"/>
    <w:rsid w:val="00BA6DB8"/>
    <w:rsid w:val="00BB4CE2"/>
    <w:rsid w:val="00BB5EF0"/>
    <w:rsid w:val="00BB6724"/>
    <w:rsid w:val="00BC0EFB"/>
    <w:rsid w:val="00BC2E39"/>
    <w:rsid w:val="00BD2364"/>
    <w:rsid w:val="00BD28E3"/>
    <w:rsid w:val="00BE3261"/>
    <w:rsid w:val="00BF58FC"/>
    <w:rsid w:val="00C01F77"/>
    <w:rsid w:val="00C01FFC"/>
    <w:rsid w:val="00C06AE4"/>
    <w:rsid w:val="00C114FF"/>
    <w:rsid w:val="00C15FEE"/>
    <w:rsid w:val="00C171A1"/>
    <w:rsid w:val="00C171A4"/>
    <w:rsid w:val="00C17F12"/>
    <w:rsid w:val="00C21C1A"/>
    <w:rsid w:val="00C237E9"/>
    <w:rsid w:val="00C32989"/>
    <w:rsid w:val="00C36883"/>
    <w:rsid w:val="00C40928"/>
    <w:rsid w:val="00C42697"/>
    <w:rsid w:val="00C43F01"/>
    <w:rsid w:val="00C47552"/>
    <w:rsid w:val="00C57A81"/>
    <w:rsid w:val="00C60193"/>
    <w:rsid w:val="00C634D4"/>
    <w:rsid w:val="00C63AA5"/>
    <w:rsid w:val="00C65071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40C2"/>
    <w:rsid w:val="00C84101"/>
    <w:rsid w:val="00C8535F"/>
    <w:rsid w:val="00C90EDA"/>
    <w:rsid w:val="00C959E7"/>
    <w:rsid w:val="00CC1E65"/>
    <w:rsid w:val="00CC567A"/>
    <w:rsid w:val="00CD4059"/>
    <w:rsid w:val="00CD4E5A"/>
    <w:rsid w:val="00CE03CE"/>
    <w:rsid w:val="00CF0DFF"/>
    <w:rsid w:val="00D028A9"/>
    <w:rsid w:val="00D0359D"/>
    <w:rsid w:val="00D04DED"/>
    <w:rsid w:val="00D102F2"/>
    <w:rsid w:val="00D1089A"/>
    <w:rsid w:val="00D116BD"/>
    <w:rsid w:val="00D2001A"/>
    <w:rsid w:val="00D20684"/>
    <w:rsid w:val="00D26B62"/>
    <w:rsid w:val="00D3691A"/>
    <w:rsid w:val="00D377E2"/>
    <w:rsid w:val="00D42DCB"/>
    <w:rsid w:val="00D45482"/>
    <w:rsid w:val="00D46DF2"/>
    <w:rsid w:val="00D47674"/>
    <w:rsid w:val="00D5338C"/>
    <w:rsid w:val="00D553F6"/>
    <w:rsid w:val="00D606B2"/>
    <w:rsid w:val="00D625A7"/>
    <w:rsid w:val="00D64074"/>
    <w:rsid w:val="00D65777"/>
    <w:rsid w:val="00D726A4"/>
    <w:rsid w:val="00D728A0"/>
    <w:rsid w:val="00D83661"/>
    <w:rsid w:val="00D97E7D"/>
    <w:rsid w:val="00DA73D8"/>
    <w:rsid w:val="00DB3439"/>
    <w:rsid w:val="00DB3618"/>
    <w:rsid w:val="00DB6A49"/>
    <w:rsid w:val="00DC2946"/>
    <w:rsid w:val="00DC550F"/>
    <w:rsid w:val="00DC64FD"/>
    <w:rsid w:val="00DE127F"/>
    <w:rsid w:val="00DE424A"/>
    <w:rsid w:val="00DE4419"/>
    <w:rsid w:val="00DF0ACA"/>
    <w:rsid w:val="00DF2245"/>
    <w:rsid w:val="00DF77CF"/>
    <w:rsid w:val="00E026E8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552A"/>
    <w:rsid w:val="00E6707D"/>
    <w:rsid w:val="00E70E7C"/>
    <w:rsid w:val="00E71313"/>
    <w:rsid w:val="00E72606"/>
    <w:rsid w:val="00E73C3E"/>
    <w:rsid w:val="00E82496"/>
    <w:rsid w:val="00E834CD"/>
    <w:rsid w:val="00E84E9D"/>
    <w:rsid w:val="00E85951"/>
    <w:rsid w:val="00E86CEE"/>
    <w:rsid w:val="00E935AF"/>
    <w:rsid w:val="00E9486C"/>
    <w:rsid w:val="00EB0E20"/>
    <w:rsid w:val="00EB1A80"/>
    <w:rsid w:val="00EB457B"/>
    <w:rsid w:val="00EC4F3A"/>
    <w:rsid w:val="00EC5E74"/>
    <w:rsid w:val="00EC6DCA"/>
    <w:rsid w:val="00ED594D"/>
    <w:rsid w:val="00EE36E1"/>
    <w:rsid w:val="00EE7B3F"/>
    <w:rsid w:val="00F00007"/>
    <w:rsid w:val="00F0054D"/>
    <w:rsid w:val="00F02467"/>
    <w:rsid w:val="00F04D0E"/>
    <w:rsid w:val="00F12214"/>
    <w:rsid w:val="00F12565"/>
    <w:rsid w:val="00F14134"/>
    <w:rsid w:val="00F14ACA"/>
    <w:rsid w:val="00F23196"/>
    <w:rsid w:val="00F23927"/>
    <w:rsid w:val="00F26A05"/>
    <w:rsid w:val="00F307CE"/>
    <w:rsid w:val="00F37108"/>
    <w:rsid w:val="00F46586"/>
    <w:rsid w:val="00F47BAA"/>
    <w:rsid w:val="00F52EAB"/>
    <w:rsid w:val="00F61A31"/>
    <w:rsid w:val="00F67A2D"/>
    <w:rsid w:val="00F70A1B"/>
    <w:rsid w:val="00F72FDF"/>
    <w:rsid w:val="00F75960"/>
    <w:rsid w:val="00F82526"/>
    <w:rsid w:val="00F84672"/>
    <w:rsid w:val="00F84802"/>
    <w:rsid w:val="00F95A8C"/>
    <w:rsid w:val="00FA06FD"/>
    <w:rsid w:val="00FA515B"/>
    <w:rsid w:val="00FA6B90"/>
    <w:rsid w:val="00FA74CB"/>
    <w:rsid w:val="00FB207A"/>
    <w:rsid w:val="00FB2886"/>
    <w:rsid w:val="00FB466E"/>
    <w:rsid w:val="00FC752C"/>
    <w:rsid w:val="00FD0492"/>
    <w:rsid w:val="00FD13EC"/>
    <w:rsid w:val="00FD4A35"/>
    <w:rsid w:val="00FD4DA8"/>
    <w:rsid w:val="00FD4EEF"/>
    <w:rsid w:val="00FD5461"/>
    <w:rsid w:val="00FD6BDB"/>
    <w:rsid w:val="00FD6F00"/>
    <w:rsid w:val="00FD7B98"/>
    <w:rsid w:val="00FE3EBC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Calibri" w:hAnsi="Calibri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cs-CZ" w:eastAsia="en-US" w:bidi="ar-SA"/>
    </w:rPr>
  </w:style>
  <w:style w:type="character" w:customStyle="1" w:styleId="ZhlavChar">
    <w:name w:val="Záhlaví Char"/>
    <w:basedOn w:val="Standardnpsmoodstavce"/>
    <w:link w:val="Zhlav"/>
    <w:rsid w:val="008A4E2E"/>
    <w:rPr>
      <w:rFonts w:ascii="Helvetica" w:hAnsi="Helvetic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Calibri" w:hAnsi="Calibri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cs-CZ" w:eastAsia="en-US" w:bidi="ar-SA"/>
    </w:rPr>
  </w:style>
  <w:style w:type="character" w:customStyle="1" w:styleId="ZhlavChar">
    <w:name w:val="Záhlaví Char"/>
    <w:basedOn w:val="Standardnpsmoodstavce"/>
    <w:link w:val="Zhlav"/>
    <w:rsid w:val="008A4E2E"/>
    <w:rPr>
      <w:rFonts w:ascii="Helvetica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2256</Words>
  <Characters>13317</Characters>
  <Application>Microsoft Office Word</Application>
  <DocSecurity>0</DocSecurity>
  <Lines>110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 QRD Veterinay PI template_v.8.1_clean_January 2017</vt:lpstr>
      <vt:lpstr>EN QRD Veterinay PI template_v.8.1_clean_January 2017</vt:lpstr>
    </vt:vector>
  </TitlesOfParts>
  <Company>EMEA</Company>
  <LinksUpToDate>false</LinksUpToDate>
  <CharactersWithSpaces>15542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QRD Veterinay PI template_v.8.1_clean_January 2017</dc:title>
  <dc:subject>General-EMA/201224/2010</dc:subject>
  <dc:creator>Prizzi Monica</dc:creator>
  <cp:keywords/>
  <cp:lastModifiedBy>Neugebauerová Kateřina</cp:lastModifiedBy>
  <cp:revision>22</cp:revision>
  <cp:lastPrinted>2008-06-03T11:50:00Z</cp:lastPrinted>
  <dcterms:created xsi:type="dcterms:W3CDTF">2020-01-23T08:34:00Z</dcterms:created>
  <dcterms:modified xsi:type="dcterms:W3CDTF">2020-04-06T09:12:00Z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CURRENT,1.2</vt:lpwstr>
  </property>
  <property fmtid="{D5CDD505-2E9C-101B-9397-08002B2CF9AE}" pid="53" name="DM_Name">
    <vt:lpwstr>EN QRD Veterinay PI template_v.8.1_clean_January 2017</vt:lpwstr>
  </property>
  <property fmtid="{D5CDD505-2E9C-101B-9397-08002B2CF9AE}" pid="54" name="DM_Creation_Date">
    <vt:lpwstr>16/01/2017 11:49:07</vt:lpwstr>
  </property>
  <property fmtid="{D5CDD505-2E9C-101B-9397-08002B2CF9AE}" pid="55" name="DM_Modify_Date">
    <vt:lpwstr>16/01/2017 11:49:07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EMA/30443/2017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templates/13 V-template v.8.1 - publication/02 English vet QRD PI_for publication</vt:lpwstr>
  </property>
  <property fmtid="{D5CDD505-2E9C-101B-9397-08002B2CF9AE}" pid="62" name="DM_emea_doc_ref_id">
    <vt:lpwstr>EMA/30443/2017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16/01/2017 11:49:07</vt:lpwstr>
  </property>
</Properties>
</file>