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07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8E2EE8" w:rsidRDefault="008E2EE8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8E2EE8" w:rsidRDefault="008E2EE8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8E2EE8" w:rsidRDefault="008E2EE8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8E2EE8" w:rsidRDefault="008E2EE8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8E2EE8" w:rsidRDefault="008E2EE8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8E2EE8" w:rsidRDefault="008E2EE8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8E2EE8" w:rsidRDefault="008E2EE8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8E2EE8" w:rsidRDefault="008E2EE8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8E2EE8" w:rsidRDefault="008E2EE8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8E2EE8" w:rsidRDefault="008E2EE8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8E2EE8" w:rsidRPr="00AA1AF1" w:rsidRDefault="008E2EE8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A66107" w:rsidRPr="00AA1AF1" w:rsidRDefault="00A66107" w:rsidP="00A66107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  <w:r w:rsidRPr="00AA1AF1">
        <w:rPr>
          <w:b/>
          <w:szCs w:val="22"/>
          <w:lang w:val="cs-CZ"/>
        </w:rPr>
        <w:t>B.</w:t>
      </w:r>
      <w:r w:rsidRPr="00AA1AF1">
        <w:rPr>
          <w:szCs w:val="22"/>
          <w:lang w:val="cs-CZ"/>
        </w:rPr>
        <w:t xml:space="preserve"> </w:t>
      </w:r>
      <w:r w:rsidRPr="00AA1AF1">
        <w:rPr>
          <w:b/>
          <w:szCs w:val="22"/>
          <w:lang w:val="cs-CZ"/>
        </w:rPr>
        <w:t>PŘÍBALOVÁ INFORMACE</w:t>
      </w:r>
    </w:p>
    <w:p w:rsidR="00A66107" w:rsidRPr="00AA1AF1" w:rsidRDefault="00A66107" w:rsidP="00A66107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  <w:r w:rsidRPr="00AA1AF1">
        <w:rPr>
          <w:szCs w:val="22"/>
          <w:lang w:val="cs-CZ"/>
        </w:rPr>
        <w:br w:type="page"/>
      </w:r>
      <w:r w:rsidRPr="00AA1AF1">
        <w:rPr>
          <w:b/>
          <w:szCs w:val="22"/>
          <w:lang w:val="cs-CZ"/>
        </w:rPr>
        <w:lastRenderedPageBreak/>
        <w:t>PŘÍBALOVÁ INFORMACE:</w:t>
      </w:r>
    </w:p>
    <w:p w:rsidR="00A66107" w:rsidRPr="00AA1AF1" w:rsidRDefault="00A66107" w:rsidP="00A66107">
      <w:pPr>
        <w:tabs>
          <w:tab w:val="clear" w:pos="567"/>
          <w:tab w:val="left" w:pos="546"/>
          <w:tab w:val="left" w:pos="2268"/>
          <w:tab w:val="left" w:pos="5103"/>
          <w:tab w:val="left" w:pos="5387"/>
        </w:tabs>
        <w:spacing w:before="120"/>
        <w:jc w:val="center"/>
        <w:rPr>
          <w:szCs w:val="22"/>
          <w:lang w:val="cs-CZ"/>
        </w:rPr>
      </w:pPr>
      <w:proofErr w:type="spellStart"/>
      <w:r w:rsidRPr="00AA1AF1">
        <w:rPr>
          <w:b/>
          <w:szCs w:val="22"/>
          <w:lang w:val="cs-CZ"/>
        </w:rPr>
        <w:t>Gonavet</w:t>
      </w:r>
      <w:proofErr w:type="spellEnd"/>
      <w:r w:rsidRPr="00AA1AF1">
        <w:rPr>
          <w:b/>
          <w:szCs w:val="22"/>
          <w:lang w:val="cs-CZ"/>
        </w:rPr>
        <w:t xml:space="preserve"> </w:t>
      </w:r>
      <w:proofErr w:type="spellStart"/>
      <w:r w:rsidRPr="00AA1AF1">
        <w:rPr>
          <w:b/>
          <w:szCs w:val="22"/>
          <w:lang w:val="cs-CZ"/>
        </w:rPr>
        <w:t>Veyx</w:t>
      </w:r>
      <w:proofErr w:type="spellEnd"/>
      <w:r w:rsidRPr="00AA1AF1">
        <w:rPr>
          <w:b/>
          <w:szCs w:val="22"/>
          <w:lang w:val="cs-CZ"/>
        </w:rPr>
        <w:t xml:space="preserve"> 50 µg/ml injekční roztok</w:t>
      </w:r>
      <w:r w:rsidRPr="00AA1AF1">
        <w:rPr>
          <w:szCs w:val="22"/>
          <w:lang w:val="cs-CZ"/>
        </w:rPr>
        <w:t xml:space="preserve"> </w:t>
      </w:r>
      <w:r w:rsidRPr="00AA1AF1">
        <w:rPr>
          <w:b/>
          <w:szCs w:val="22"/>
          <w:lang w:val="cs-CZ"/>
        </w:rPr>
        <w:t>pro skot, prasata a koně</w:t>
      </w: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:rsidR="00A66107" w:rsidRPr="00AA1AF1" w:rsidRDefault="00A66107" w:rsidP="00A66107">
      <w:pPr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  <w:r w:rsidRPr="00A44E25">
        <w:rPr>
          <w:b/>
          <w:szCs w:val="22"/>
          <w:highlight w:val="lightGray"/>
          <w:lang w:val="cs-CZ"/>
        </w:rPr>
        <w:t>1.</w:t>
      </w:r>
      <w:r w:rsidRPr="00AA1AF1">
        <w:rPr>
          <w:b/>
          <w:szCs w:val="22"/>
          <w:lang w:val="cs-CZ"/>
        </w:rPr>
        <w:tab/>
        <w:t>JMÉNO A ADRESA DRŽITELE ROZHODNUTÍ O REGISTRACI A DRŽITELE POVOLENÍ K VÝROBĚ ODPOVĚDNÉHO ZA UVOLNĚNÍ ŠARŽE, POKUD SE NESHODUJE</w:t>
      </w:r>
    </w:p>
    <w:p w:rsidR="001971A2" w:rsidRPr="001971A2" w:rsidRDefault="001971A2" w:rsidP="00A44E25">
      <w:pPr>
        <w:tabs>
          <w:tab w:val="clear" w:pos="567"/>
        </w:tabs>
        <w:spacing w:before="120" w:line="240" w:lineRule="auto"/>
        <w:outlineLvl w:val="0"/>
        <w:rPr>
          <w:iCs/>
          <w:szCs w:val="22"/>
          <w:lang w:val="cs-CZ"/>
        </w:rPr>
      </w:pPr>
      <w:r w:rsidRPr="001971A2">
        <w:rPr>
          <w:iCs/>
          <w:szCs w:val="22"/>
          <w:lang w:val="cs-CZ"/>
        </w:rPr>
        <w:t>D</w:t>
      </w:r>
      <w:r>
        <w:rPr>
          <w:iCs/>
          <w:szCs w:val="22"/>
          <w:lang w:val="cs-CZ"/>
        </w:rPr>
        <w:t xml:space="preserve">ržitel rozhodnutí o registraci </w:t>
      </w:r>
      <w:r w:rsidRPr="001971A2">
        <w:rPr>
          <w:iCs/>
          <w:szCs w:val="22"/>
          <w:lang w:val="cs-CZ"/>
        </w:rPr>
        <w:t>a výrobce odpovědný za uvolnění šarže</w:t>
      </w:r>
      <w:r>
        <w:rPr>
          <w:iCs/>
          <w:szCs w:val="22"/>
          <w:lang w:val="cs-CZ"/>
        </w:rPr>
        <w:t>:</w:t>
      </w:r>
    </w:p>
    <w:p w:rsidR="00A66107" w:rsidRPr="00AA1AF1" w:rsidRDefault="00A66107" w:rsidP="00A66107">
      <w:pPr>
        <w:tabs>
          <w:tab w:val="clear" w:pos="567"/>
        </w:tabs>
        <w:spacing w:line="240" w:lineRule="auto"/>
        <w:outlineLvl w:val="0"/>
        <w:rPr>
          <w:iCs/>
          <w:szCs w:val="22"/>
          <w:lang w:val="cs-CZ"/>
        </w:rPr>
      </w:pPr>
      <w:r w:rsidRPr="00AA1AF1">
        <w:rPr>
          <w:iCs/>
          <w:szCs w:val="22"/>
          <w:lang w:val="cs-CZ"/>
        </w:rPr>
        <w:t>Veyx-Pharma GmbH</w:t>
      </w: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proofErr w:type="spellStart"/>
      <w:r w:rsidRPr="00AA1AF1">
        <w:rPr>
          <w:iCs/>
          <w:szCs w:val="22"/>
          <w:lang w:val="cs-CZ"/>
        </w:rPr>
        <w:t>Söhreweg</w:t>
      </w:r>
      <w:proofErr w:type="spellEnd"/>
      <w:r w:rsidRPr="00AA1AF1">
        <w:rPr>
          <w:iCs/>
          <w:szCs w:val="22"/>
          <w:lang w:val="cs-CZ"/>
        </w:rPr>
        <w:t xml:space="preserve"> 6</w:t>
      </w: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AA1AF1">
        <w:rPr>
          <w:iCs/>
          <w:szCs w:val="22"/>
          <w:lang w:val="cs-CZ"/>
        </w:rPr>
        <w:t xml:space="preserve">34639 </w:t>
      </w:r>
      <w:proofErr w:type="spellStart"/>
      <w:r w:rsidRPr="00AA1AF1">
        <w:rPr>
          <w:iCs/>
          <w:szCs w:val="22"/>
          <w:lang w:val="cs-CZ"/>
        </w:rPr>
        <w:t>Schwarzenborn</w:t>
      </w:r>
      <w:proofErr w:type="spellEnd"/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A1AF1">
        <w:rPr>
          <w:iCs/>
          <w:szCs w:val="22"/>
          <w:lang w:val="cs-CZ"/>
        </w:rPr>
        <w:t>Německo</w:t>
      </w:r>
    </w:p>
    <w:p w:rsidR="00A66107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88415F" w:rsidRPr="00AA1AF1" w:rsidRDefault="0088415F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44E25">
        <w:rPr>
          <w:b/>
          <w:szCs w:val="22"/>
          <w:highlight w:val="lightGray"/>
          <w:lang w:val="cs-CZ"/>
        </w:rPr>
        <w:t>2.</w:t>
      </w:r>
      <w:r w:rsidRPr="00AA1AF1">
        <w:rPr>
          <w:b/>
          <w:szCs w:val="22"/>
          <w:lang w:val="cs-CZ"/>
        </w:rPr>
        <w:tab/>
        <w:t>NÁZEV VETERINÁRNÍHO LÉČIVÉHO PŘÍPRAVKU</w:t>
      </w:r>
    </w:p>
    <w:p w:rsidR="00A66107" w:rsidRPr="00AA1AF1" w:rsidRDefault="00A66107" w:rsidP="00A44E25">
      <w:pPr>
        <w:tabs>
          <w:tab w:val="clear" w:pos="567"/>
          <w:tab w:val="left" w:pos="546"/>
          <w:tab w:val="left" w:pos="2268"/>
          <w:tab w:val="left" w:pos="5103"/>
          <w:tab w:val="left" w:pos="5387"/>
        </w:tabs>
        <w:spacing w:before="120"/>
        <w:rPr>
          <w:szCs w:val="22"/>
          <w:lang w:val="cs-CZ"/>
        </w:rPr>
      </w:pPr>
      <w:proofErr w:type="spellStart"/>
      <w:r w:rsidRPr="00AA1AF1">
        <w:rPr>
          <w:szCs w:val="22"/>
          <w:lang w:val="cs-CZ"/>
        </w:rPr>
        <w:t>Gonavet</w:t>
      </w:r>
      <w:proofErr w:type="spellEnd"/>
      <w:r w:rsidRPr="00AA1AF1">
        <w:rPr>
          <w:szCs w:val="22"/>
          <w:lang w:val="cs-CZ"/>
        </w:rPr>
        <w:t xml:space="preserve"> </w:t>
      </w:r>
      <w:proofErr w:type="spellStart"/>
      <w:r w:rsidRPr="00AA1AF1">
        <w:rPr>
          <w:szCs w:val="22"/>
          <w:lang w:val="cs-CZ"/>
        </w:rPr>
        <w:t>Veyx</w:t>
      </w:r>
      <w:proofErr w:type="spellEnd"/>
      <w:r w:rsidRPr="00AA1AF1">
        <w:rPr>
          <w:szCs w:val="22"/>
          <w:lang w:val="cs-CZ"/>
        </w:rPr>
        <w:t xml:space="preserve"> 50 µg/ml injekční roztok pro skot, prasata a koně</w:t>
      </w: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AA1AF1">
        <w:rPr>
          <w:szCs w:val="22"/>
          <w:lang w:val="cs-CZ"/>
        </w:rPr>
        <w:t>Gonadorelinum</w:t>
      </w:r>
      <w:proofErr w:type="spellEnd"/>
      <w:r w:rsidRPr="00AA1AF1">
        <w:rPr>
          <w:szCs w:val="22"/>
          <w:lang w:val="cs-CZ"/>
        </w:rPr>
        <w:t>[6-D-Phe]</w:t>
      </w: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A44E25">
        <w:rPr>
          <w:b/>
          <w:szCs w:val="22"/>
          <w:highlight w:val="lightGray"/>
          <w:lang w:val="cs-CZ"/>
        </w:rPr>
        <w:t>3.</w:t>
      </w:r>
      <w:r w:rsidRPr="00AA1AF1">
        <w:rPr>
          <w:b/>
          <w:szCs w:val="22"/>
          <w:lang w:val="cs-CZ"/>
        </w:rPr>
        <w:tab/>
        <w:t>OBSAH LÉČIVÝCH A OSTATNÍCH LÁTEK</w:t>
      </w:r>
    </w:p>
    <w:p w:rsidR="00A66107" w:rsidRDefault="00A66107" w:rsidP="00A44E25">
      <w:pPr>
        <w:tabs>
          <w:tab w:val="clear" w:pos="567"/>
        </w:tabs>
        <w:spacing w:before="120" w:line="240" w:lineRule="auto"/>
        <w:rPr>
          <w:bCs/>
          <w:szCs w:val="22"/>
          <w:lang w:val="cs-CZ"/>
        </w:rPr>
      </w:pPr>
      <w:proofErr w:type="spellStart"/>
      <w:r w:rsidRPr="00AA1AF1">
        <w:rPr>
          <w:bCs/>
          <w:szCs w:val="22"/>
          <w:lang w:val="cs-CZ"/>
        </w:rPr>
        <w:t>Gonavet</w:t>
      </w:r>
      <w:proofErr w:type="spellEnd"/>
      <w:r w:rsidRPr="00AA1AF1">
        <w:rPr>
          <w:bCs/>
          <w:szCs w:val="22"/>
          <w:lang w:val="cs-CZ"/>
        </w:rPr>
        <w:t xml:space="preserve"> </w:t>
      </w:r>
      <w:proofErr w:type="spellStart"/>
      <w:r w:rsidRPr="00AA1AF1">
        <w:rPr>
          <w:bCs/>
          <w:szCs w:val="22"/>
          <w:lang w:val="cs-CZ"/>
        </w:rPr>
        <w:t>Veyx</w:t>
      </w:r>
      <w:proofErr w:type="spellEnd"/>
      <w:r w:rsidRPr="00AA1AF1">
        <w:rPr>
          <w:bCs/>
          <w:szCs w:val="22"/>
          <w:lang w:val="cs-CZ"/>
        </w:rPr>
        <w:t xml:space="preserve"> je čirý bezbarvý injekční roztok obsahující:</w:t>
      </w:r>
    </w:p>
    <w:p w:rsidR="0088415F" w:rsidRPr="00AA1AF1" w:rsidRDefault="0088415F" w:rsidP="00A66107">
      <w:pPr>
        <w:tabs>
          <w:tab w:val="clear" w:pos="567"/>
        </w:tabs>
        <w:spacing w:line="240" w:lineRule="auto"/>
        <w:rPr>
          <w:lang w:val="cs-CZ"/>
        </w:rPr>
      </w:pPr>
    </w:p>
    <w:p w:rsidR="00A66107" w:rsidRPr="00A44E25" w:rsidRDefault="00A66107" w:rsidP="00A66107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A44E25">
        <w:rPr>
          <w:b/>
          <w:szCs w:val="22"/>
          <w:lang w:val="cs-CZ"/>
        </w:rPr>
        <w:t>Léčivá látka:</w:t>
      </w:r>
    </w:p>
    <w:p w:rsidR="0088415F" w:rsidRDefault="00A66107" w:rsidP="00A66107">
      <w:pPr>
        <w:tabs>
          <w:tab w:val="clear" w:pos="567"/>
          <w:tab w:val="left" w:pos="546"/>
          <w:tab w:val="left" w:pos="2835"/>
        </w:tabs>
        <w:rPr>
          <w:szCs w:val="22"/>
          <w:lang w:val="cs-CZ"/>
        </w:rPr>
      </w:pPr>
      <w:proofErr w:type="spellStart"/>
      <w:r w:rsidRPr="00AA1AF1">
        <w:rPr>
          <w:szCs w:val="22"/>
          <w:lang w:val="cs-CZ"/>
        </w:rPr>
        <w:t>Gonadorelinum</w:t>
      </w:r>
      <w:proofErr w:type="spellEnd"/>
      <w:r w:rsidRPr="00AA1AF1">
        <w:rPr>
          <w:szCs w:val="22"/>
          <w:lang w:val="cs-CZ"/>
        </w:rPr>
        <w:t>[6-D-Phe]</w:t>
      </w:r>
      <w:r w:rsidRPr="00AA1AF1">
        <w:rPr>
          <w:szCs w:val="22"/>
          <w:lang w:val="cs-CZ"/>
        </w:rPr>
        <w:tab/>
        <w:t xml:space="preserve">50 µg/ml </w:t>
      </w:r>
    </w:p>
    <w:p w:rsidR="00A66107" w:rsidRPr="00AA1AF1" w:rsidRDefault="00A66107" w:rsidP="00A66107">
      <w:pPr>
        <w:tabs>
          <w:tab w:val="clear" w:pos="567"/>
          <w:tab w:val="left" w:pos="546"/>
          <w:tab w:val="left" w:pos="2835"/>
        </w:tabs>
        <w:rPr>
          <w:szCs w:val="22"/>
          <w:lang w:val="cs-CZ"/>
        </w:rPr>
      </w:pPr>
      <w:r w:rsidRPr="00AA1AF1">
        <w:rPr>
          <w:szCs w:val="22"/>
          <w:lang w:val="cs-CZ"/>
        </w:rPr>
        <w:t>(</w:t>
      </w:r>
      <w:r w:rsidR="00C058FA">
        <w:rPr>
          <w:szCs w:val="22"/>
          <w:lang w:val="cs-CZ"/>
        </w:rPr>
        <w:t>odpovídá</w:t>
      </w:r>
      <w:r w:rsidR="00C058FA" w:rsidRPr="00AA1AF1">
        <w:rPr>
          <w:szCs w:val="22"/>
          <w:lang w:val="cs-CZ"/>
        </w:rPr>
        <w:t xml:space="preserve"> </w:t>
      </w:r>
      <w:r w:rsidRPr="00AA1AF1">
        <w:rPr>
          <w:szCs w:val="22"/>
          <w:lang w:val="cs-CZ"/>
        </w:rPr>
        <w:t xml:space="preserve">52,4 µg/ml </w:t>
      </w:r>
      <w:proofErr w:type="spellStart"/>
      <w:r w:rsidR="001E4311">
        <w:rPr>
          <w:szCs w:val="22"/>
          <w:lang w:val="cs-CZ"/>
        </w:rPr>
        <w:t>g</w:t>
      </w:r>
      <w:r w:rsidRPr="00AA1AF1">
        <w:rPr>
          <w:szCs w:val="22"/>
          <w:lang w:val="cs-CZ"/>
        </w:rPr>
        <w:t>onadorelini</w:t>
      </w:r>
      <w:proofErr w:type="spellEnd"/>
      <w:r w:rsidRPr="00AA1AF1">
        <w:rPr>
          <w:szCs w:val="22"/>
          <w:lang w:val="cs-CZ"/>
        </w:rPr>
        <w:t xml:space="preserve">[6-D-Phe] </w:t>
      </w:r>
      <w:proofErr w:type="spellStart"/>
      <w:r w:rsidRPr="00AA1AF1">
        <w:rPr>
          <w:szCs w:val="22"/>
          <w:lang w:val="cs-CZ"/>
        </w:rPr>
        <w:t>acetas</w:t>
      </w:r>
      <w:proofErr w:type="spellEnd"/>
      <w:r w:rsidRPr="00AA1AF1">
        <w:rPr>
          <w:szCs w:val="22"/>
          <w:lang w:val="cs-CZ"/>
        </w:rPr>
        <w:t>)</w:t>
      </w:r>
    </w:p>
    <w:p w:rsidR="0088415F" w:rsidRDefault="0088415F" w:rsidP="00A66107">
      <w:pPr>
        <w:tabs>
          <w:tab w:val="clear" w:pos="567"/>
        </w:tabs>
        <w:spacing w:line="240" w:lineRule="auto"/>
        <w:rPr>
          <w:i/>
          <w:szCs w:val="22"/>
          <w:lang w:val="cs-CZ"/>
        </w:rPr>
      </w:pPr>
    </w:p>
    <w:p w:rsidR="00A66107" w:rsidRPr="00A44E25" w:rsidRDefault="00A66107" w:rsidP="00A66107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A44E25">
        <w:rPr>
          <w:b/>
          <w:szCs w:val="22"/>
          <w:lang w:val="cs-CZ"/>
        </w:rPr>
        <w:t>Pomocné látky:</w:t>
      </w:r>
    </w:p>
    <w:p w:rsidR="00A66107" w:rsidRPr="00AA1AF1" w:rsidRDefault="00A66107" w:rsidP="00A66107">
      <w:pPr>
        <w:tabs>
          <w:tab w:val="clear" w:pos="567"/>
          <w:tab w:val="left" w:pos="546"/>
          <w:tab w:val="left" w:pos="2835"/>
        </w:tabs>
        <w:rPr>
          <w:szCs w:val="22"/>
          <w:lang w:val="cs-CZ"/>
        </w:rPr>
      </w:pPr>
      <w:proofErr w:type="spellStart"/>
      <w:r w:rsidRPr="00AA1AF1">
        <w:rPr>
          <w:szCs w:val="22"/>
          <w:lang w:val="cs-CZ"/>
        </w:rPr>
        <w:t>Chlorkresol</w:t>
      </w:r>
      <w:proofErr w:type="spellEnd"/>
      <w:r w:rsidRPr="00AA1AF1">
        <w:rPr>
          <w:szCs w:val="22"/>
          <w:lang w:val="cs-CZ"/>
        </w:rPr>
        <w:t xml:space="preserve"> </w:t>
      </w:r>
      <w:r w:rsidRPr="00AA1AF1">
        <w:rPr>
          <w:szCs w:val="22"/>
          <w:lang w:val="cs-CZ"/>
        </w:rPr>
        <w:tab/>
        <w:t>1 mg/ml</w:t>
      </w: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A66107" w:rsidRDefault="00A66107" w:rsidP="00A66107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A44E25">
        <w:rPr>
          <w:b/>
          <w:szCs w:val="22"/>
          <w:highlight w:val="lightGray"/>
          <w:lang w:val="cs-CZ"/>
        </w:rPr>
        <w:t>4.</w:t>
      </w:r>
      <w:r w:rsidRPr="00AA1AF1">
        <w:rPr>
          <w:b/>
          <w:szCs w:val="22"/>
          <w:lang w:val="cs-CZ"/>
        </w:rPr>
        <w:tab/>
        <w:t>INDIKACE</w:t>
      </w:r>
    </w:p>
    <w:p w:rsidR="00A66107" w:rsidRPr="00AA1AF1" w:rsidRDefault="00A66107" w:rsidP="00A44E25">
      <w:pPr>
        <w:spacing w:before="120"/>
        <w:ind w:left="28"/>
        <w:rPr>
          <w:lang w:val="cs-CZ"/>
        </w:rPr>
      </w:pPr>
      <w:r w:rsidRPr="00AA1AF1">
        <w:rPr>
          <w:lang w:val="cs-CZ"/>
        </w:rPr>
        <w:t>Řízení a stimulace reprodukce u skotu a prasat. Léčba ovariálních poruch souvisejících s fertilitou nebo dysfunkcí u skotu a koní.</w:t>
      </w:r>
    </w:p>
    <w:p w:rsidR="00A66107" w:rsidRPr="00AA1AF1" w:rsidRDefault="00A66107" w:rsidP="00A66107">
      <w:pPr>
        <w:tabs>
          <w:tab w:val="clear" w:pos="567"/>
          <w:tab w:val="left" w:pos="1725"/>
        </w:tabs>
        <w:ind w:left="26"/>
        <w:rPr>
          <w:b/>
          <w:szCs w:val="22"/>
          <w:lang w:val="cs-CZ"/>
        </w:rPr>
      </w:pPr>
      <w:r>
        <w:rPr>
          <w:b/>
          <w:szCs w:val="22"/>
          <w:lang w:val="cs-CZ"/>
        </w:rPr>
        <w:tab/>
      </w:r>
    </w:p>
    <w:p w:rsidR="00A66107" w:rsidRPr="00AA1AF1" w:rsidRDefault="00A66107" w:rsidP="00A66107">
      <w:pPr>
        <w:ind w:left="26"/>
        <w:jc w:val="both"/>
        <w:outlineLvl w:val="0"/>
        <w:rPr>
          <w:szCs w:val="22"/>
          <w:lang w:val="cs-CZ"/>
        </w:rPr>
      </w:pPr>
      <w:r w:rsidRPr="00AA1AF1">
        <w:rPr>
          <w:szCs w:val="22"/>
          <w:u w:val="single"/>
          <w:lang w:val="cs-CZ"/>
        </w:rPr>
        <w:t>Skot (krávy, jalovice):</w:t>
      </w:r>
    </w:p>
    <w:p w:rsidR="00A66107" w:rsidRPr="00AA1AF1" w:rsidRDefault="00A66107" w:rsidP="00A66107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  <w:szCs w:val="22"/>
          <w:lang w:val="cs-CZ" w:eastAsia="en-US"/>
        </w:rPr>
      </w:pPr>
      <w:r w:rsidRPr="00AA1AF1">
        <w:rPr>
          <w:rFonts w:ascii="Times New Roman" w:hAnsi="Times New Roman" w:cs="Times New Roman"/>
          <w:szCs w:val="22"/>
          <w:lang w:val="cs-CZ" w:eastAsia="en-US"/>
        </w:rPr>
        <w:t>indukce ovulace v případě opožděné ovulace v důsledku nedostatku hormonu LH,</w:t>
      </w:r>
    </w:p>
    <w:p w:rsidR="00A66107" w:rsidRPr="00AA1AF1" w:rsidRDefault="00A66107" w:rsidP="00A66107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  <w:szCs w:val="22"/>
          <w:lang w:val="cs-CZ" w:eastAsia="en-US"/>
        </w:rPr>
      </w:pPr>
      <w:r w:rsidRPr="00AA1AF1">
        <w:rPr>
          <w:rFonts w:ascii="Times New Roman" w:hAnsi="Times New Roman" w:cs="Times New Roman"/>
          <w:szCs w:val="22"/>
          <w:lang w:val="cs-CZ" w:eastAsia="en-US"/>
        </w:rPr>
        <w:t xml:space="preserve">indukce/synchronizace ovulace v rámci systémů pro časově plánované </w:t>
      </w:r>
      <w:r w:rsidRPr="00AA1AF1">
        <w:rPr>
          <w:rFonts w:ascii="Times New Roman" w:hAnsi="Times New Roman" w:cs="Times New Roman"/>
          <w:szCs w:val="22"/>
          <w:lang w:val="cs-CZ" w:eastAsia="en-US"/>
        </w:rPr>
        <w:br/>
        <w:t xml:space="preserve">inseminace, </w:t>
      </w:r>
    </w:p>
    <w:p w:rsidR="00A66107" w:rsidRPr="00AA1AF1" w:rsidRDefault="00A66107" w:rsidP="00A66107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  <w:szCs w:val="22"/>
          <w:lang w:val="cs-CZ" w:eastAsia="en-US"/>
        </w:rPr>
      </w:pPr>
      <w:r w:rsidRPr="00AA1AF1">
        <w:rPr>
          <w:rFonts w:ascii="Times New Roman" w:hAnsi="Times New Roman" w:cs="Times New Roman"/>
          <w:szCs w:val="22"/>
          <w:lang w:val="cs-CZ" w:eastAsia="en-US"/>
        </w:rPr>
        <w:t xml:space="preserve">stimulace ovarií v puerperiu od 12. dne post </w:t>
      </w:r>
      <w:proofErr w:type="spellStart"/>
      <w:r w:rsidRPr="00AA1AF1">
        <w:rPr>
          <w:rFonts w:ascii="Times New Roman" w:hAnsi="Times New Roman" w:cs="Times New Roman"/>
          <w:szCs w:val="22"/>
          <w:lang w:val="cs-CZ" w:eastAsia="en-US"/>
        </w:rPr>
        <w:t>partum</w:t>
      </w:r>
      <w:proofErr w:type="spellEnd"/>
      <w:r w:rsidRPr="00AA1AF1">
        <w:rPr>
          <w:rFonts w:ascii="Times New Roman" w:hAnsi="Times New Roman" w:cs="Times New Roman"/>
          <w:szCs w:val="22"/>
          <w:lang w:val="cs-CZ" w:eastAsia="en-US"/>
        </w:rPr>
        <w:t>,</w:t>
      </w:r>
    </w:p>
    <w:p w:rsidR="00A66107" w:rsidRPr="00AA1AF1" w:rsidRDefault="00A66107" w:rsidP="00A66107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  <w:szCs w:val="22"/>
          <w:lang w:val="cs-CZ" w:eastAsia="en-US"/>
        </w:rPr>
      </w:pPr>
      <w:r w:rsidRPr="00AA1AF1">
        <w:rPr>
          <w:rFonts w:ascii="Times New Roman" w:hAnsi="Times New Roman" w:cs="Times New Roman"/>
          <w:szCs w:val="22"/>
          <w:lang w:val="cs-CZ" w:eastAsia="en-US"/>
        </w:rPr>
        <w:t>ovariální cysty (v důsledku nedostatku LH).</w:t>
      </w:r>
    </w:p>
    <w:p w:rsidR="00A66107" w:rsidRPr="00AA1AF1" w:rsidRDefault="00A66107" w:rsidP="00A66107">
      <w:pPr>
        <w:rPr>
          <w:szCs w:val="22"/>
          <w:lang w:val="cs-CZ"/>
        </w:rPr>
      </w:pPr>
    </w:p>
    <w:p w:rsidR="00A66107" w:rsidRPr="00AA1AF1" w:rsidRDefault="00A66107" w:rsidP="00A66107">
      <w:pPr>
        <w:jc w:val="both"/>
        <w:outlineLvl w:val="0"/>
        <w:rPr>
          <w:szCs w:val="22"/>
          <w:lang w:val="cs-CZ"/>
        </w:rPr>
      </w:pPr>
      <w:r w:rsidRPr="00AA1AF1">
        <w:rPr>
          <w:szCs w:val="22"/>
          <w:u w:val="single"/>
          <w:lang w:val="cs-CZ"/>
        </w:rPr>
        <w:t>Prasata (prasnice, prasničky):</w:t>
      </w:r>
    </w:p>
    <w:p w:rsidR="00A66107" w:rsidRPr="00AA1AF1" w:rsidRDefault="00A66107" w:rsidP="00A66107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  <w:szCs w:val="22"/>
          <w:lang w:val="cs-CZ" w:eastAsia="en-US"/>
        </w:rPr>
      </w:pPr>
      <w:r w:rsidRPr="00AA1AF1">
        <w:rPr>
          <w:rFonts w:ascii="Times New Roman" w:hAnsi="Times New Roman" w:cs="Times New Roman"/>
          <w:szCs w:val="22"/>
          <w:lang w:val="cs-CZ" w:eastAsia="en-US"/>
        </w:rPr>
        <w:t>indukce/synchronizace ovulace v rámci systémů pro časově plánované inseminace a synchronizace porodů.</w:t>
      </w:r>
    </w:p>
    <w:p w:rsidR="00A66107" w:rsidRPr="00AA1AF1" w:rsidRDefault="00A66107" w:rsidP="00A66107">
      <w:pPr>
        <w:rPr>
          <w:szCs w:val="22"/>
          <w:lang w:val="cs-CZ"/>
        </w:rPr>
      </w:pPr>
    </w:p>
    <w:p w:rsidR="00A66107" w:rsidRPr="00AA1AF1" w:rsidRDefault="00A66107" w:rsidP="00A66107">
      <w:pPr>
        <w:jc w:val="both"/>
        <w:outlineLvl w:val="0"/>
        <w:rPr>
          <w:szCs w:val="22"/>
          <w:lang w:val="cs-CZ"/>
        </w:rPr>
      </w:pPr>
      <w:r w:rsidRPr="00AA1AF1">
        <w:rPr>
          <w:szCs w:val="22"/>
          <w:u w:val="single"/>
          <w:lang w:val="cs-CZ"/>
        </w:rPr>
        <w:t>Koně (klisny):</w:t>
      </w:r>
    </w:p>
    <w:p w:rsidR="00A66107" w:rsidRPr="00AA1AF1" w:rsidRDefault="00A66107" w:rsidP="00A66107">
      <w:pPr>
        <w:pStyle w:val="Odstavecseseznamem"/>
        <w:numPr>
          <w:ilvl w:val="0"/>
          <w:numId w:val="2"/>
        </w:numPr>
        <w:ind w:left="284" w:hanging="284"/>
        <w:rPr>
          <w:rFonts w:ascii="Times New Roman" w:hAnsi="Times New Roman" w:cs="Times New Roman"/>
          <w:szCs w:val="22"/>
          <w:lang w:val="cs-CZ" w:eastAsia="en-US"/>
        </w:rPr>
      </w:pPr>
      <w:proofErr w:type="spellStart"/>
      <w:r w:rsidRPr="00AA1AF1">
        <w:rPr>
          <w:rFonts w:ascii="Times New Roman" w:hAnsi="Times New Roman" w:cs="Times New Roman"/>
          <w:szCs w:val="22"/>
          <w:lang w:val="cs-CZ" w:eastAsia="en-US"/>
        </w:rPr>
        <w:t>acyklie</w:t>
      </w:r>
      <w:proofErr w:type="spellEnd"/>
      <w:r w:rsidRPr="00AA1AF1">
        <w:rPr>
          <w:rFonts w:ascii="Times New Roman" w:hAnsi="Times New Roman" w:cs="Times New Roman"/>
          <w:szCs w:val="22"/>
          <w:lang w:val="cs-CZ" w:eastAsia="en-US"/>
        </w:rPr>
        <w:t xml:space="preserve"> a </w:t>
      </w:r>
      <w:proofErr w:type="spellStart"/>
      <w:r w:rsidRPr="00AA1AF1">
        <w:rPr>
          <w:rFonts w:ascii="Times New Roman" w:hAnsi="Times New Roman" w:cs="Times New Roman"/>
          <w:szCs w:val="22"/>
          <w:lang w:val="cs-CZ" w:eastAsia="en-US"/>
        </w:rPr>
        <w:t>anestrie</w:t>
      </w:r>
      <w:proofErr w:type="spellEnd"/>
      <w:r w:rsidRPr="00AA1AF1">
        <w:rPr>
          <w:rFonts w:ascii="Times New Roman" w:hAnsi="Times New Roman" w:cs="Times New Roman"/>
          <w:szCs w:val="22"/>
          <w:lang w:val="cs-CZ" w:eastAsia="en-US"/>
        </w:rPr>
        <w:t xml:space="preserve"> v důsledku nedostatku LH.</w:t>
      </w: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A66107" w:rsidRPr="00AA1AF1" w:rsidRDefault="00A66107" w:rsidP="00A66107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A44E25">
        <w:rPr>
          <w:b/>
          <w:szCs w:val="22"/>
          <w:highlight w:val="lightGray"/>
          <w:lang w:val="cs-CZ"/>
        </w:rPr>
        <w:t>5</w:t>
      </w:r>
      <w:r w:rsidR="000A5D24" w:rsidRPr="00A44E25">
        <w:rPr>
          <w:b/>
          <w:szCs w:val="22"/>
          <w:highlight w:val="lightGray"/>
          <w:lang w:val="cs-CZ"/>
        </w:rPr>
        <w:t>.</w:t>
      </w:r>
      <w:r w:rsidRPr="00AA1AF1">
        <w:rPr>
          <w:b/>
          <w:szCs w:val="22"/>
          <w:lang w:val="cs-CZ"/>
        </w:rPr>
        <w:tab/>
        <w:t>KONTRAINDIKACE</w:t>
      </w:r>
    </w:p>
    <w:p w:rsidR="00A66107" w:rsidRPr="00AA1AF1" w:rsidRDefault="00A66107" w:rsidP="00A66107">
      <w:pPr>
        <w:spacing w:before="120"/>
        <w:ind w:left="142" w:hanging="142"/>
        <w:rPr>
          <w:szCs w:val="22"/>
          <w:lang w:val="cs-CZ"/>
        </w:rPr>
      </w:pPr>
      <w:r w:rsidRPr="00AA1AF1">
        <w:rPr>
          <w:szCs w:val="22"/>
          <w:lang w:val="cs-CZ"/>
        </w:rPr>
        <w:t>Nepoužívat u krav s vyvinutými terciálními folikuly připravenými k ovulaci.</w:t>
      </w:r>
    </w:p>
    <w:p w:rsidR="00A66107" w:rsidRPr="00AA1AF1" w:rsidRDefault="00A66107" w:rsidP="00A66107">
      <w:pPr>
        <w:ind w:left="142" w:hanging="142"/>
        <w:rPr>
          <w:szCs w:val="22"/>
          <w:lang w:val="cs-CZ"/>
        </w:rPr>
      </w:pPr>
      <w:r w:rsidRPr="00AA1AF1">
        <w:rPr>
          <w:szCs w:val="22"/>
          <w:lang w:val="cs-CZ"/>
        </w:rPr>
        <w:t xml:space="preserve">Nepoužívat v případě infekcí nebo jiných celkových onemocnění. </w:t>
      </w:r>
    </w:p>
    <w:p w:rsidR="00A66107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A1AF1">
        <w:rPr>
          <w:lang w:val="cs-CZ"/>
        </w:rPr>
        <w:t xml:space="preserve">Nepoužívat v </w:t>
      </w:r>
      <w:r w:rsidR="00821A5F" w:rsidRPr="00821A5F">
        <w:rPr>
          <w:lang w:val="cs-CZ"/>
        </w:rPr>
        <w:t>případech</w:t>
      </w:r>
      <w:r w:rsidRPr="00AA1AF1">
        <w:rPr>
          <w:lang w:val="cs-CZ"/>
        </w:rPr>
        <w:t xml:space="preserve"> známé přecitlivělosti na léčivou látku, nebo na některou z pomocných látek.</w:t>
      </w:r>
    </w:p>
    <w:p w:rsidR="0088415F" w:rsidRDefault="0088415F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88415F" w:rsidRPr="00AA1AF1" w:rsidRDefault="0088415F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A66107" w:rsidRDefault="00A66107" w:rsidP="00A66107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A44E25">
        <w:rPr>
          <w:b/>
          <w:szCs w:val="22"/>
          <w:highlight w:val="lightGray"/>
          <w:lang w:val="cs-CZ"/>
        </w:rPr>
        <w:t>6</w:t>
      </w:r>
      <w:r w:rsidRPr="00AA1AF1">
        <w:rPr>
          <w:b/>
          <w:szCs w:val="22"/>
          <w:lang w:val="cs-CZ"/>
        </w:rPr>
        <w:t>.</w:t>
      </w:r>
      <w:r w:rsidRPr="00AA1AF1">
        <w:rPr>
          <w:b/>
          <w:szCs w:val="22"/>
          <w:lang w:val="cs-CZ"/>
        </w:rPr>
        <w:tab/>
        <w:t>NEŽÁDOUCÍ ÚČINKY</w:t>
      </w:r>
    </w:p>
    <w:p w:rsidR="00A66107" w:rsidRPr="00AA1AF1" w:rsidRDefault="00A66107" w:rsidP="00A44E25">
      <w:pPr>
        <w:tabs>
          <w:tab w:val="clear" w:pos="567"/>
        </w:tabs>
        <w:spacing w:before="120" w:line="240" w:lineRule="auto"/>
        <w:rPr>
          <w:szCs w:val="22"/>
          <w:lang w:val="cs-CZ"/>
        </w:rPr>
      </w:pPr>
      <w:r w:rsidRPr="00AA1AF1">
        <w:rPr>
          <w:szCs w:val="22"/>
          <w:lang w:val="cs-CZ"/>
        </w:rPr>
        <w:t xml:space="preserve">Nejsou známy </w:t>
      </w: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A66107" w:rsidRDefault="001971A2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1971A2">
        <w:rPr>
          <w:lang w:val="cs-CZ"/>
        </w:rPr>
        <w:t>Jestliže zaznamenáte kterýkoliv z nežádoucích účinků a to i takové, které nejsou uvedeny v této příbalové informaci, nebo si myslíte, že léčivo ne</w:t>
      </w:r>
      <w:r w:rsidR="006355B9">
        <w:rPr>
          <w:lang w:val="cs-CZ"/>
        </w:rPr>
        <w:t>ní účinné</w:t>
      </w:r>
      <w:r w:rsidRPr="001971A2">
        <w:rPr>
          <w:lang w:val="cs-CZ"/>
        </w:rPr>
        <w:t>, oznamte to, prosím, vašemu veterinárnímu lékaři.</w:t>
      </w:r>
    </w:p>
    <w:p w:rsidR="006355B9" w:rsidRPr="00A44E25" w:rsidRDefault="006355B9" w:rsidP="006355B9">
      <w:pPr>
        <w:rPr>
          <w:lang w:val="cs-CZ"/>
        </w:rPr>
      </w:pPr>
      <w:r w:rsidRPr="00A44E25">
        <w:rPr>
          <w:lang w:val="cs-CZ"/>
        </w:rPr>
        <w:t xml:space="preserve">Nežádoucí účinky můžete hlásit prostřednictvím formuláře na webových stránkách ÚSKVBL elektronicky, nebo také přímo na adresu: Ústav pro státní kontrolu veterinárních biopreparátů a léčiv, Hudcova 56a, 621 00 Brno, Mail: </w:t>
      </w:r>
      <w:hyperlink r:id="rId8" w:history="1">
        <w:r w:rsidRPr="00A44E25">
          <w:rPr>
            <w:rStyle w:val="Hypertextovodkaz"/>
            <w:lang w:val="cs-CZ"/>
          </w:rPr>
          <w:t>adr@uskvbl.cz</w:t>
        </w:r>
      </w:hyperlink>
      <w:r w:rsidRPr="00A44E25">
        <w:rPr>
          <w:lang w:val="cs-CZ"/>
        </w:rPr>
        <w:t xml:space="preserve">, Webové stránky: </w:t>
      </w:r>
      <w:hyperlink r:id="rId9" w:history="1">
        <w:r w:rsidRPr="00A44E25">
          <w:rPr>
            <w:rStyle w:val="Hypertextovodkaz"/>
            <w:lang w:val="cs-CZ"/>
          </w:rPr>
          <w:t>http://www.uskvbl.cz/cs/farmakovigilance</w:t>
        </w:r>
      </w:hyperlink>
      <w:r w:rsidRPr="00A44E25">
        <w:rPr>
          <w:lang w:val="cs-CZ"/>
        </w:rPr>
        <w:t>&gt;</w:t>
      </w:r>
    </w:p>
    <w:p w:rsidR="00A66107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88415F" w:rsidRPr="00AA1AF1" w:rsidRDefault="0088415F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A66107" w:rsidRPr="00AA1AF1" w:rsidRDefault="00A66107" w:rsidP="00A66107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A44E25">
        <w:rPr>
          <w:b/>
          <w:szCs w:val="22"/>
          <w:highlight w:val="lightGray"/>
          <w:lang w:val="cs-CZ"/>
        </w:rPr>
        <w:t>7.</w:t>
      </w:r>
      <w:r w:rsidRPr="00AA1AF1">
        <w:rPr>
          <w:b/>
          <w:szCs w:val="22"/>
          <w:lang w:val="cs-CZ"/>
        </w:rPr>
        <w:tab/>
        <w:t>CÍLOVÝ DRUH ZVÍŘAT</w:t>
      </w:r>
    </w:p>
    <w:p w:rsidR="00A66107" w:rsidRPr="00AA1AF1" w:rsidRDefault="00A66107" w:rsidP="00A66107">
      <w:pPr>
        <w:tabs>
          <w:tab w:val="clear" w:pos="567"/>
          <w:tab w:val="left" w:pos="572"/>
        </w:tabs>
        <w:spacing w:before="120"/>
        <w:rPr>
          <w:szCs w:val="22"/>
          <w:lang w:val="cs-CZ"/>
        </w:rPr>
      </w:pPr>
      <w:r w:rsidRPr="00AA1AF1">
        <w:rPr>
          <w:szCs w:val="22"/>
          <w:lang w:val="cs-CZ"/>
        </w:rPr>
        <w:t>Skot (krávy, jalovice), prasata (prasnice, prasničky), koně (klisny)</w:t>
      </w: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A66107" w:rsidRPr="00AA1AF1" w:rsidRDefault="00A66107" w:rsidP="00A66107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A44E25">
        <w:rPr>
          <w:b/>
          <w:szCs w:val="22"/>
          <w:highlight w:val="lightGray"/>
          <w:lang w:val="cs-CZ"/>
        </w:rPr>
        <w:t>8.</w:t>
      </w:r>
      <w:r w:rsidRPr="00AA1AF1">
        <w:rPr>
          <w:b/>
          <w:szCs w:val="22"/>
          <w:lang w:val="cs-CZ"/>
        </w:rPr>
        <w:tab/>
        <w:t>DÁVKOVÁNÍ PRO KAŽDÝ DRUH, CESTA A ZPŮSOB PODÁNÍ</w:t>
      </w:r>
    </w:p>
    <w:p w:rsidR="00A66107" w:rsidRPr="00AA1AF1" w:rsidRDefault="00A66107" w:rsidP="00A44E25">
      <w:pPr>
        <w:spacing w:before="120"/>
        <w:ind w:left="28"/>
        <w:rPr>
          <w:iCs/>
          <w:szCs w:val="22"/>
          <w:lang w:val="cs-CZ"/>
        </w:rPr>
      </w:pPr>
      <w:r w:rsidRPr="00AA1AF1">
        <w:rPr>
          <w:lang w:val="cs-CZ"/>
        </w:rPr>
        <w:t xml:space="preserve">Pro intramuskulární nebo </w:t>
      </w:r>
      <w:proofErr w:type="gramStart"/>
      <w:r w:rsidRPr="00AA1AF1">
        <w:rPr>
          <w:lang w:val="cs-CZ"/>
        </w:rPr>
        <w:t>subkutánní  podání</w:t>
      </w:r>
      <w:proofErr w:type="gramEnd"/>
      <w:r w:rsidRPr="00AA1AF1">
        <w:rPr>
          <w:lang w:val="cs-CZ"/>
        </w:rPr>
        <w:t xml:space="preserve">. </w:t>
      </w:r>
      <w:r w:rsidRPr="00AA1AF1">
        <w:rPr>
          <w:iCs/>
          <w:szCs w:val="22"/>
          <w:lang w:val="cs-CZ"/>
        </w:rPr>
        <w:t>K intramuskulárnímu podání</w:t>
      </w:r>
      <w:r w:rsidRPr="00AA1AF1">
        <w:rPr>
          <w:lang w:val="cs-CZ"/>
        </w:rPr>
        <w:t>, přednostně v oblasti krku. Přípravek je určen pro jednorázové podání, s výjimkou použití jako součást protokolu „</w:t>
      </w:r>
      <w:proofErr w:type="spellStart"/>
      <w:r w:rsidRPr="00AA1AF1">
        <w:rPr>
          <w:lang w:val="cs-CZ"/>
        </w:rPr>
        <w:t>Ovsynch</w:t>
      </w:r>
      <w:proofErr w:type="spellEnd"/>
      <w:r w:rsidRPr="00AA1AF1">
        <w:rPr>
          <w:lang w:val="cs-CZ"/>
        </w:rPr>
        <w:t xml:space="preserve">“, umělé časově plánované inseminace. </w:t>
      </w:r>
      <w:r w:rsidRPr="00AA1AF1">
        <w:rPr>
          <w:iCs/>
          <w:szCs w:val="22"/>
          <w:lang w:val="cs-CZ"/>
        </w:rPr>
        <w:t xml:space="preserve">Dávkování v ml přípravku a µg </w:t>
      </w:r>
      <w:proofErr w:type="spellStart"/>
      <w:r w:rsidRPr="00AA1AF1">
        <w:rPr>
          <w:iCs/>
          <w:szCs w:val="22"/>
          <w:lang w:val="cs-CZ"/>
        </w:rPr>
        <w:t>gonadorelinu</w:t>
      </w:r>
      <w:proofErr w:type="spellEnd"/>
      <w:r w:rsidRPr="00AA1AF1">
        <w:rPr>
          <w:iCs/>
          <w:szCs w:val="22"/>
          <w:lang w:val="cs-CZ"/>
        </w:rPr>
        <w:t xml:space="preserve">[6-D-Phe] na zvíře. </w:t>
      </w:r>
    </w:p>
    <w:p w:rsidR="00A66107" w:rsidRPr="00AA1AF1" w:rsidRDefault="00A66107" w:rsidP="00A66107">
      <w:pPr>
        <w:ind w:left="26"/>
        <w:rPr>
          <w:iCs/>
          <w:szCs w:val="22"/>
          <w:lang w:val="cs-CZ"/>
        </w:rPr>
      </w:pPr>
    </w:p>
    <w:p w:rsidR="00A66107" w:rsidRPr="00AA1AF1" w:rsidRDefault="00A66107" w:rsidP="00A66107">
      <w:pPr>
        <w:tabs>
          <w:tab w:val="right" w:pos="9071"/>
        </w:tabs>
        <w:spacing w:before="120"/>
        <w:ind w:left="26"/>
        <w:outlineLvl w:val="0"/>
        <w:rPr>
          <w:szCs w:val="22"/>
          <w:lang w:val="cs-CZ"/>
        </w:rPr>
      </w:pPr>
      <w:r w:rsidRPr="00AA1AF1">
        <w:rPr>
          <w:iCs/>
          <w:szCs w:val="22"/>
          <w:u w:val="single"/>
          <w:lang w:val="cs-CZ"/>
        </w:rPr>
        <w:t>Skot (krávy, jalovice)</w:t>
      </w:r>
      <w:r w:rsidRPr="00AA1AF1">
        <w:rPr>
          <w:iCs/>
          <w:szCs w:val="22"/>
          <w:lang w:val="cs-CZ"/>
        </w:rPr>
        <w:t xml:space="preserve"> intramuskulární podání</w:t>
      </w:r>
      <w:r w:rsidRPr="00AA1AF1">
        <w:rPr>
          <w:lang w:val="cs-CZ"/>
        </w:rPr>
        <w:t>:</w:t>
      </w:r>
      <w:r w:rsidRPr="00AA1AF1">
        <w:rPr>
          <w:sz w:val="24"/>
          <w:szCs w:val="24"/>
          <w:lang w:val="cs-CZ"/>
        </w:rPr>
        <w:tab/>
      </w:r>
      <w:r w:rsidRPr="00AA1AF1">
        <w:rPr>
          <w:szCs w:val="22"/>
          <w:lang w:val="cs-CZ"/>
        </w:rPr>
        <w:t>1,0–2,0 ml</w:t>
      </w:r>
    </w:p>
    <w:p w:rsidR="00A66107" w:rsidRPr="00AA1AF1" w:rsidRDefault="00A66107" w:rsidP="00A66107">
      <w:pPr>
        <w:tabs>
          <w:tab w:val="right" w:pos="9071"/>
        </w:tabs>
        <w:rPr>
          <w:szCs w:val="22"/>
          <w:lang w:val="cs-CZ"/>
        </w:rPr>
      </w:pPr>
      <w:r w:rsidRPr="00AA1AF1">
        <w:rPr>
          <w:szCs w:val="22"/>
          <w:lang w:val="cs-CZ"/>
        </w:rPr>
        <w:t>(</w:t>
      </w:r>
      <w:proofErr w:type="spellStart"/>
      <w:r w:rsidR="00715115">
        <w:t>odpovídá</w:t>
      </w:r>
      <w:proofErr w:type="spellEnd"/>
      <w:r w:rsidRPr="00AA1AF1">
        <w:rPr>
          <w:szCs w:val="22"/>
          <w:lang w:val="cs-CZ"/>
        </w:rPr>
        <w:t xml:space="preserve"> 50–100 µg </w:t>
      </w:r>
      <w:proofErr w:type="spellStart"/>
      <w:r w:rsidRPr="00AA1AF1">
        <w:rPr>
          <w:szCs w:val="22"/>
          <w:lang w:val="cs-CZ"/>
        </w:rPr>
        <w:t>gonadorelinu</w:t>
      </w:r>
      <w:proofErr w:type="spellEnd"/>
      <w:r w:rsidRPr="00AA1AF1">
        <w:rPr>
          <w:szCs w:val="22"/>
          <w:lang w:val="cs-CZ"/>
        </w:rPr>
        <w:t>[6-D-Phe])</w:t>
      </w:r>
    </w:p>
    <w:p w:rsidR="00A66107" w:rsidRPr="00AA1AF1" w:rsidRDefault="00A66107" w:rsidP="00A66107">
      <w:pPr>
        <w:tabs>
          <w:tab w:val="clear" w:pos="567"/>
          <w:tab w:val="left" w:pos="6946"/>
          <w:tab w:val="right" w:pos="9072"/>
        </w:tabs>
        <w:ind w:left="142" w:hanging="142"/>
        <w:rPr>
          <w:szCs w:val="22"/>
          <w:lang w:val="cs-CZ"/>
        </w:rPr>
      </w:pPr>
      <w:r w:rsidRPr="00AA1AF1">
        <w:rPr>
          <w:szCs w:val="22"/>
          <w:lang w:val="cs-CZ"/>
        </w:rPr>
        <w:t>- Indukce ovulace v případě opožděné ovulace v důsledku nedostatku hormonu LH</w:t>
      </w:r>
      <w:r w:rsidRPr="00AA1AF1">
        <w:rPr>
          <w:szCs w:val="22"/>
          <w:lang w:val="cs-CZ"/>
        </w:rPr>
        <w:tab/>
        <w:t>2,0 ml</w:t>
      </w:r>
    </w:p>
    <w:p w:rsidR="00A66107" w:rsidRPr="00AA1AF1" w:rsidRDefault="00A66107" w:rsidP="00A66107">
      <w:pPr>
        <w:tabs>
          <w:tab w:val="right" w:pos="9071"/>
        </w:tabs>
        <w:ind w:left="142" w:hanging="142"/>
        <w:outlineLvl w:val="0"/>
        <w:rPr>
          <w:szCs w:val="22"/>
          <w:lang w:val="cs-CZ"/>
        </w:rPr>
      </w:pPr>
      <w:r w:rsidRPr="00AA1AF1">
        <w:rPr>
          <w:szCs w:val="22"/>
          <w:lang w:val="cs-CZ"/>
        </w:rPr>
        <w:t xml:space="preserve">- Indukce/synchronizace ovulace v rámci systémů pro časově plánované </w:t>
      </w:r>
      <w:r w:rsidRPr="00AA1AF1">
        <w:rPr>
          <w:szCs w:val="22"/>
          <w:lang w:val="cs-CZ"/>
        </w:rPr>
        <w:br/>
        <w:t>inseminace</w:t>
      </w:r>
      <w:r w:rsidRPr="00AA1AF1">
        <w:rPr>
          <w:szCs w:val="22"/>
          <w:lang w:val="cs-CZ"/>
        </w:rPr>
        <w:tab/>
        <w:t>1,0–2,0 ml</w:t>
      </w:r>
    </w:p>
    <w:p w:rsidR="00A66107" w:rsidRPr="00AA1AF1" w:rsidRDefault="00A66107" w:rsidP="00A66107">
      <w:pPr>
        <w:tabs>
          <w:tab w:val="clear" w:pos="567"/>
          <w:tab w:val="left" w:pos="6946"/>
          <w:tab w:val="left" w:pos="8080"/>
          <w:tab w:val="right" w:pos="9072"/>
        </w:tabs>
        <w:spacing w:before="40" w:line="240" w:lineRule="auto"/>
        <w:ind w:left="142" w:hanging="142"/>
        <w:rPr>
          <w:szCs w:val="22"/>
          <w:lang w:val="cs-CZ"/>
        </w:rPr>
      </w:pPr>
      <w:r w:rsidRPr="00AA1AF1">
        <w:rPr>
          <w:szCs w:val="22"/>
          <w:lang w:val="cs-CZ"/>
        </w:rPr>
        <w:t xml:space="preserve">- Stimulace ovarií v puerperiu od 12. dne post </w:t>
      </w:r>
      <w:proofErr w:type="spellStart"/>
      <w:r w:rsidRPr="00AA1AF1">
        <w:rPr>
          <w:szCs w:val="22"/>
          <w:lang w:val="cs-CZ"/>
        </w:rPr>
        <w:t>partum</w:t>
      </w:r>
      <w:proofErr w:type="spellEnd"/>
      <w:r w:rsidRPr="00AA1AF1">
        <w:rPr>
          <w:szCs w:val="22"/>
          <w:lang w:val="cs-CZ"/>
        </w:rPr>
        <w:tab/>
      </w:r>
      <w:r w:rsidRPr="00AA1AF1">
        <w:rPr>
          <w:szCs w:val="22"/>
          <w:lang w:val="cs-CZ"/>
        </w:rPr>
        <w:tab/>
      </w:r>
      <w:r w:rsidRPr="00AA1AF1">
        <w:rPr>
          <w:szCs w:val="22"/>
          <w:lang w:val="cs-CZ"/>
        </w:rPr>
        <w:tab/>
        <w:t>1,0 ml</w:t>
      </w:r>
    </w:p>
    <w:p w:rsidR="00A66107" w:rsidRPr="00AA1AF1" w:rsidRDefault="00A66107" w:rsidP="00A66107">
      <w:pPr>
        <w:tabs>
          <w:tab w:val="clear" w:pos="567"/>
          <w:tab w:val="left" w:pos="6946"/>
          <w:tab w:val="left" w:pos="8080"/>
          <w:tab w:val="right" w:pos="9072"/>
        </w:tabs>
        <w:spacing w:before="40" w:line="240" w:lineRule="auto"/>
        <w:ind w:left="142" w:hanging="142"/>
        <w:rPr>
          <w:szCs w:val="22"/>
          <w:lang w:val="cs-CZ"/>
        </w:rPr>
      </w:pPr>
      <w:r w:rsidRPr="00AA1AF1">
        <w:rPr>
          <w:szCs w:val="22"/>
          <w:lang w:val="cs-CZ"/>
        </w:rPr>
        <w:t xml:space="preserve">- Ovariální cysty (v důsledku nedostatku LH) </w:t>
      </w:r>
      <w:r w:rsidRPr="00AA1AF1">
        <w:rPr>
          <w:szCs w:val="22"/>
          <w:lang w:val="cs-CZ"/>
        </w:rPr>
        <w:tab/>
      </w:r>
      <w:r w:rsidRPr="00AA1AF1">
        <w:rPr>
          <w:szCs w:val="22"/>
          <w:lang w:val="cs-CZ"/>
        </w:rPr>
        <w:tab/>
      </w:r>
      <w:r w:rsidRPr="00AA1AF1">
        <w:rPr>
          <w:szCs w:val="22"/>
          <w:lang w:val="cs-CZ"/>
        </w:rPr>
        <w:tab/>
        <w:t>2,0 ml</w:t>
      </w:r>
    </w:p>
    <w:p w:rsidR="00A66107" w:rsidRPr="00AA1AF1" w:rsidRDefault="00A66107" w:rsidP="00A66107">
      <w:pPr>
        <w:tabs>
          <w:tab w:val="clear" w:pos="567"/>
          <w:tab w:val="left" w:pos="6946"/>
          <w:tab w:val="right" w:pos="9072"/>
        </w:tabs>
        <w:spacing w:before="40" w:line="240" w:lineRule="auto"/>
        <w:rPr>
          <w:szCs w:val="22"/>
          <w:lang w:val="cs-CZ"/>
        </w:rPr>
      </w:pPr>
    </w:p>
    <w:p w:rsidR="00A66107" w:rsidRPr="00AA1AF1" w:rsidRDefault="00A66107" w:rsidP="00A66107">
      <w:pPr>
        <w:tabs>
          <w:tab w:val="right" w:pos="567"/>
          <w:tab w:val="left" w:pos="7797"/>
          <w:tab w:val="right" w:pos="9072"/>
        </w:tabs>
        <w:spacing w:before="120"/>
        <w:ind w:left="26"/>
        <w:outlineLvl w:val="0"/>
        <w:rPr>
          <w:szCs w:val="22"/>
          <w:lang w:val="cs-CZ"/>
        </w:rPr>
      </w:pPr>
      <w:r w:rsidRPr="00AA1AF1">
        <w:rPr>
          <w:iCs/>
          <w:szCs w:val="22"/>
          <w:u w:val="single"/>
          <w:lang w:val="cs-CZ"/>
        </w:rPr>
        <w:t>Prasata (prasnice, prasničky)</w:t>
      </w:r>
      <w:r w:rsidRPr="00AA1AF1">
        <w:rPr>
          <w:iCs/>
          <w:szCs w:val="22"/>
          <w:lang w:val="cs-CZ"/>
        </w:rPr>
        <w:t xml:space="preserve"> intramuskulární nebo subkutánní podání</w:t>
      </w:r>
      <w:r w:rsidRPr="00AA1AF1">
        <w:rPr>
          <w:lang w:val="cs-CZ"/>
        </w:rPr>
        <w:t>:</w:t>
      </w:r>
      <w:r w:rsidRPr="00AA1AF1">
        <w:rPr>
          <w:lang w:val="cs-CZ"/>
        </w:rPr>
        <w:tab/>
      </w:r>
      <w:r w:rsidRPr="00AA1AF1">
        <w:rPr>
          <w:lang w:val="cs-CZ"/>
        </w:rPr>
        <w:tab/>
      </w:r>
      <w:r w:rsidRPr="00AA1AF1">
        <w:rPr>
          <w:szCs w:val="22"/>
          <w:lang w:val="cs-CZ"/>
        </w:rPr>
        <w:t>0,5–1,5 ml</w:t>
      </w:r>
    </w:p>
    <w:p w:rsidR="00A66107" w:rsidRPr="00AA1AF1" w:rsidRDefault="00A66107" w:rsidP="00A66107">
      <w:pPr>
        <w:tabs>
          <w:tab w:val="right" w:pos="9071"/>
        </w:tabs>
        <w:rPr>
          <w:szCs w:val="22"/>
          <w:lang w:val="cs-CZ"/>
        </w:rPr>
      </w:pPr>
      <w:r w:rsidRPr="00AA1AF1">
        <w:rPr>
          <w:szCs w:val="22"/>
          <w:lang w:val="cs-CZ"/>
        </w:rPr>
        <w:t>(</w:t>
      </w:r>
      <w:proofErr w:type="spellStart"/>
      <w:r w:rsidR="00715115">
        <w:t>odpovídá</w:t>
      </w:r>
      <w:proofErr w:type="spellEnd"/>
      <w:r w:rsidRPr="00AA1AF1">
        <w:rPr>
          <w:szCs w:val="22"/>
          <w:lang w:val="cs-CZ"/>
        </w:rPr>
        <w:t xml:space="preserve"> 25–75 µg </w:t>
      </w:r>
      <w:proofErr w:type="spellStart"/>
      <w:r w:rsidRPr="00AA1AF1">
        <w:rPr>
          <w:szCs w:val="22"/>
          <w:lang w:val="cs-CZ"/>
        </w:rPr>
        <w:t>gonadorelinu</w:t>
      </w:r>
      <w:proofErr w:type="spellEnd"/>
      <w:r w:rsidRPr="00AA1AF1">
        <w:rPr>
          <w:szCs w:val="22"/>
          <w:lang w:val="cs-CZ"/>
        </w:rPr>
        <w:t>[6-D-Phe])</w:t>
      </w:r>
    </w:p>
    <w:p w:rsidR="00A66107" w:rsidRPr="00AA1AF1" w:rsidRDefault="00A66107" w:rsidP="00A66107">
      <w:pPr>
        <w:pStyle w:val="Odstavecseseznamem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Cs w:val="22"/>
          <w:lang w:val="cs-CZ" w:eastAsia="en-US"/>
        </w:rPr>
      </w:pPr>
      <w:r w:rsidRPr="00AA1AF1">
        <w:rPr>
          <w:rFonts w:ascii="Times New Roman" w:hAnsi="Times New Roman" w:cs="Times New Roman"/>
          <w:szCs w:val="22"/>
          <w:lang w:val="cs-CZ" w:eastAsia="en-US"/>
        </w:rPr>
        <w:t>Indukce/synchronizace ovulace v rámci systémů pro časově plánované inseminace a synchronizace porodů</w:t>
      </w:r>
    </w:p>
    <w:p w:rsidR="00A66107" w:rsidRPr="00AA1AF1" w:rsidRDefault="00A66107" w:rsidP="00A66107">
      <w:pPr>
        <w:tabs>
          <w:tab w:val="left" w:pos="4820"/>
          <w:tab w:val="right" w:pos="9071"/>
        </w:tabs>
        <w:spacing w:before="120"/>
        <w:ind w:left="26"/>
        <w:rPr>
          <w:iCs/>
          <w:szCs w:val="22"/>
          <w:lang w:val="cs-CZ"/>
        </w:rPr>
      </w:pPr>
      <w:r w:rsidRPr="00AA1AF1">
        <w:rPr>
          <w:iCs/>
          <w:szCs w:val="22"/>
          <w:lang w:val="cs-CZ"/>
        </w:rPr>
        <w:t>Prasnice:</w:t>
      </w:r>
      <w:r w:rsidRPr="00AA1AF1">
        <w:rPr>
          <w:iCs/>
          <w:szCs w:val="22"/>
          <w:lang w:val="cs-CZ"/>
        </w:rPr>
        <w:tab/>
      </w:r>
      <w:r w:rsidRPr="00AA1AF1">
        <w:rPr>
          <w:iCs/>
          <w:szCs w:val="22"/>
          <w:lang w:val="cs-CZ"/>
        </w:rPr>
        <w:tab/>
        <w:t>0,5–1,0 ml</w:t>
      </w:r>
    </w:p>
    <w:p w:rsidR="00A66107" w:rsidRPr="00AA1AF1" w:rsidRDefault="00A66107" w:rsidP="00A66107">
      <w:pPr>
        <w:tabs>
          <w:tab w:val="left" w:pos="4820"/>
          <w:tab w:val="right" w:pos="9071"/>
        </w:tabs>
        <w:spacing w:before="120"/>
        <w:ind w:left="26"/>
        <w:rPr>
          <w:iCs/>
          <w:szCs w:val="22"/>
          <w:lang w:val="cs-CZ"/>
        </w:rPr>
      </w:pPr>
      <w:r w:rsidRPr="00AA1AF1">
        <w:rPr>
          <w:iCs/>
          <w:szCs w:val="22"/>
          <w:lang w:val="cs-CZ"/>
        </w:rPr>
        <w:t>Prasničky:</w:t>
      </w:r>
      <w:r w:rsidRPr="00AA1AF1">
        <w:rPr>
          <w:iCs/>
          <w:szCs w:val="22"/>
          <w:lang w:val="cs-CZ"/>
        </w:rPr>
        <w:tab/>
      </w:r>
      <w:r w:rsidRPr="00AA1AF1">
        <w:rPr>
          <w:iCs/>
          <w:szCs w:val="22"/>
          <w:lang w:val="cs-CZ"/>
        </w:rPr>
        <w:tab/>
        <w:t>1,0–1,5 ml</w:t>
      </w:r>
    </w:p>
    <w:p w:rsidR="00A66107" w:rsidRPr="00AA1AF1" w:rsidRDefault="00A66107" w:rsidP="00A66107">
      <w:pPr>
        <w:tabs>
          <w:tab w:val="right" w:pos="9072"/>
        </w:tabs>
        <w:spacing w:before="120"/>
        <w:ind w:left="26"/>
        <w:outlineLvl w:val="0"/>
        <w:rPr>
          <w:iCs/>
          <w:szCs w:val="22"/>
          <w:lang w:val="cs-CZ"/>
        </w:rPr>
      </w:pPr>
      <w:r w:rsidRPr="00AA1AF1">
        <w:rPr>
          <w:iCs/>
          <w:szCs w:val="22"/>
          <w:u w:val="single"/>
          <w:lang w:val="cs-CZ"/>
        </w:rPr>
        <w:t>Koně (klisny)</w:t>
      </w:r>
      <w:r w:rsidRPr="00AA1AF1">
        <w:rPr>
          <w:iCs/>
          <w:szCs w:val="22"/>
          <w:lang w:val="cs-CZ"/>
        </w:rPr>
        <w:t xml:space="preserve"> intramuskulární podání:</w:t>
      </w:r>
      <w:r w:rsidRPr="00AA1AF1">
        <w:rPr>
          <w:iCs/>
          <w:szCs w:val="22"/>
          <w:lang w:val="cs-CZ"/>
        </w:rPr>
        <w:tab/>
        <w:t>2,0 ml</w:t>
      </w:r>
    </w:p>
    <w:p w:rsidR="00A66107" w:rsidRPr="00AA1AF1" w:rsidRDefault="00A66107" w:rsidP="00A66107">
      <w:pPr>
        <w:tabs>
          <w:tab w:val="right" w:pos="9071"/>
        </w:tabs>
        <w:rPr>
          <w:szCs w:val="22"/>
          <w:lang w:val="cs-CZ"/>
        </w:rPr>
      </w:pPr>
      <w:r w:rsidRPr="00AA1AF1">
        <w:rPr>
          <w:szCs w:val="22"/>
          <w:lang w:val="cs-CZ"/>
        </w:rPr>
        <w:t>(</w:t>
      </w:r>
      <w:r w:rsidR="00715115" w:rsidRPr="0000222B">
        <w:rPr>
          <w:lang w:val="cs-CZ"/>
        </w:rPr>
        <w:t xml:space="preserve">odpovídá </w:t>
      </w:r>
      <w:r w:rsidRPr="00AA1AF1">
        <w:rPr>
          <w:szCs w:val="22"/>
          <w:lang w:val="cs-CZ"/>
        </w:rPr>
        <w:t xml:space="preserve">100 µg </w:t>
      </w:r>
      <w:proofErr w:type="spellStart"/>
      <w:r w:rsidRPr="00AA1AF1">
        <w:rPr>
          <w:szCs w:val="22"/>
          <w:lang w:val="cs-CZ"/>
        </w:rPr>
        <w:t>gonadorelinu</w:t>
      </w:r>
      <w:proofErr w:type="spellEnd"/>
      <w:r w:rsidRPr="00AA1AF1">
        <w:rPr>
          <w:szCs w:val="22"/>
          <w:lang w:val="cs-CZ"/>
        </w:rPr>
        <w:t>[6-D-Phe])</w:t>
      </w:r>
    </w:p>
    <w:p w:rsidR="00A66107" w:rsidRPr="00AA1AF1" w:rsidRDefault="00A66107" w:rsidP="00A66107">
      <w:pPr>
        <w:pStyle w:val="Odstavecseseznamem"/>
        <w:ind w:left="0"/>
        <w:rPr>
          <w:rFonts w:ascii="Times New Roman" w:hAnsi="Times New Roman" w:cs="Times New Roman"/>
          <w:szCs w:val="22"/>
          <w:lang w:val="cs-CZ" w:eastAsia="en-US"/>
        </w:rPr>
      </w:pPr>
    </w:p>
    <w:p w:rsidR="00A66107" w:rsidRPr="00AA1AF1" w:rsidRDefault="00A66107" w:rsidP="00A66107">
      <w:pPr>
        <w:jc w:val="both"/>
        <w:rPr>
          <w:lang w:val="cs-CZ"/>
        </w:rPr>
      </w:pPr>
      <w:r w:rsidRPr="00AA1AF1">
        <w:rPr>
          <w:lang w:val="cs-CZ"/>
        </w:rPr>
        <w:t>Pryžovou zátku  injekční lahvičky je možné bezpečně propíchnout až 25krát. Pro 20ml a 50ml injekční lahvičky je potřeba jinak použít automatické injekční zařízení nebo vhodnou odběrovou jehlu, aby se zabránilo nadměrnému propichování uzávěru.</w:t>
      </w:r>
    </w:p>
    <w:p w:rsidR="00A66107" w:rsidRPr="00AA1AF1" w:rsidRDefault="00A66107" w:rsidP="00A66107">
      <w:pPr>
        <w:rPr>
          <w:lang w:val="cs-CZ"/>
        </w:rPr>
      </w:pP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b/>
          <w:i/>
          <w:szCs w:val="22"/>
          <w:lang w:val="cs-CZ"/>
        </w:rPr>
      </w:pPr>
      <w:r w:rsidRPr="00AA1AF1">
        <w:rPr>
          <w:b/>
          <w:i/>
          <w:szCs w:val="22"/>
          <w:u w:val="single"/>
          <w:lang w:val="cs-CZ"/>
        </w:rPr>
        <w:t>Zvláštní informace</w:t>
      </w:r>
    </w:p>
    <w:p w:rsidR="00A66107" w:rsidRPr="00AA1AF1" w:rsidRDefault="00A66107" w:rsidP="00A66107">
      <w:pPr>
        <w:rPr>
          <w:szCs w:val="22"/>
          <w:lang w:val="cs-CZ"/>
        </w:rPr>
      </w:pPr>
    </w:p>
    <w:p w:rsidR="00A66107" w:rsidRPr="00AA1AF1" w:rsidRDefault="00A66107" w:rsidP="00A66107">
      <w:pPr>
        <w:rPr>
          <w:szCs w:val="22"/>
          <w:lang w:val="cs-CZ"/>
        </w:rPr>
      </w:pPr>
      <w:r w:rsidRPr="00AA1AF1">
        <w:rPr>
          <w:szCs w:val="22"/>
          <w:lang w:val="cs-CZ"/>
        </w:rPr>
        <w:t>Skot:</w:t>
      </w:r>
    </w:p>
    <w:p w:rsidR="00A66107" w:rsidRPr="00AA1AF1" w:rsidRDefault="00A66107" w:rsidP="00A66107">
      <w:pPr>
        <w:rPr>
          <w:szCs w:val="22"/>
          <w:lang w:val="cs-CZ"/>
        </w:rPr>
      </w:pPr>
      <w:r w:rsidRPr="00AA1AF1">
        <w:rPr>
          <w:szCs w:val="22"/>
          <w:lang w:val="cs-CZ"/>
        </w:rPr>
        <w:t>Pro synchronizaci říje a ovulace a umělou časově plánovanou inseminaci (AI) u skotu byl vyvinut tzv. „</w:t>
      </w:r>
      <w:proofErr w:type="spellStart"/>
      <w:r w:rsidRPr="00AA1AF1">
        <w:rPr>
          <w:szCs w:val="22"/>
          <w:lang w:val="cs-CZ"/>
        </w:rPr>
        <w:t>Ovsynch</w:t>
      </w:r>
      <w:proofErr w:type="spellEnd"/>
      <w:r w:rsidRPr="00AA1AF1">
        <w:rPr>
          <w:szCs w:val="22"/>
          <w:lang w:val="cs-CZ"/>
        </w:rPr>
        <w:t xml:space="preserve"> postup“, který se skládá z kombinovaného použití </w:t>
      </w:r>
      <w:proofErr w:type="spellStart"/>
      <w:r w:rsidRPr="00AA1AF1">
        <w:rPr>
          <w:szCs w:val="22"/>
          <w:lang w:val="cs-CZ"/>
        </w:rPr>
        <w:t>GnRH</w:t>
      </w:r>
      <w:proofErr w:type="spellEnd"/>
      <w:r w:rsidRPr="00AA1AF1">
        <w:rPr>
          <w:szCs w:val="22"/>
          <w:lang w:val="cs-CZ"/>
        </w:rPr>
        <w:t xml:space="preserve"> a PGF</w:t>
      </w:r>
      <w:r w:rsidRPr="00AA1AF1">
        <w:rPr>
          <w:szCs w:val="22"/>
          <w:vertAlign w:val="subscript"/>
          <w:lang w:val="cs-CZ"/>
        </w:rPr>
        <w:t>2</w:t>
      </w:r>
      <w:r w:rsidRPr="00AA1AF1">
        <w:rPr>
          <w:rFonts w:cs="Arial"/>
          <w:szCs w:val="22"/>
          <w:vertAlign w:val="subscript"/>
          <w:lang w:val="cs-CZ"/>
        </w:rPr>
        <w:t>α</w:t>
      </w:r>
      <w:r w:rsidRPr="00AA1AF1">
        <w:rPr>
          <w:rFonts w:cs="Arial"/>
          <w:szCs w:val="22"/>
          <w:lang w:val="cs-CZ"/>
        </w:rPr>
        <w:t>. V literatuře se obvykle uvádí následující protokol AI:</w:t>
      </w:r>
    </w:p>
    <w:p w:rsidR="00A66107" w:rsidRPr="00AA1AF1" w:rsidRDefault="00A66107" w:rsidP="00A66107">
      <w:pPr>
        <w:rPr>
          <w:szCs w:val="22"/>
          <w:lang w:val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A66107" w:rsidRPr="008B14E1" w:rsidTr="00560F07">
        <w:tc>
          <w:tcPr>
            <w:tcW w:w="3227" w:type="dxa"/>
          </w:tcPr>
          <w:p w:rsidR="00A66107" w:rsidRPr="00AA1AF1" w:rsidRDefault="00A66107" w:rsidP="00560F07">
            <w:pPr>
              <w:rPr>
                <w:lang w:val="cs-CZ"/>
              </w:rPr>
            </w:pPr>
            <w:r w:rsidRPr="00AA1AF1">
              <w:rPr>
                <w:lang w:val="cs-CZ"/>
              </w:rPr>
              <w:t>Den 0:</w:t>
            </w:r>
          </w:p>
        </w:tc>
        <w:tc>
          <w:tcPr>
            <w:tcW w:w="5985" w:type="dxa"/>
          </w:tcPr>
          <w:p w:rsidR="00A66107" w:rsidRPr="00AA1AF1" w:rsidRDefault="00A66107" w:rsidP="00560F07">
            <w:pPr>
              <w:rPr>
                <w:lang w:val="cs-CZ"/>
              </w:rPr>
            </w:pPr>
            <w:r w:rsidRPr="00AA1AF1">
              <w:rPr>
                <w:lang w:val="cs-CZ"/>
              </w:rPr>
              <w:t xml:space="preserve">Aplikujte 100 µg </w:t>
            </w:r>
            <w:proofErr w:type="spellStart"/>
            <w:r w:rsidRPr="00AA1AF1">
              <w:rPr>
                <w:lang w:val="cs-CZ"/>
              </w:rPr>
              <w:t>gonadorelinu</w:t>
            </w:r>
            <w:proofErr w:type="spellEnd"/>
            <w:r w:rsidRPr="00AA1AF1">
              <w:rPr>
                <w:szCs w:val="22"/>
                <w:lang w:val="cs-CZ"/>
              </w:rPr>
              <w:sym w:font="Symbol" w:char="F05B"/>
            </w:r>
            <w:r w:rsidRPr="00AA1AF1">
              <w:rPr>
                <w:lang w:val="cs-CZ"/>
              </w:rPr>
              <w:t>6-D-Phe</w:t>
            </w:r>
            <w:r w:rsidRPr="00AA1AF1">
              <w:rPr>
                <w:szCs w:val="22"/>
                <w:lang w:val="cs-CZ"/>
              </w:rPr>
              <w:sym w:font="Symbol" w:char="F05D"/>
            </w:r>
            <w:r w:rsidRPr="00AA1AF1">
              <w:rPr>
                <w:lang w:val="cs-CZ"/>
              </w:rPr>
              <w:t xml:space="preserve"> na zvíře</w:t>
            </w:r>
            <w:r w:rsidRPr="00AA1AF1">
              <w:rPr>
                <w:lang w:val="cs-CZ"/>
              </w:rPr>
              <w:br/>
              <w:t>(2 ml přípravku)</w:t>
            </w:r>
          </w:p>
        </w:tc>
      </w:tr>
      <w:tr w:rsidR="00A66107" w:rsidRPr="008B14E1" w:rsidTr="00560F07">
        <w:tc>
          <w:tcPr>
            <w:tcW w:w="3227" w:type="dxa"/>
          </w:tcPr>
          <w:p w:rsidR="00A66107" w:rsidRPr="00AA1AF1" w:rsidRDefault="00A66107" w:rsidP="00560F07">
            <w:pPr>
              <w:rPr>
                <w:lang w:val="cs-CZ"/>
              </w:rPr>
            </w:pPr>
            <w:r w:rsidRPr="00AA1AF1">
              <w:rPr>
                <w:lang w:val="cs-CZ"/>
              </w:rPr>
              <w:t>Den 7:</w:t>
            </w:r>
          </w:p>
        </w:tc>
        <w:tc>
          <w:tcPr>
            <w:tcW w:w="5985" w:type="dxa"/>
          </w:tcPr>
          <w:p w:rsidR="00A66107" w:rsidRPr="00AA1AF1" w:rsidRDefault="00A66107" w:rsidP="00560F07">
            <w:pPr>
              <w:rPr>
                <w:lang w:val="cs-CZ"/>
              </w:rPr>
            </w:pPr>
            <w:r w:rsidRPr="00AA1AF1">
              <w:rPr>
                <w:lang w:val="cs-CZ"/>
              </w:rPr>
              <w:t>Aplikujte PGF</w:t>
            </w:r>
            <w:r w:rsidRPr="00AA1AF1">
              <w:rPr>
                <w:vertAlign w:val="subscript"/>
                <w:lang w:val="cs-CZ"/>
              </w:rPr>
              <w:t>2</w:t>
            </w:r>
            <w:r w:rsidRPr="00AA1AF1">
              <w:rPr>
                <w:szCs w:val="22"/>
                <w:vertAlign w:val="subscript"/>
                <w:lang w:val="cs-CZ"/>
              </w:rPr>
              <w:sym w:font="Symbol" w:char="F061"/>
            </w:r>
            <w:r w:rsidRPr="00AA1AF1">
              <w:rPr>
                <w:lang w:val="cs-CZ"/>
              </w:rPr>
              <w:t xml:space="preserve"> nebo analog (</w:t>
            </w:r>
            <w:proofErr w:type="spellStart"/>
            <w:r w:rsidRPr="00AA1AF1">
              <w:rPr>
                <w:lang w:val="cs-CZ"/>
              </w:rPr>
              <w:t>luteolytická</w:t>
            </w:r>
            <w:proofErr w:type="spellEnd"/>
            <w:r w:rsidRPr="00AA1AF1">
              <w:rPr>
                <w:lang w:val="cs-CZ"/>
              </w:rPr>
              <w:t xml:space="preserve"> dávka)</w:t>
            </w:r>
          </w:p>
        </w:tc>
      </w:tr>
      <w:tr w:rsidR="00A66107" w:rsidRPr="008B14E1" w:rsidTr="00560F07">
        <w:tc>
          <w:tcPr>
            <w:tcW w:w="3227" w:type="dxa"/>
          </w:tcPr>
          <w:p w:rsidR="00A66107" w:rsidRPr="00AA1AF1" w:rsidRDefault="00A66107" w:rsidP="00560F07">
            <w:pPr>
              <w:rPr>
                <w:lang w:val="cs-CZ"/>
              </w:rPr>
            </w:pPr>
            <w:r w:rsidRPr="00AA1AF1">
              <w:rPr>
                <w:lang w:val="cs-CZ"/>
              </w:rPr>
              <w:t>Den 9:</w:t>
            </w:r>
          </w:p>
        </w:tc>
        <w:tc>
          <w:tcPr>
            <w:tcW w:w="5985" w:type="dxa"/>
          </w:tcPr>
          <w:p w:rsidR="00A66107" w:rsidRPr="00AA1AF1" w:rsidRDefault="00A66107" w:rsidP="00560F07">
            <w:pPr>
              <w:rPr>
                <w:lang w:val="cs-CZ"/>
              </w:rPr>
            </w:pPr>
            <w:r w:rsidRPr="00AA1AF1">
              <w:rPr>
                <w:lang w:val="cs-CZ"/>
              </w:rPr>
              <w:t xml:space="preserve">Aplikujte 100 µg </w:t>
            </w:r>
            <w:proofErr w:type="spellStart"/>
            <w:r w:rsidRPr="00AA1AF1">
              <w:rPr>
                <w:lang w:val="cs-CZ"/>
              </w:rPr>
              <w:t>gonadorelinu</w:t>
            </w:r>
            <w:proofErr w:type="spellEnd"/>
            <w:r w:rsidRPr="00AA1AF1">
              <w:rPr>
                <w:szCs w:val="22"/>
                <w:lang w:val="cs-CZ"/>
              </w:rPr>
              <w:sym w:font="Symbol" w:char="F05B"/>
            </w:r>
            <w:r w:rsidRPr="00AA1AF1">
              <w:rPr>
                <w:lang w:val="cs-CZ"/>
              </w:rPr>
              <w:t>6-D-Phe</w:t>
            </w:r>
            <w:r w:rsidRPr="00AA1AF1">
              <w:rPr>
                <w:szCs w:val="22"/>
                <w:lang w:val="cs-CZ"/>
              </w:rPr>
              <w:sym w:font="Symbol" w:char="F05D"/>
            </w:r>
            <w:r w:rsidRPr="00AA1AF1">
              <w:rPr>
                <w:lang w:val="cs-CZ"/>
              </w:rPr>
              <w:t xml:space="preserve"> na zvíře</w:t>
            </w:r>
            <w:r w:rsidRPr="00AA1AF1">
              <w:rPr>
                <w:lang w:val="cs-CZ"/>
              </w:rPr>
              <w:br/>
              <w:t>(2 ml přípravku)</w:t>
            </w:r>
          </w:p>
        </w:tc>
      </w:tr>
      <w:tr w:rsidR="00A66107" w:rsidRPr="008B14E1" w:rsidTr="00560F07">
        <w:tc>
          <w:tcPr>
            <w:tcW w:w="3227" w:type="dxa"/>
          </w:tcPr>
          <w:p w:rsidR="00A66107" w:rsidRPr="00AA1AF1" w:rsidRDefault="00A66107" w:rsidP="00560F07">
            <w:pPr>
              <w:rPr>
                <w:lang w:val="cs-CZ"/>
              </w:rPr>
            </w:pPr>
            <w:r w:rsidRPr="00AA1AF1">
              <w:rPr>
                <w:lang w:val="cs-CZ"/>
              </w:rPr>
              <w:t>AI:</w:t>
            </w:r>
          </w:p>
        </w:tc>
        <w:tc>
          <w:tcPr>
            <w:tcW w:w="5985" w:type="dxa"/>
          </w:tcPr>
          <w:p w:rsidR="00A66107" w:rsidRPr="00AA1AF1" w:rsidRDefault="00A66107" w:rsidP="00560F07">
            <w:pPr>
              <w:rPr>
                <w:lang w:val="cs-CZ"/>
              </w:rPr>
            </w:pPr>
            <w:r>
              <w:rPr>
                <w:lang w:val="cs-CZ"/>
              </w:rPr>
              <w:t xml:space="preserve">O </w:t>
            </w:r>
            <w:r w:rsidRPr="00AA1AF1">
              <w:rPr>
                <w:lang w:val="cs-CZ"/>
              </w:rPr>
              <w:t>16–20 hodin později, nebo v případě říje, nastane-li dříve</w:t>
            </w:r>
          </w:p>
        </w:tc>
      </w:tr>
    </w:tbl>
    <w:p w:rsidR="00A66107" w:rsidRPr="00AA1AF1" w:rsidRDefault="00A66107" w:rsidP="00A66107">
      <w:pPr>
        <w:rPr>
          <w:szCs w:val="22"/>
          <w:lang w:val="cs-CZ"/>
        </w:rPr>
      </w:pPr>
    </w:p>
    <w:p w:rsidR="00A66107" w:rsidRPr="00AA1AF1" w:rsidRDefault="00A66107" w:rsidP="00A66107">
      <w:pPr>
        <w:rPr>
          <w:szCs w:val="22"/>
          <w:lang w:val="cs-CZ"/>
        </w:rPr>
      </w:pPr>
      <w:r w:rsidRPr="00AA1AF1">
        <w:rPr>
          <w:szCs w:val="22"/>
          <w:lang w:val="cs-CZ"/>
        </w:rPr>
        <w:t xml:space="preserve">Postup </w:t>
      </w:r>
      <w:proofErr w:type="spellStart"/>
      <w:r w:rsidRPr="00AA1AF1">
        <w:rPr>
          <w:szCs w:val="22"/>
          <w:lang w:val="cs-CZ"/>
        </w:rPr>
        <w:t>Ovsynch</w:t>
      </w:r>
      <w:proofErr w:type="spellEnd"/>
      <w:r w:rsidRPr="00AA1AF1">
        <w:rPr>
          <w:szCs w:val="22"/>
          <w:lang w:val="cs-CZ"/>
        </w:rPr>
        <w:t xml:space="preserve"> nemusí být stejně účinný u jalovic jako u krav. </w:t>
      </w:r>
    </w:p>
    <w:p w:rsidR="00A66107" w:rsidRPr="00AA1AF1" w:rsidRDefault="00A66107" w:rsidP="00A66107">
      <w:pPr>
        <w:rPr>
          <w:szCs w:val="22"/>
          <w:lang w:val="cs-CZ"/>
        </w:rPr>
      </w:pPr>
    </w:p>
    <w:p w:rsidR="00A66107" w:rsidRPr="00AA1AF1" w:rsidRDefault="00A66107" w:rsidP="00A66107">
      <w:pPr>
        <w:rPr>
          <w:szCs w:val="22"/>
          <w:lang w:val="cs-CZ"/>
        </w:rPr>
      </w:pPr>
      <w:r w:rsidRPr="00AA1AF1">
        <w:rPr>
          <w:szCs w:val="22"/>
          <w:lang w:val="cs-CZ"/>
        </w:rPr>
        <w:t>Prasata:</w:t>
      </w:r>
    </w:p>
    <w:p w:rsidR="00A66107" w:rsidRPr="00AA1AF1" w:rsidRDefault="00A66107" w:rsidP="00A66107">
      <w:pPr>
        <w:jc w:val="both"/>
        <w:rPr>
          <w:szCs w:val="22"/>
          <w:lang w:val="cs-CZ"/>
        </w:rPr>
      </w:pPr>
      <w:r w:rsidRPr="00AA1AF1">
        <w:rPr>
          <w:szCs w:val="22"/>
          <w:lang w:val="cs-CZ"/>
        </w:rPr>
        <w:t xml:space="preserve">Systém synchronizace ovulace zahrnuje podávání </w:t>
      </w:r>
      <w:proofErr w:type="spellStart"/>
      <w:r w:rsidRPr="00AA1AF1">
        <w:rPr>
          <w:szCs w:val="22"/>
          <w:lang w:val="cs-CZ"/>
        </w:rPr>
        <w:t>peforelinu</w:t>
      </w:r>
      <w:proofErr w:type="spellEnd"/>
      <w:r w:rsidRPr="00AA1AF1">
        <w:rPr>
          <w:szCs w:val="22"/>
          <w:lang w:val="cs-CZ"/>
        </w:rPr>
        <w:t xml:space="preserve"> nebo PMSG po skončení synchronizace říje </w:t>
      </w:r>
      <w:proofErr w:type="spellStart"/>
      <w:r w:rsidRPr="00AA1AF1">
        <w:rPr>
          <w:szCs w:val="22"/>
          <w:lang w:val="cs-CZ"/>
        </w:rPr>
        <w:t>altrenogestem</w:t>
      </w:r>
      <w:proofErr w:type="spellEnd"/>
      <w:r w:rsidRPr="00AA1AF1">
        <w:rPr>
          <w:szCs w:val="22"/>
          <w:lang w:val="cs-CZ"/>
        </w:rPr>
        <w:t xml:space="preserve"> u prasniček nebo po odstavu dospělých prasnic a dvou časově plánovaných umělých inseminací. U dospělých prasnic časový rozvrh závisí na délce období sání. Doporučují se následující postupy: </w:t>
      </w:r>
    </w:p>
    <w:p w:rsidR="00A66107" w:rsidRPr="00AA1AF1" w:rsidRDefault="00A66107" w:rsidP="00A66107">
      <w:pPr>
        <w:rPr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544"/>
        <w:gridCol w:w="3575"/>
      </w:tblGrid>
      <w:tr w:rsidR="00A66107" w:rsidRPr="00AA1AF1" w:rsidTr="00560F07">
        <w:tc>
          <w:tcPr>
            <w:tcW w:w="2093" w:type="dxa"/>
          </w:tcPr>
          <w:p w:rsidR="00A66107" w:rsidRPr="00AA1AF1" w:rsidRDefault="00A66107" w:rsidP="00560F07">
            <w:pPr>
              <w:rPr>
                <w:lang w:val="cs-CZ"/>
              </w:rPr>
            </w:pPr>
          </w:p>
        </w:tc>
        <w:tc>
          <w:tcPr>
            <w:tcW w:w="3544" w:type="dxa"/>
          </w:tcPr>
          <w:p w:rsidR="00A66107" w:rsidRPr="00AA1AF1" w:rsidRDefault="00A66107" w:rsidP="00560F07">
            <w:pPr>
              <w:rPr>
                <w:lang w:val="cs-CZ"/>
              </w:rPr>
            </w:pPr>
            <w:r w:rsidRPr="00AA1AF1">
              <w:rPr>
                <w:szCs w:val="22"/>
                <w:lang w:val="cs-CZ"/>
              </w:rPr>
              <w:t>Prasničky*</w:t>
            </w:r>
          </w:p>
        </w:tc>
        <w:tc>
          <w:tcPr>
            <w:tcW w:w="3575" w:type="dxa"/>
          </w:tcPr>
          <w:p w:rsidR="00A66107" w:rsidRPr="00AA1AF1" w:rsidRDefault="00A66107" w:rsidP="00560F07">
            <w:pPr>
              <w:rPr>
                <w:lang w:val="cs-CZ"/>
              </w:rPr>
            </w:pPr>
            <w:r w:rsidRPr="00AA1AF1">
              <w:rPr>
                <w:szCs w:val="22"/>
                <w:lang w:val="cs-CZ"/>
              </w:rPr>
              <w:t>Dospělé prasnice**</w:t>
            </w:r>
          </w:p>
          <w:p w:rsidR="00A66107" w:rsidRPr="00AA1AF1" w:rsidRDefault="00A66107" w:rsidP="00560F07">
            <w:pPr>
              <w:rPr>
                <w:lang w:val="cs-CZ"/>
              </w:rPr>
            </w:pPr>
          </w:p>
        </w:tc>
      </w:tr>
      <w:tr w:rsidR="00A66107" w:rsidRPr="00AA1AF1" w:rsidTr="00560F07">
        <w:tc>
          <w:tcPr>
            <w:tcW w:w="2093" w:type="dxa"/>
          </w:tcPr>
          <w:p w:rsidR="00A66107" w:rsidRPr="00AA1AF1" w:rsidRDefault="00A66107" w:rsidP="00560F07">
            <w:pPr>
              <w:rPr>
                <w:lang w:val="cs-CZ"/>
              </w:rPr>
            </w:pPr>
            <w:r w:rsidRPr="00AA1AF1">
              <w:rPr>
                <w:szCs w:val="22"/>
                <w:lang w:val="cs-CZ"/>
              </w:rPr>
              <w:t>Indukce říje</w:t>
            </w:r>
          </w:p>
        </w:tc>
        <w:tc>
          <w:tcPr>
            <w:tcW w:w="3544" w:type="dxa"/>
          </w:tcPr>
          <w:p w:rsidR="00A66107" w:rsidRPr="00AA1AF1" w:rsidRDefault="00A66107" w:rsidP="00560F07">
            <w:pPr>
              <w:rPr>
                <w:lang w:val="cs-CZ"/>
              </w:rPr>
            </w:pPr>
            <w:proofErr w:type="spellStart"/>
            <w:r w:rsidRPr="00AA1AF1">
              <w:rPr>
                <w:b/>
                <w:szCs w:val="22"/>
                <w:lang w:val="cs-CZ"/>
              </w:rPr>
              <w:t>Peforelin</w:t>
            </w:r>
            <w:proofErr w:type="spellEnd"/>
            <w:r w:rsidRPr="00AA1AF1">
              <w:rPr>
                <w:b/>
                <w:szCs w:val="22"/>
                <w:lang w:val="cs-CZ"/>
              </w:rPr>
              <w:t xml:space="preserve"> </w:t>
            </w:r>
            <w:r w:rsidRPr="00AA1AF1">
              <w:rPr>
                <w:szCs w:val="22"/>
                <w:lang w:val="cs-CZ"/>
              </w:rPr>
              <w:t xml:space="preserve">48 hod nebo </w:t>
            </w:r>
            <w:r w:rsidRPr="00AA1AF1">
              <w:rPr>
                <w:b/>
                <w:szCs w:val="22"/>
                <w:lang w:val="cs-CZ"/>
              </w:rPr>
              <w:t>PMSG (</w:t>
            </w:r>
            <w:proofErr w:type="spellStart"/>
            <w:r w:rsidRPr="00AA1AF1">
              <w:rPr>
                <w:b/>
                <w:szCs w:val="22"/>
                <w:lang w:val="cs-CZ"/>
              </w:rPr>
              <w:t>eCG</w:t>
            </w:r>
            <w:proofErr w:type="spellEnd"/>
            <w:r w:rsidRPr="00AA1AF1">
              <w:rPr>
                <w:b/>
                <w:szCs w:val="22"/>
                <w:lang w:val="cs-CZ"/>
              </w:rPr>
              <w:t>)</w:t>
            </w:r>
            <w:r w:rsidRPr="00AA1AF1">
              <w:rPr>
                <w:szCs w:val="22"/>
                <w:lang w:val="cs-CZ"/>
              </w:rPr>
              <w:t xml:space="preserve"> 24–48 hod po poslední aplikací </w:t>
            </w:r>
            <w:proofErr w:type="spellStart"/>
            <w:r w:rsidRPr="00AA1AF1">
              <w:rPr>
                <w:szCs w:val="22"/>
                <w:lang w:val="cs-CZ"/>
              </w:rPr>
              <w:t>altrenogestu</w:t>
            </w:r>
            <w:proofErr w:type="spellEnd"/>
          </w:p>
        </w:tc>
        <w:tc>
          <w:tcPr>
            <w:tcW w:w="3575" w:type="dxa"/>
          </w:tcPr>
          <w:p w:rsidR="00A66107" w:rsidRPr="00AA1AF1" w:rsidRDefault="00A66107" w:rsidP="00560F07">
            <w:pPr>
              <w:rPr>
                <w:lang w:val="cs-CZ"/>
              </w:rPr>
            </w:pPr>
            <w:proofErr w:type="spellStart"/>
            <w:r w:rsidRPr="00AA1AF1">
              <w:rPr>
                <w:b/>
                <w:szCs w:val="22"/>
                <w:lang w:val="cs-CZ"/>
              </w:rPr>
              <w:t>Peforelin</w:t>
            </w:r>
            <w:proofErr w:type="spellEnd"/>
            <w:r w:rsidRPr="00AA1AF1">
              <w:rPr>
                <w:szCs w:val="22"/>
                <w:lang w:val="cs-CZ"/>
              </w:rPr>
              <w:t xml:space="preserve"> nebo </w:t>
            </w:r>
            <w:r w:rsidRPr="00AA1AF1">
              <w:rPr>
                <w:b/>
                <w:szCs w:val="22"/>
                <w:lang w:val="cs-CZ"/>
              </w:rPr>
              <w:t>PMSG</w:t>
            </w:r>
            <w:r w:rsidRPr="00AA1AF1">
              <w:rPr>
                <w:szCs w:val="22"/>
                <w:lang w:val="cs-CZ"/>
              </w:rPr>
              <w:t xml:space="preserve"> 24 hod po odstavu </w:t>
            </w:r>
          </w:p>
          <w:p w:rsidR="00A66107" w:rsidRPr="00AA1AF1" w:rsidRDefault="00A66107" w:rsidP="00560F07">
            <w:pPr>
              <w:rPr>
                <w:lang w:val="cs-CZ"/>
              </w:rPr>
            </w:pPr>
          </w:p>
        </w:tc>
      </w:tr>
      <w:tr w:rsidR="00A66107" w:rsidRPr="008B14E1" w:rsidTr="00560F07">
        <w:tc>
          <w:tcPr>
            <w:tcW w:w="2093" w:type="dxa"/>
          </w:tcPr>
          <w:p w:rsidR="00A66107" w:rsidRPr="00AA1AF1" w:rsidRDefault="00A66107" w:rsidP="00560F07">
            <w:pPr>
              <w:rPr>
                <w:lang w:val="cs-CZ"/>
              </w:rPr>
            </w:pPr>
            <w:r w:rsidRPr="00AA1AF1">
              <w:rPr>
                <w:szCs w:val="22"/>
                <w:lang w:val="cs-CZ"/>
              </w:rPr>
              <w:t>Synchronizace ovulace</w:t>
            </w:r>
          </w:p>
        </w:tc>
        <w:tc>
          <w:tcPr>
            <w:tcW w:w="3544" w:type="dxa"/>
          </w:tcPr>
          <w:p w:rsidR="00A66107" w:rsidRPr="00AA1AF1" w:rsidRDefault="00A66107" w:rsidP="00560F07">
            <w:pPr>
              <w:rPr>
                <w:lang w:val="cs-CZ"/>
              </w:rPr>
            </w:pPr>
            <w:proofErr w:type="spellStart"/>
            <w:r w:rsidRPr="00AA1AF1">
              <w:rPr>
                <w:b/>
                <w:lang w:val="cs-CZ"/>
              </w:rPr>
              <w:t>Gonadorelin</w:t>
            </w:r>
            <w:proofErr w:type="spellEnd"/>
            <w:r w:rsidRPr="00AA1AF1">
              <w:rPr>
                <w:b/>
                <w:szCs w:val="22"/>
                <w:lang w:val="cs-CZ"/>
              </w:rPr>
              <w:sym w:font="Symbol" w:char="F05B"/>
            </w:r>
            <w:r w:rsidRPr="00AA1AF1">
              <w:rPr>
                <w:b/>
                <w:lang w:val="cs-CZ"/>
              </w:rPr>
              <w:t>6-D-Phe</w:t>
            </w:r>
            <w:r w:rsidRPr="00AA1AF1">
              <w:rPr>
                <w:b/>
                <w:szCs w:val="22"/>
                <w:lang w:val="cs-CZ"/>
              </w:rPr>
              <w:sym w:font="Symbol" w:char="F05D"/>
            </w:r>
            <w:r w:rsidRPr="00AA1AF1">
              <w:rPr>
                <w:b/>
                <w:szCs w:val="22"/>
                <w:lang w:val="cs-CZ"/>
              </w:rPr>
              <w:t xml:space="preserve"> </w:t>
            </w:r>
            <w:r w:rsidRPr="00AA1AF1">
              <w:rPr>
                <w:szCs w:val="22"/>
                <w:lang w:val="cs-CZ"/>
              </w:rPr>
              <w:t xml:space="preserve">78–80 hod po aplikaci </w:t>
            </w:r>
            <w:proofErr w:type="spellStart"/>
            <w:r w:rsidRPr="00AA1AF1">
              <w:rPr>
                <w:szCs w:val="22"/>
                <w:lang w:val="cs-CZ"/>
              </w:rPr>
              <w:t>peforelinu</w:t>
            </w:r>
            <w:proofErr w:type="spellEnd"/>
            <w:r w:rsidRPr="00AA1AF1">
              <w:rPr>
                <w:szCs w:val="22"/>
                <w:lang w:val="cs-CZ"/>
              </w:rPr>
              <w:t xml:space="preserve"> nebo PMSG</w:t>
            </w:r>
          </w:p>
        </w:tc>
        <w:tc>
          <w:tcPr>
            <w:tcW w:w="3575" w:type="dxa"/>
          </w:tcPr>
          <w:p w:rsidR="00A66107" w:rsidRPr="00AA1AF1" w:rsidRDefault="00A66107" w:rsidP="00560F07">
            <w:pPr>
              <w:rPr>
                <w:i/>
                <w:lang w:val="cs-CZ"/>
              </w:rPr>
            </w:pPr>
            <w:r w:rsidRPr="00AA1AF1">
              <w:rPr>
                <w:i/>
                <w:szCs w:val="22"/>
                <w:lang w:val="cs-CZ"/>
              </w:rPr>
              <w:t>Období sání &gt;4 týdny:</w:t>
            </w:r>
          </w:p>
          <w:p w:rsidR="00A66107" w:rsidRPr="00AA1AF1" w:rsidRDefault="00A66107" w:rsidP="00560F07">
            <w:pPr>
              <w:rPr>
                <w:lang w:val="cs-CZ"/>
              </w:rPr>
            </w:pPr>
            <w:proofErr w:type="spellStart"/>
            <w:r w:rsidRPr="00AA1AF1">
              <w:rPr>
                <w:b/>
                <w:lang w:val="cs-CZ"/>
              </w:rPr>
              <w:t>Gonadorelin</w:t>
            </w:r>
            <w:proofErr w:type="spellEnd"/>
            <w:r w:rsidRPr="00AA1AF1">
              <w:rPr>
                <w:b/>
                <w:szCs w:val="22"/>
                <w:lang w:val="cs-CZ"/>
              </w:rPr>
              <w:sym w:font="Symbol" w:char="F05B"/>
            </w:r>
            <w:r w:rsidRPr="00AA1AF1">
              <w:rPr>
                <w:b/>
                <w:lang w:val="cs-CZ"/>
              </w:rPr>
              <w:t>6-D-Phe</w:t>
            </w:r>
            <w:r w:rsidRPr="00AA1AF1">
              <w:rPr>
                <w:b/>
                <w:szCs w:val="22"/>
                <w:lang w:val="cs-CZ"/>
              </w:rPr>
              <w:sym w:font="Symbol" w:char="F05D"/>
            </w:r>
            <w:r w:rsidRPr="00AA1AF1">
              <w:rPr>
                <w:b/>
                <w:lang w:val="cs-CZ"/>
              </w:rPr>
              <w:t xml:space="preserve"> </w:t>
            </w:r>
            <w:r w:rsidRPr="00AA1AF1">
              <w:rPr>
                <w:lang w:val="cs-CZ"/>
              </w:rPr>
              <w:t xml:space="preserve">56–58 hod po aplikaci </w:t>
            </w:r>
            <w:proofErr w:type="spellStart"/>
            <w:r w:rsidRPr="00AA1AF1">
              <w:rPr>
                <w:lang w:val="cs-CZ"/>
              </w:rPr>
              <w:t>peforelinu</w:t>
            </w:r>
            <w:proofErr w:type="spellEnd"/>
            <w:r w:rsidRPr="00AA1AF1">
              <w:rPr>
                <w:lang w:val="cs-CZ"/>
              </w:rPr>
              <w:t xml:space="preserve"> nebo PMSG</w:t>
            </w:r>
          </w:p>
          <w:p w:rsidR="00A66107" w:rsidRPr="00AA1AF1" w:rsidRDefault="00A66107" w:rsidP="00560F07">
            <w:pPr>
              <w:rPr>
                <w:lang w:val="cs-CZ"/>
              </w:rPr>
            </w:pPr>
          </w:p>
          <w:p w:rsidR="00A66107" w:rsidRPr="00AA1AF1" w:rsidRDefault="00A66107" w:rsidP="00560F07">
            <w:pPr>
              <w:rPr>
                <w:i/>
                <w:lang w:val="cs-CZ"/>
              </w:rPr>
            </w:pPr>
            <w:r w:rsidRPr="00AA1AF1">
              <w:rPr>
                <w:i/>
                <w:szCs w:val="22"/>
                <w:lang w:val="cs-CZ"/>
              </w:rPr>
              <w:t>Období sání 4 týdny:</w:t>
            </w:r>
          </w:p>
          <w:p w:rsidR="00A66107" w:rsidRPr="00AA1AF1" w:rsidRDefault="00A66107" w:rsidP="00560F07">
            <w:pPr>
              <w:rPr>
                <w:lang w:val="cs-CZ"/>
              </w:rPr>
            </w:pPr>
            <w:proofErr w:type="spellStart"/>
            <w:r w:rsidRPr="00AA1AF1">
              <w:rPr>
                <w:b/>
                <w:lang w:val="cs-CZ"/>
              </w:rPr>
              <w:t>Gonadorelin</w:t>
            </w:r>
            <w:proofErr w:type="spellEnd"/>
            <w:r w:rsidRPr="00AA1AF1">
              <w:rPr>
                <w:b/>
                <w:szCs w:val="22"/>
                <w:lang w:val="cs-CZ"/>
              </w:rPr>
              <w:sym w:font="Symbol" w:char="F05B"/>
            </w:r>
            <w:r w:rsidRPr="00AA1AF1">
              <w:rPr>
                <w:b/>
                <w:lang w:val="cs-CZ"/>
              </w:rPr>
              <w:t>6-D-Phe</w:t>
            </w:r>
            <w:r w:rsidRPr="00AA1AF1">
              <w:rPr>
                <w:b/>
                <w:szCs w:val="22"/>
                <w:lang w:val="cs-CZ"/>
              </w:rPr>
              <w:sym w:font="Symbol" w:char="F05D"/>
            </w:r>
            <w:r w:rsidRPr="00AA1AF1">
              <w:rPr>
                <w:b/>
                <w:lang w:val="cs-CZ"/>
              </w:rPr>
              <w:t xml:space="preserve"> </w:t>
            </w:r>
            <w:r w:rsidRPr="00AA1AF1">
              <w:rPr>
                <w:lang w:val="cs-CZ"/>
              </w:rPr>
              <w:t xml:space="preserve">72 hod po aplikaci </w:t>
            </w:r>
            <w:proofErr w:type="spellStart"/>
            <w:r w:rsidRPr="00AA1AF1">
              <w:rPr>
                <w:lang w:val="cs-CZ"/>
              </w:rPr>
              <w:t>peforelinu</w:t>
            </w:r>
            <w:proofErr w:type="spellEnd"/>
            <w:r w:rsidRPr="00AA1AF1">
              <w:rPr>
                <w:lang w:val="cs-CZ"/>
              </w:rPr>
              <w:t xml:space="preserve"> nebo PMSG</w:t>
            </w:r>
          </w:p>
          <w:p w:rsidR="00A66107" w:rsidRPr="00AA1AF1" w:rsidRDefault="00A66107" w:rsidP="00560F07">
            <w:pPr>
              <w:rPr>
                <w:lang w:val="cs-CZ"/>
              </w:rPr>
            </w:pPr>
          </w:p>
          <w:p w:rsidR="00A66107" w:rsidRPr="00AA1AF1" w:rsidRDefault="00A66107" w:rsidP="00560F07">
            <w:pPr>
              <w:rPr>
                <w:i/>
                <w:lang w:val="cs-CZ"/>
              </w:rPr>
            </w:pPr>
            <w:r w:rsidRPr="00AA1AF1">
              <w:rPr>
                <w:i/>
                <w:szCs w:val="22"/>
                <w:lang w:val="cs-CZ"/>
              </w:rPr>
              <w:t>Období sání 3 týdny:</w:t>
            </w:r>
          </w:p>
          <w:p w:rsidR="00A66107" w:rsidRPr="00AA1AF1" w:rsidRDefault="00A66107" w:rsidP="00560F07">
            <w:pPr>
              <w:rPr>
                <w:lang w:val="cs-CZ"/>
              </w:rPr>
            </w:pPr>
            <w:proofErr w:type="spellStart"/>
            <w:r w:rsidRPr="00AA1AF1">
              <w:rPr>
                <w:b/>
                <w:lang w:val="cs-CZ"/>
              </w:rPr>
              <w:t>Gonadorelin</w:t>
            </w:r>
            <w:proofErr w:type="spellEnd"/>
            <w:r w:rsidRPr="00AA1AF1">
              <w:rPr>
                <w:b/>
                <w:szCs w:val="22"/>
                <w:lang w:val="cs-CZ"/>
              </w:rPr>
              <w:sym w:font="Symbol" w:char="F05B"/>
            </w:r>
            <w:r w:rsidRPr="00AA1AF1">
              <w:rPr>
                <w:b/>
                <w:lang w:val="cs-CZ"/>
              </w:rPr>
              <w:t>6-D-Phe</w:t>
            </w:r>
            <w:r w:rsidRPr="00AA1AF1">
              <w:rPr>
                <w:b/>
                <w:szCs w:val="22"/>
                <w:lang w:val="cs-CZ"/>
              </w:rPr>
              <w:sym w:font="Symbol" w:char="F05D"/>
            </w:r>
            <w:r w:rsidRPr="00AA1AF1">
              <w:rPr>
                <w:b/>
                <w:lang w:val="cs-CZ"/>
              </w:rPr>
              <w:t xml:space="preserve"> </w:t>
            </w:r>
            <w:r w:rsidRPr="00AA1AF1">
              <w:rPr>
                <w:lang w:val="cs-CZ"/>
              </w:rPr>
              <w:t xml:space="preserve">78–80 hod po aplikaci </w:t>
            </w:r>
            <w:proofErr w:type="spellStart"/>
            <w:r w:rsidRPr="00AA1AF1">
              <w:rPr>
                <w:lang w:val="cs-CZ"/>
              </w:rPr>
              <w:t>peforelinu</w:t>
            </w:r>
            <w:proofErr w:type="spellEnd"/>
            <w:r w:rsidRPr="00AA1AF1">
              <w:rPr>
                <w:lang w:val="cs-CZ"/>
              </w:rPr>
              <w:t xml:space="preserve"> nebo PMSG</w:t>
            </w:r>
          </w:p>
        </w:tc>
      </w:tr>
      <w:tr w:rsidR="00A66107" w:rsidRPr="00AA1AF1" w:rsidTr="00560F07">
        <w:tc>
          <w:tcPr>
            <w:tcW w:w="2093" w:type="dxa"/>
          </w:tcPr>
          <w:p w:rsidR="00A66107" w:rsidRPr="00AA1AF1" w:rsidRDefault="00A66107" w:rsidP="00560F07">
            <w:pPr>
              <w:rPr>
                <w:lang w:val="cs-CZ"/>
              </w:rPr>
            </w:pPr>
            <w:r w:rsidRPr="00AA1AF1">
              <w:rPr>
                <w:szCs w:val="22"/>
                <w:lang w:val="cs-CZ"/>
              </w:rPr>
              <w:t>1. AI</w:t>
            </w:r>
          </w:p>
        </w:tc>
        <w:tc>
          <w:tcPr>
            <w:tcW w:w="3544" w:type="dxa"/>
          </w:tcPr>
          <w:p w:rsidR="00A66107" w:rsidRPr="00AA1AF1" w:rsidRDefault="00A66107" w:rsidP="00560F07">
            <w:pPr>
              <w:rPr>
                <w:lang w:val="cs-CZ"/>
              </w:rPr>
            </w:pPr>
            <w:r w:rsidRPr="00AA1AF1">
              <w:rPr>
                <w:szCs w:val="22"/>
                <w:lang w:val="cs-CZ"/>
              </w:rPr>
              <w:t xml:space="preserve">24–26 hod po aplikaci </w:t>
            </w:r>
            <w:proofErr w:type="spellStart"/>
            <w:r w:rsidRPr="00AA1AF1">
              <w:rPr>
                <w:szCs w:val="22"/>
                <w:lang w:val="cs-CZ"/>
              </w:rPr>
              <w:t>gonadorelinu</w:t>
            </w:r>
            <w:proofErr w:type="spellEnd"/>
            <w:r w:rsidRPr="00AA1AF1">
              <w:rPr>
                <w:szCs w:val="22"/>
                <w:lang w:val="cs-CZ"/>
              </w:rPr>
              <w:sym w:font="Symbol" w:char="F05B"/>
            </w:r>
            <w:r w:rsidRPr="00AA1AF1">
              <w:rPr>
                <w:lang w:val="cs-CZ"/>
              </w:rPr>
              <w:t>6-D-Phe</w:t>
            </w:r>
            <w:r w:rsidRPr="00AA1AF1">
              <w:rPr>
                <w:szCs w:val="22"/>
                <w:lang w:val="cs-CZ"/>
              </w:rPr>
              <w:sym w:font="Symbol" w:char="F05D"/>
            </w:r>
          </w:p>
        </w:tc>
        <w:tc>
          <w:tcPr>
            <w:tcW w:w="3575" w:type="dxa"/>
          </w:tcPr>
          <w:p w:rsidR="00A66107" w:rsidRPr="00AA1AF1" w:rsidRDefault="00A66107" w:rsidP="00560F07">
            <w:pPr>
              <w:rPr>
                <w:lang w:val="cs-CZ"/>
              </w:rPr>
            </w:pPr>
            <w:r w:rsidRPr="00AA1AF1">
              <w:rPr>
                <w:szCs w:val="22"/>
                <w:lang w:val="cs-CZ"/>
              </w:rPr>
              <w:t xml:space="preserve">24–26 hod po aplikaci </w:t>
            </w:r>
            <w:proofErr w:type="spellStart"/>
            <w:r w:rsidRPr="00AA1AF1">
              <w:rPr>
                <w:szCs w:val="22"/>
                <w:lang w:val="cs-CZ"/>
              </w:rPr>
              <w:t>gonadorelinu</w:t>
            </w:r>
            <w:proofErr w:type="spellEnd"/>
            <w:r w:rsidRPr="00AA1AF1">
              <w:rPr>
                <w:szCs w:val="22"/>
                <w:lang w:val="cs-CZ"/>
              </w:rPr>
              <w:sym w:font="Symbol" w:char="F05B"/>
            </w:r>
            <w:r w:rsidRPr="00AA1AF1">
              <w:rPr>
                <w:lang w:val="cs-CZ"/>
              </w:rPr>
              <w:t>6-D-Phe</w:t>
            </w:r>
            <w:r w:rsidRPr="00AA1AF1">
              <w:rPr>
                <w:szCs w:val="22"/>
                <w:lang w:val="cs-CZ"/>
              </w:rPr>
              <w:sym w:font="Symbol" w:char="F05D"/>
            </w:r>
          </w:p>
        </w:tc>
      </w:tr>
      <w:tr w:rsidR="00A66107" w:rsidRPr="00AA1AF1" w:rsidTr="00560F07">
        <w:tc>
          <w:tcPr>
            <w:tcW w:w="2093" w:type="dxa"/>
          </w:tcPr>
          <w:p w:rsidR="00A66107" w:rsidRPr="00AA1AF1" w:rsidRDefault="00A66107" w:rsidP="00560F07">
            <w:pPr>
              <w:rPr>
                <w:lang w:val="cs-CZ"/>
              </w:rPr>
            </w:pPr>
            <w:r w:rsidRPr="00AA1AF1">
              <w:rPr>
                <w:szCs w:val="22"/>
                <w:lang w:val="cs-CZ"/>
              </w:rPr>
              <w:t>2. AI</w:t>
            </w:r>
          </w:p>
        </w:tc>
        <w:tc>
          <w:tcPr>
            <w:tcW w:w="3544" w:type="dxa"/>
          </w:tcPr>
          <w:p w:rsidR="00A66107" w:rsidRPr="00AA1AF1" w:rsidRDefault="00A66107" w:rsidP="00560F07">
            <w:pPr>
              <w:rPr>
                <w:lang w:val="cs-CZ"/>
              </w:rPr>
            </w:pPr>
            <w:r w:rsidRPr="00AA1AF1">
              <w:rPr>
                <w:szCs w:val="22"/>
                <w:lang w:val="cs-CZ"/>
              </w:rPr>
              <w:t xml:space="preserve">40–42 hod po aplikaci </w:t>
            </w:r>
            <w:proofErr w:type="spellStart"/>
            <w:r w:rsidRPr="00AA1AF1">
              <w:rPr>
                <w:szCs w:val="22"/>
                <w:lang w:val="cs-CZ"/>
              </w:rPr>
              <w:t>gonadorelinu</w:t>
            </w:r>
            <w:proofErr w:type="spellEnd"/>
            <w:r w:rsidRPr="00AA1AF1">
              <w:rPr>
                <w:szCs w:val="22"/>
                <w:lang w:val="cs-CZ"/>
              </w:rPr>
              <w:sym w:font="Symbol" w:char="F05B"/>
            </w:r>
            <w:r w:rsidRPr="00AA1AF1">
              <w:rPr>
                <w:lang w:val="cs-CZ"/>
              </w:rPr>
              <w:t>6-D-Phe</w:t>
            </w:r>
            <w:r w:rsidRPr="00AA1AF1">
              <w:rPr>
                <w:szCs w:val="22"/>
                <w:lang w:val="cs-CZ"/>
              </w:rPr>
              <w:sym w:font="Symbol" w:char="F05D"/>
            </w:r>
          </w:p>
        </w:tc>
        <w:tc>
          <w:tcPr>
            <w:tcW w:w="3575" w:type="dxa"/>
          </w:tcPr>
          <w:p w:rsidR="00A66107" w:rsidRPr="00AA1AF1" w:rsidRDefault="00A66107" w:rsidP="00560F07">
            <w:pPr>
              <w:keepNext/>
              <w:rPr>
                <w:lang w:val="cs-CZ"/>
              </w:rPr>
            </w:pPr>
            <w:r w:rsidRPr="00AA1AF1">
              <w:rPr>
                <w:szCs w:val="22"/>
                <w:lang w:val="cs-CZ"/>
              </w:rPr>
              <w:t xml:space="preserve">40–42 hod po aplikaci </w:t>
            </w:r>
            <w:proofErr w:type="spellStart"/>
            <w:r w:rsidRPr="00AA1AF1">
              <w:rPr>
                <w:szCs w:val="22"/>
                <w:lang w:val="cs-CZ"/>
              </w:rPr>
              <w:t>gonadorelinu</w:t>
            </w:r>
            <w:proofErr w:type="spellEnd"/>
            <w:r w:rsidRPr="00AA1AF1">
              <w:rPr>
                <w:szCs w:val="22"/>
                <w:lang w:val="cs-CZ"/>
              </w:rPr>
              <w:sym w:font="Symbol" w:char="F05B"/>
            </w:r>
            <w:r w:rsidRPr="00AA1AF1">
              <w:rPr>
                <w:lang w:val="cs-CZ"/>
              </w:rPr>
              <w:t>6-D-Phe</w:t>
            </w:r>
            <w:r w:rsidRPr="00AA1AF1">
              <w:rPr>
                <w:szCs w:val="22"/>
                <w:lang w:val="cs-CZ"/>
              </w:rPr>
              <w:sym w:font="Symbol" w:char="F05D"/>
            </w:r>
          </w:p>
        </w:tc>
      </w:tr>
    </w:tbl>
    <w:p w:rsidR="00A66107" w:rsidRPr="00AA1AF1" w:rsidRDefault="00A66107" w:rsidP="00A66107">
      <w:pPr>
        <w:rPr>
          <w:szCs w:val="22"/>
          <w:lang w:val="cs-CZ"/>
        </w:rPr>
      </w:pPr>
      <w:r w:rsidRPr="00AA1AF1">
        <w:rPr>
          <w:szCs w:val="22"/>
          <w:lang w:val="cs-CZ"/>
        </w:rPr>
        <w:t xml:space="preserve">* Preferovaná dávka přípravku </w:t>
      </w:r>
      <w:proofErr w:type="spellStart"/>
      <w:r w:rsidRPr="00AA1AF1">
        <w:rPr>
          <w:szCs w:val="22"/>
          <w:lang w:val="cs-CZ"/>
        </w:rPr>
        <w:t>Gonavet</w:t>
      </w:r>
      <w:proofErr w:type="spellEnd"/>
      <w:r w:rsidRPr="00AA1AF1">
        <w:rPr>
          <w:szCs w:val="22"/>
          <w:lang w:val="cs-CZ"/>
        </w:rPr>
        <w:t xml:space="preserve"> </w:t>
      </w:r>
      <w:proofErr w:type="spellStart"/>
      <w:r w:rsidRPr="00AA1AF1">
        <w:rPr>
          <w:szCs w:val="22"/>
          <w:lang w:val="cs-CZ"/>
        </w:rPr>
        <w:t>Veyx</w:t>
      </w:r>
      <w:proofErr w:type="spellEnd"/>
      <w:r w:rsidRPr="00AA1AF1">
        <w:rPr>
          <w:szCs w:val="22"/>
          <w:lang w:val="cs-CZ"/>
        </w:rPr>
        <w:t xml:space="preserve"> u prasniček je 50 µg </w:t>
      </w:r>
      <w:proofErr w:type="spellStart"/>
      <w:r w:rsidRPr="00AA1AF1">
        <w:rPr>
          <w:szCs w:val="22"/>
          <w:lang w:val="cs-CZ"/>
        </w:rPr>
        <w:t>gonadorelinu</w:t>
      </w:r>
      <w:proofErr w:type="spellEnd"/>
      <w:r w:rsidRPr="00AA1AF1">
        <w:rPr>
          <w:szCs w:val="22"/>
          <w:lang w:val="cs-CZ"/>
        </w:rPr>
        <w:t xml:space="preserve">[6-D-Phe]. Dávka může být nicméně upravena v rozmezí 50 až 75 µg na základě zohlednění místních specifických aspektů nebo sezónních vlivů. Navrhovaný harmonogram </w:t>
      </w:r>
      <w:r w:rsidRPr="00AA1AF1">
        <w:rPr>
          <w:rStyle w:val="hps"/>
          <w:szCs w:val="22"/>
          <w:lang w:val="cs-CZ"/>
        </w:rPr>
        <w:t>by se měl přesně</w:t>
      </w:r>
      <w:r w:rsidRPr="00AA1AF1">
        <w:rPr>
          <w:szCs w:val="22"/>
          <w:lang w:val="cs-CZ"/>
        </w:rPr>
        <w:t xml:space="preserve"> dodržovat. </w:t>
      </w:r>
    </w:p>
    <w:p w:rsidR="00A66107" w:rsidRPr="00AA1AF1" w:rsidRDefault="00A66107" w:rsidP="00A66107">
      <w:pPr>
        <w:rPr>
          <w:szCs w:val="22"/>
          <w:lang w:val="cs-CZ"/>
        </w:rPr>
      </w:pPr>
      <w:r w:rsidRPr="00AA1AF1">
        <w:rPr>
          <w:szCs w:val="22"/>
          <w:lang w:val="cs-CZ"/>
        </w:rPr>
        <w:t xml:space="preserve">**Preferovaná dávka přípravku </w:t>
      </w:r>
      <w:proofErr w:type="spellStart"/>
      <w:r w:rsidRPr="00AA1AF1">
        <w:rPr>
          <w:szCs w:val="22"/>
          <w:lang w:val="cs-CZ"/>
        </w:rPr>
        <w:t>Gonavet</w:t>
      </w:r>
      <w:proofErr w:type="spellEnd"/>
      <w:r w:rsidRPr="00AA1AF1">
        <w:rPr>
          <w:szCs w:val="22"/>
          <w:lang w:val="cs-CZ"/>
        </w:rPr>
        <w:t xml:space="preserve"> </w:t>
      </w:r>
      <w:proofErr w:type="spellStart"/>
      <w:r w:rsidRPr="00AA1AF1">
        <w:rPr>
          <w:szCs w:val="22"/>
          <w:lang w:val="cs-CZ"/>
        </w:rPr>
        <w:t>Veyx</w:t>
      </w:r>
      <w:proofErr w:type="spellEnd"/>
      <w:r w:rsidRPr="00AA1AF1">
        <w:rPr>
          <w:szCs w:val="22"/>
          <w:lang w:val="cs-CZ"/>
        </w:rPr>
        <w:t xml:space="preserve"> u dospělých prasnic je 50 µg </w:t>
      </w:r>
      <w:proofErr w:type="spellStart"/>
      <w:r w:rsidRPr="00AA1AF1">
        <w:rPr>
          <w:szCs w:val="22"/>
          <w:lang w:val="cs-CZ"/>
        </w:rPr>
        <w:t>gonadorelinu</w:t>
      </w:r>
      <w:proofErr w:type="spellEnd"/>
      <w:r w:rsidRPr="00AA1AF1">
        <w:rPr>
          <w:szCs w:val="22"/>
          <w:lang w:val="cs-CZ"/>
        </w:rPr>
        <w:t xml:space="preserve">[6-D-Phe]. Podání 25 µg je rovněž dostačující u prasnic s paritou větší než 3 nebo během období připouštění od září do května. Navrhovaný harmonogram </w:t>
      </w:r>
      <w:r w:rsidRPr="00AA1AF1">
        <w:rPr>
          <w:rStyle w:val="hps"/>
          <w:szCs w:val="22"/>
          <w:lang w:val="cs-CZ"/>
        </w:rPr>
        <w:t>by se měl přesně</w:t>
      </w:r>
      <w:r w:rsidRPr="00AA1AF1">
        <w:rPr>
          <w:szCs w:val="22"/>
          <w:lang w:val="cs-CZ"/>
        </w:rPr>
        <w:t xml:space="preserve"> dodržovat.</w:t>
      </w: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:rsidR="00A66107" w:rsidRPr="00AA1AF1" w:rsidRDefault="00A66107" w:rsidP="00A66107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A44E25">
        <w:rPr>
          <w:b/>
          <w:szCs w:val="22"/>
          <w:highlight w:val="lightGray"/>
          <w:lang w:val="cs-CZ"/>
        </w:rPr>
        <w:t>9.</w:t>
      </w:r>
      <w:r w:rsidRPr="00AA1AF1">
        <w:rPr>
          <w:b/>
          <w:szCs w:val="22"/>
          <w:lang w:val="cs-CZ"/>
        </w:rPr>
        <w:tab/>
        <w:t>POKYNY PRO SPRÁVNÉ PODÁNÍ</w:t>
      </w:r>
    </w:p>
    <w:p w:rsidR="00A66107" w:rsidRPr="00AA1AF1" w:rsidRDefault="00A66107" w:rsidP="00A44E25">
      <w:pPr>
        <w:tabs>
          <w:tab w:val="clear" w:pos="567"/>
        </w:tabs>
        <w:spacing w:before="120" w:line="240" w:lineRule="auto"/>
        <w:rPr>
          <w:szCs w:val="22"/>
          <w:lang w:val="cs-CZ"/>
        </w:rPr>
      </w:pPr>
      <w:r w:rsidRPr="00AA1AF1">
        <w:rPr>
          <w:szCs w:val="22"/>
          <w:lang w:val="cs-CZ"/>
        </w:rPr>
        <w:t>Žádné</w:t>
      </w:r>
      <w:r w:rsidR="001971A2">
        <w:rPr>
          <w:szCs w:val="22"/>
          <w:lang w:val="cs-CZ"/>
        </w:rPr>
        <w:t>.</w:t>
      </w: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A66107" w:rsidRPr="00AA1AF1" w:rsidRDefault="00A66107" w:rsidP="00A66107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A44E25">
        <w:rPr>
          <w:b/>
          <w:szCs w:val="22"/>
          <w:highlight w:val="lightGray"/>
          <w:lang w:val="cs-CZ"/>
        </w:rPr>
        <w:t>10.</w:t>
      </w:r>
      <w:r w:rsidRPr="00AA1AF1">
        <w:rPr>
          <w:b/>
          <w:szCs w:val="22"/>
          <w:lang w:val="cs-CZ"/>
        </w:rPr>
        <w:tab/>
        <w:t>OCHRANNÁ</w:t>
      </w:r>
      <w:r w:rsidR="002F0949">
        <w:rPr>
          <w:b/>
          <w:szCs w:val="22"/>
          <w:lang w:val="cs-CZ"/>
        </w:rPr>
        <w:t>(É)</w:t>
      </w:r>
      <w:r w:rsidRPr="00AA1AF1">
        <w:rPr>
          <w:b/>
          <w:szCs w:val="22"/>
          <w:lang w:val="cs-CZ"/>
        </w:rPr>
        <w:t xml:space="preserve"> </w:t>
      </w:r>
      <w:proofErr w:type="gramStart"/>
      <w:r w:rsidRPr="00AA1AF1">
        <w:rPr>
          <w:b/>
          <w:szCs w:val="22"/>
          <w:lang w:val="cs-CZ"/>
        </w:rPr>
        <w:t>LHŮTA</w:t>
      </w:r>
      <w:r w:rsidR="002F0949">
        <w:rPr>
          <w:b/>
          <w:szCs w:val="22"/>
          <w:lang w:val="cs-CZ"/>
        </w:rPr>
        <w:t>(Y)</w:t>
      </w:r>
      <w:proofErr w:type="gramEnd"/>
    </w:p>
    <w:p w:rsidR="00A66107" w:rsidRPr="00AA1AF1" w:rsidRDefault="00A66107" w:rsidP="00A66107">
      <w:pPr>
        <w:tabs>
          <w:tab w:val="left" w:pos="2410"/>
          <w:tab w:val="left" w:pos="4111"/>
          <w:tab w:val="left" w:pos="5096"/>
        </w:tabs>
        <w:spacing w:before="120"/>
        <w:rPr>
          <w:szCs w:val="22"/>
          <w:lang w:val="cs-CZ"/>
        </w:rPr>
      </w:pPr>
      <w:r w:rsidRPr="00AA1AF1">
        <w:rPr>
          <w:szCs w:val="22"/>
          <w:lang w:val="cs-CZ"/>
        </w:rPr>
        <w:t>Skot, prasata, koně</w:t>
      </w:r>
      <w:r w:rsidRPr="00AA1AF1">
        <w:rPr>
          <w:szCs w:val="22"/>
          <w:lang w:val="cs-CZ"/>
        </w:rPr>
        <w:tab/>
        <w:t>Maso:</w:t>
      </w:r>
      <w:r w:rsidRPr="00AA1AF1">
        <w:rPr>
          <w:szCs w:val="22"/>
          <w:lang w:val="cs-CZ"/>
        </w:rPr>
        <w:tab/>
      </w:r>
      <w:r w:rsidR="00791771">
        <w:rPr>
          <w:szCs w:val="22"/>
          <w:lang w:val="cs-CZ"/>
        </w:rPr>
        <w:t>Bez ochranných lhůt.</w:t>
      </w:r>
    </w:p>
    <w:p w:rsidR="00A66107" w:rsidRPr="00AA1AF1" w:rsidRDefault="00A66107" w:rsidP="00A66107">
      <w:pPr>
        <w:tabs>
          <w:tab w:val="left" w:pos="2410"/>
          <w:tab w:val="left" w:pos="2470"/>
          <w:tab w:val="left" w:pos="4111"/>
        </w:tabs>
        <w:rPr>
          <w:szCs w:val="22"/>
          <w:lang w:val="cs-CZ"/>
        </w:rPr>
      </w:pPr>
      <w:r w:rsidRPr="00AA1AF1">
        <w:rPr>
          <w:szCs w:val="22"/>
          <w:lang w:val="cs-CZ"/>
        </w:rPr>
        <w:t>Skot, koně</w:t>
      </w:r>
      <w:r w:rsidRPr="00AA1AF1">
        <w:rPr>
          <w:b/>
          <w:szCs w:val="22"/>
          <w:lang w:val="cs-CZ"/>
        </w:rPr>
        <w:tab/>
      </w:r>
      <w:r w:rsidRPr="00AA1AF1">
        <w:rPr>
          <w:szCs w:val="22"/>
          <w:lang w:val="cs-CZ"/>
        </w:rPr>
        <w:t>Mléko:</w:t>
      </w:r>
      <w:r w:rsidRPr="00AA1AF1">
        <w:rPr>
          <w:szCs w:val="22"/>
          <w:lang w:val="cs-CZ"/>
        </w:rPr>
        <w:tab/>
      </w:r>
      <w:r w:rsidR="00791771">
        <w:rPr>
          <w:szCs w:val="22"/>
          <w:lang w:val="cs-CZ"/>
        </w:rPr>
        <w:t>Bez ochranných lhůt.</w:t>
      </w: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:rsidR="00A66107" w:rsidRPr="00AA1AF1" w:rsidRDefault="00A66107" w:rsidP="00A66107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A44E25">
        <w:rPr>
          <w:b/>
          <w:szCs w:val="22"/>
          <w:highlight w:val="lightGray"/>
          <w:lang w:val="cs-CZ"/>
        </w:rPr>
        <w:t>11.</w:t>
      </w:r>
      <w:r w:rsidRPr="00AA1AF1">
        <w:rPr>
          <w:b/>
          <w:szCs w:val="22"/>
          <w:lang w:val="cs-CZ"/>
        </w:rPr>
        <w:tab/>
        <w:t>ZVLÁŠTNÍ OPATŘENÍ PRO UCHOVÁVÁNÍ</w:t>
      </w:r>
    </w:p>
    <w:p w:rsidR="00A66107" w:rsidRPr="00AA1AF1" w:rsidRDefault="00A66107" w:rsidP="00A44E25">
      <w:pPr>
        <w:numPr>
          <w:ilvl w:val="12"/>
          <w:numId w:val="0"/>
        </w:numPr>
        <w:tabs>
          <w:tab w:val="clear" w:pos="567"/>
        </w:tabs>
        <w:spacing w:before="120" w:line="240" w:lineRule="auto"/>
        <w:rPr>
          <w:szCs w:val="22"/>
          <w:lang w:val="cs-CZ"/>
        </w:rPr>
      </w:pPr>
      <w:r w:rsidRPr="00AA1AF1">
        <w:rPr>
          <w:szCs w:val="22"/>
          <w:lang w:val="cs-CZ"/>
        </w:rPr>
        <w:t>Uchovávat mimo do</w:t>
      </w:r>
      <w:r w:rsidR="00822889">
        <w:rPr>
          <w:szCs w:val="22"/>
          <w:lang w:val="cs-CZ"/>
        </w:rPr>
        <w:t>hled a do</w:t>
      </w:r>
      <w:r w:rsidRPr="00AA1AF1">
        <w:rPr>
          <w:szCs w:val="22"/>
          <w:lang w:val="cs-CZ"/>
        </w:rPr>
        <w:t>sah dětí.</w:t>
      </w:r>
    </w:p>
    <w:p w:rsidR="00C058FA" w:rsidRDefault="00A66107" w:rsidP="00A66107">
      <w:pPr>
        <w:rPr>
          <w:szCs w:val="22"/>
          <w:lang w:val="cs-CZ"/>
        </w:rPr>
      </w:pPr>
      <w:r w:rsidRPr="00AA1AF1">
        <w:rPr>
          <w:szCs w:val="22"/>
          <w:lang w:val="cs-CZ"/>
        </w:rPr>
        <w:t>Uchovávejte v chladničce (2</w:t>
      </w:r>
      <w:r w:rsidR="00C058FA">
        <w:rPr>
          <w:szCs w:val="22"/>
          <w:lang w:val="cs-CZ"/>
        </w:rPr>
        <w:t xml:space="preserve"> </w:t>
      </w:r>
      <w:r w:rsidRPr="00AA1AF1">
        <w:rPr>
          <w:szCs w:val="22"/>
          <w:lang w:val="cs-CZ"/>
        </w:rPr>
        <w:sym w:font="Symbol" w:char="F0B0"/>
      </w:r>
      <w:r w:rsidRPr="00AA1AF1">
        <w:rPr>
          <w:szCs w:val="22"/>
          <w:lang w:val="cs-CZ"/>
        </w:rPr>
        <w:t>C</w:t>
      </w:r>
      <w:r w:rsidR="00C058FA">
        <w:rPr>
          <w:szCs w:val="22"/>
          <w:lang w:val="cs-CZ"/>
        </w:rPr>
        <w:t xml:space="preserve"> </w:t>
      </w:r>
      <w:r w:rsidRPr="00AA1AF1">
        <w:rPr>
          <w:szCs w:val="22"/>
          <w:lang w:val="cs-CZ"/>
        </w:rPr>
        <w:t>–</w:t>
      </w:r>
      <w:r w:rsidR="00C058FA">
        <w:rPr>
          <w:szCs w:val="22"/>
          <w:lang w:val="cs-CZ"/>
        </w:rPr>
        <w:t xml:space="preserve"> </w:t>
      </w:r>
      <w:r w:rsidRPr="00AA1AF1">
        <w:rPr>
          <w:szCs w:val="22"/>
          <w:lang w:val="cs-CZ"/>
        </w:rPr>
        <w:t>8 </w:t>
      </w:r>
      <w:r w:rsidRPr="00AA1AF1">
        <w:rPr>
          <w:szCs w:val="22"/>
          <w:lang w:val="cs-CZ"/>
        </w:rPr>
        <w:sym w:font="Symbol" w:char="F0B0"/>
      </w:r>
      <w:r w:rsidRPr="00AA1AF1">
        <w:rPr>
          <w:szCs w:val="22"/>
          <w:lang w:val="cs-CZ"/>
        </w:rPr>
        <w:t xml:space="preserve">C). </w:t>
      </w:r>
    </w:p>
    <w:p w:rsidR="00A66107" w:rsidRPr="00AA1AF1" w:rsidRDefault="00A66107" w:rsidP="00A66107">
      <w:pPr>
        <w:rPr>
          <w:szCs w:val="22"/>
          <w:lang w:val="cs-CZ"/>
        </w:rPr>
      </w:pPr>
      <w:r w:rsidRPr="00AA1AF1">
        <w:rPr>
          <w:szCs w:val="22"/>
          <w:lang w:val="cs-CZ"/>
        </w:rPr>
        <w:t>Uchovávejte</w:t>
      </w:r>
      <w:r w:rsidRPr="00AA1AF1">
        <w:rPr>
          <w:lang w:val="cs-CZ"/>
        </w:rPr>
        <w:t xml:space="preserve"> injekční lahvičku v krabičce, aby byla chráněna před světlem.</w:t>
      </w:r>
    </w:p>
    <w:p w:rsidR="00A66107" w:rsidRPr="00AA1AF1" w:rsidRDefault="00A66107" w:rsidP="00A66107">
      <w:pPr>
        <w:rPr>
          <w:szCs w:val="22"/>
          <w:lang w:val="cs-CZ"/>
        </w:rPr>
      </w:pPr>
      <w:r w:rsidRPr="00AA1AF1">
        <w:rPr>
          <w:szCs w:val="22"/>
          <w:lang w:val="cs-CZ"/>
        </w:rPr>
        <w:t>Po otevření uchovávejte při teplotě do 25 °C.</w:t>
      </w:r>
    </w:p>
    <w:p w:rsidR="00C058FA" w:rsidRDefault="00A66107" w:rsidP="00A66107">
      <w:pPr>
        <w:tabs>
          <w:tab w:val="clear" w:pos="567"/>
        </w:tabs>
        <w:spacing w:line="240" w:lineRule="auto"/>
        <w:outlineLvl w:val="0"/>
        <w:rPr>
          <w:lang w:val="cs-CZ"/>
        </w:rPr>
      </w:pPr>
      <w:r w:rsidRPr="00AA1AF1">
        <w:rPr>
          <w:lang w:val="cs-CZ"/>
        </w:rPr>
        <w:t>Nepoužívejte tento veterinární léčivý přípravek po uplynutí doby použitelnost</w:t>
      </w:r>
      <w:r w:rsidR="00C058FA">
        <w:rPr>
          <w:lang w:val="cs-CZ"/>
        </w:rPr>
        <w:t>i</w:t>
      </w:r>
      <w:r w:rsidRPr="00AA1AF1">
        <w:rPr>
          <w:lang w:val="cs-CZ"/>
        </w:rPr>
        <w:t xml:space="preserve"> uvedené na krabičce a etiketě injekční lahvičky </w:t>
      </w:r>
      <w:r w:rsidR="00C058FA">
        <w:rPr>
          <w:lang w:val="cs-CZ"/>
        </w:rPr>
        <w:t>po</w:t>
      </w:r>
      <w:r w:rsidR="00C058FA" w:rsidRPr="00AA1AF1">
        <w:rPr>
          <w:lang w:val="cs-CZ"/>
        </w:rPr>
        <w:t xml:space="preserve"> </w:t>
      </w:r>
      <w:r w:rsidRPr="00AA1AF1">
        <w:rPr>
          <w:lang w:val="cs-CZ"/>
        </w:rPr>
        <w:t xml:space="preserve">„EXP“. Doba použitelnosti končí posledním dnem v uvedeném měsíci. </w:t>
      </w:r>
    </w:p>
    <w:p w:rsidR="00A66107" w:rsidRPr="00AA1AF1" w:rsidRDefault="00A66107" w:rsidP="00A66107">
      <w:pPr>
        <w:tabs>
          <w:tab w:val="clear" w:pos="567"/>
        </w:tabs>
        <w:spacing w:line="240" w:lineRule="auto"/>
        <w:outlineLvl w:val="0"/>
        <w:rPr>
          <w:szCs w:val="22"/>
          <w:lang w:val="cs-CZ"/>
        </w:rPr>
      </w:pPr>
      <w:r w:rsidRPr="00AA1AF1">
        <w:rPr>
          <w:szCs w:val="22"/>
          <w:lang w:val="cs-CZ"/>
        </w:rPr>
        <w:t>Doba použitelnosti po prvním otevření vnitřního obalu: 28 dn</w:t>
      </w:r>
      <w:r w:rsidR="00C058FA">
        <w:rPr>
          <w:szCs w:val="22"/>
          <w:lang w:val="cs-CZ"/>
        </w:rPr>
        <w:t>í</w:t>
      </w:r>
      <w:r w:rsidRPr="00AA1AF1">
        <w:rPr>
          <w:szCs w:val="22"/>
          <w:lang w:val="cs-CZ"/>
        </w:rPr>
        <w:t>.</w:t>
      </w:r>
    </w:p>
    <w:p w:rsidR="00A66107" w:rsidRPr="00AA1AF1" w:rsidRDefault="009B0FE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Po</w:t>
      </w:r>
      <w:r w:rsidR="00A66107" w:rsidRPr="00AA1AF1">
        <w:rPr>
          <w:szCs w:val="22"/>
          <w:lang w:val="cs-CZ"/>
        </w:rPr>
        <w:t xml:space="preserve"> </w:t>
      </w:r>
      <w:r>
        <w:rPr>
          <w:szCs w:val="22"/>
          <w:lang w:val="cs-CZ"/>
        </w:rPr>
        <w:t xml:space="preserve">prvním </w:t>
      </w:r>
      <w:r w:rsidR="00A66107" w:rsidRPr="00AA1AF1">
        <w:rPr>
          <w:szCs w:val="22"/>
          <w:lang w:val="cs-CZ"/>
        </w:rPr>
        <w:t>propíchnut</w:t>
      </w:r>
      <w:r>
        <w:rPr>
          <w:szCs w:val="22"/>
          <w:lang w:val="cs-CZ"/>
        </w:rPr>
        <w:t>í</w:t>
      </w:r>
      <w:r w:rsidR="00A66107" w:rsidRPr="00AA1AF1">
        <w:rPr>
          <w:szCs w:val="22"/>
          <w:lang w:val="cs-CZ"/>
        </w:rPr>
        <w:t xml:space="preserve"> (otevřen</w:t>
      </w:r>
      <w:r>
        <w:rPr>
          <w:szCs w:val="22"/>
          <w:lang w:val="cs-CZ"/>
        </w:rPr>
        <w:t>í</w:t>
      </w:r>
      <w:r w:rsidR="00A66107" w:rsidRPr="00AA1AF1">
        <w:rPr>
          <w:szCs w:val="22"/>
          <w:lang w:val="cs-CZ"/>
        </w:rPr>
        <w:t xml:space="preserve">) </w:t>
      </w:r>
      <w:r>
        <w:rPr>
          <w:szCs w:val="22"/>
          <w:lang w:val="cs-CZ"/>
        </w:rPr>
        <w:t xml:space="preserve">vnitřního </w:t>
      </w:r>
      <w:r w:rsidR="00834FFF" w:rsidRPr="00834FFF">
        <w:rPr>
          <w:lang w:val="cs-CZ"/>
        </w:rPr>
        <w:t>obalu stanovte datum likvidace zbylého množství přípravku v tomto obalu a to na základě doby použitelnosti po prvním otevření uvedené v této příbalové informaci. Toto datum napište na místo k tomu určené na etiketě.</w:t>
      </w:r>
    </w:p>
    <w:p w:rsidR="00A66107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E47DA2" w:rsidRPr="00AA1AF1" w:rsidRDefault="00E47DA2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A66107" w:rsidRPr="00AA1AF1" w:rsidRDefault="00A66107" w:rsidP="00A66107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A44E25">
        <w:rPr>
          <w:b/>
          <w:szCs w:val="22"/>
          <w:highlight w:val="lightGray"/>
          <w:lang w:val="cs-CZ"/>
        </w:rPr>
        <w:t>12.</w:t>
      </w:r>
      <w:r w:rsidRPr="00AA1AF1">
        <w:rPr>
          <w:b/>
          <w:szCs w:val="22"/>
          <w:lang w:val="cs-CZ"/>
        </w:rPr>
        <w:tab/>
        <w:t>ZVLÁŠTNÍ UPOZORNĚNÍ</w:t>
      </w:r>
    </w:p>
    <w:p w:rsidR="00A66107" w:rsidRPr="00AA1AF1" w:rsidRDefault="00A66107" w:rsidP="00A66107">
      <w:pPr>
        <w:rPr>
          <w:lang w:val="cs-CZ"/>
        </w:rPr>
      </w:pPr>
    </w:p>
    <w:p w:rsidR="00A66107" w:rsidRPr="00AA1AF1" w:rsidRDefault="00A66107" w:rsidP="00A66107">
      <w:pPr>
        <w:rPr>
          <w:szCs w:val="22"/>
          <w:u w:val="single"/>
          <w:lang w:val="cs-CZ"/>
        </w:rPr>
      </w:pPr>
      <w:r w:rsidRPr="00AA1AF1">
        <w:rPr>
          <w:szCs w:val="22"/>
          <w:u w:val="single"/>
          <w:lang w:val="cs-CZ"/>
        </w:rPr>
        <w:t>Zvláštní upozornění pro každý cílový druh:</w:t>
      </w:r>
    </w:p>
    <w:p w:rsidR="00A66107" w:rsidRPr="00AA1AF1" w:rsidRDefault="00A66107" w:rsidP="00A66107">
      <w:pPr>
        <w:rPr>
          <w:lang w:val="cs-CZ"/>
        </w:rPr>
      </w:pPr>
      <w:r w:rsidRPr="00AA1AF1">
        <w:rPr>
          <w:lang w:val="cs-CZ"/>
        </w:rPr>
        <w:t>Chcete-li maximalizovat úspěšnost inseminace krav ošetřených GnRH-PGF</w:t>
      </w:r>
      <w:r w:rsidRPr="00AA1AF1">
        <w:rPr>
          <w:vertAlign w:val="subscript"/>
          <w:lang w:val="cs-CZ"/>
        </w:rPr>
        <w:t>2α</w:t>
      </w:r>
      <w:r w:rsidRPr="00AA1AF1">
        <w:rPr>
          <w:lang w:val="cs-CZ"/>
        </w:rPr>
        <w:t xml:space="preserve"> na základě protokolů synchronizace, musíte zkontrolovat stav ovarií a potvrdit jejich pravidelnou cyklickou aktivitu. Optimálních výsledků se dosáhne u zdravých krav s normálním cyklem.</w:t>
      </w:r>
    </w:p>
    <w:p w:rsidR="00A66107" w:rsidRPr="00AA1AF1" w:rsidRDefault="00A66107" w:rsidP="00A66107">
      <w:pPr>
        <w:rPr>
          <w:szCs w:val="22"/>
          <w:u w:val="single"/>
          <w:lang w:val="cs-CZ"/>
        </w:rPr>
      </w:pPr>
    </w:p>
    <w:p w:rsidR="00A66107" w:rsidRPr="00AA1AF1" w:rsidRDefault="00A66107" w:rsidP="00A44E25">
      <w:pPr>
        <w:keepNext/>
        <w:rPr>
          <w:szCs w:val="22"/>
          <w:u w:val="single"/>
          <w:lang w:val="cs-CZ"/>
        </w:rPr>
      </w:pPr>
      <w:r w:rsidRPr="00AA1AF1">
        <w:rPr>
          <w:szCs w:val="22"/>
          <w:u w:val="single"/>
          <w:lang w:val="cs-CZ"/>
        </w:rPr>
        <w:t>Zvláštní opatření určené osobám, které podávají veterinární léčivý přípravek zvířatům</w:t>
      </w:r>
      <w:r w:rsidRPr="00AA1AF1">
        <w:rPr>
          <w:szCs w:val="22"/>
          <w:lang w:val="cs-CZ"/>
        </w:rPr>
        <w:t>:</w:t>
      </w:r>
    </w:p>
    <w:p w:rsidR="007D34C4" w:rsidRDefault="00822889" w:rsidP="00A66107">
      <w:pPr>
        <w:tabs>
          <w:tab w:val="clear" w:pos="567"/>
          <w:tab w:val="left" w:pos="572"/>
        </w:tabs>
        <w:rPr>
          <w:szCs w:val="22"/>
          <w:lang w:val="cs-CZ"/>
        </w:rPr>
      </w:pPr>
      <w:r>
        <w:rPr>
          <w:szCs w:val="22"/>
          <w:lang w:val="cs-CZ"/>
        </w:rPr>
        <w:t>Zabraňte</w:t>
      </w:r>
      <w:r w:rsidRPr="007D34C4">
        <w:rPr>
          <w:szCs w:val="22"/>
          <w:lang w:val="cs-CZ"/>
        </w:rPr>
        <w:t xml:space="preserve"> </w:t>
      </w:r>
      <w:r w:rsidR="007D34C4" w:rsidRPr="007D34C4">
        <w:rPr>
          <w:szCs w:val="22"/>
          <w:lang w:val="cs-CZ"/>
        </w:rPr>
        <w:t xml:space="preserve">náhodnému </w:t>
      </w:r>
      <w:proofErr w:type="spellStart"/>
      <w:r w:rsidR="007D34C4" w:rsidRPr="007D34C4">
        <w:rPr>
          <w:szCs w:val="22"/>
          <w:lang w:val="cs-CZ"/>
        </w:rPr>
        <w:t>samopodání</w:t>
      </w:r>
      <w:proofErr w:type="spellEnd"/>
      <w:r w:rsidR="007D34C4" w:rsidRPr="007D34C4">
        <w:rPr>
          <w:szCs w:val="22"/>
          <w:lang w:val="cs-CZ"/>
        </w:rPr>
        <w:t xml:space="preserve"> injekce. V případě náhodného sebepoškození injekčně aplikovaným přípravkem vyhledejte ihned lékařskou pomoc a ukažte příbalovou informaci nebo etiketu praktickému lékaři. Jelikož analogy </w:t>
      </w:r>
      <w:proofErr w:type="spellStart"/>
      <w:r w:rsidR="007D34C4" w:rsidRPr="007D34C4">
        <w:rPr>
          <w:szCs w:val="22"/>
          <w:lang w:val="cs-CZ"/>
        </w:rPr>
        <w:t>GnRH</w:t>
      </w:r>
      <w:proofErr w:type="spellEnd"/>
      <w:r w:rsidR="007D34C4" w:rsidRPr="007D34C4">
        <w:rPr>
          <w:szCs w:val="22"/>
          <w:lang w:val="cs-CZ"/>
        </w:rPr>
        <w:t xml:space="preserve"> mohou být absorbovány kůží, náhodné potřísnění kůže nebo vniknutí do očí důkladně opláchn</w:t>
      </w:r>
      <w:r>
        <w:rPr>
          <w:szCs w:val="22"/>
          <w:lang w:val="cs-CZ"/>
        </w:rPr>
        <w:t>ěte</w:t>
      </w:r>
      <w:r w:rsidR="007D34C4" w:rsidRPr="007D34C4">
        <w:rPr>
          <w:szCs w:val="22"/>
          <w:lang w:val="cs-CZ"/>
        </w:rPr>
        <w:t xml:space="preserve"> vodou. Veterinární léčivý přípravek by neměly podávat těhotné ženy. Ženy v plodném věku by měly podávat veterinární léčivý přípravek obezřetně. Lidé se známou přecitlivělostí na </w:t>
      </w:r>
      <w:proofErr w:type="spellStart"/>
      <w:r w:rsidR="007D34C4" w:rsidRPr="007D34C4">
        <w:rPr>
          <w:szCs w:val="22"/>
          <w:lang w:val="cs-CZ"/>
        </w:rPr>
        <w:t>GnRH</w:t>
      </w:r>
      <w:proofErr w:type="spellEnd"/>
      <w:r w:rsidR="007D34C4" w:rsidRPr="007D34C4">
        <w:rPr>
          <w:szCs w:val="22"/>
          <w:lang w:val="cs-CZ"/>
        </w:rPr>
        <w:t xml:space="preserve"> by </w:t>
      </w:r>
      <w:r w:rsidR="001971A2">
        <w:rPr>
          <w:szCs w:val="22"/>
          <w:lang w:val="cs-CZ"/>
        </w:rPr>
        <w:t xml:space="preserve">se měli </w:t>
      </w:r>
      <w:r w:rsidR="00821A5F" w:rsidRPr="00821A5F">
        <w:rPr>
          <w:szCs w:val="22"/>
          <w:lang w:val="cs-CZ"/>
        </w:rPr>
        <w:t>vyhnout kontaktu s veterinárním léčivým přípravkem.</w:t>
      </w:r>
      <w:r w:rsidR="007D34C4" w:rsidRPr="007D34C4">
        <w:rPr>
          <w:szCs w:val="22"/>
          <w:lang w:val="cs-CZ"/>
        </w:rPr>
        <w:t xml:space="preserve"> </w:t>
      </w:r>
    </w:p>
    <w:p w:rsidR="00A66107" w:rsidRPr="00AA1AF1" w:rsidRDefault="00A66107" w:rsidP="00A66107">
      <w:pPr>
        <w:tabs>
          <w:tab w:val="clear" w:pos="567"/>
          <w:tab w:val="left" w:pos="572"/>
        </w:tabs>
        <w:rPr>
          <w:szCs w:val="22"/>
          <w:lang w:val="cs-CZ"/>
        </w:rPr>
      </w:pP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AA1AF1">
        <w:rPr>
          <w:szCs w:val="22"/>
          <w:u w:val="single"/>
          <w:lang w:val="cs-CZ"/>
        </w:rPr>
        <w:t>Laktace:</w:t>
      </w: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A1AF1">
        <w:rPr>
          <w:szCs w:val="22"/>
          <w:lang w:val="cs-CZ"/>
        </w:rPr>
        <w:t>Lze použít během laktace.</w:t>
      </w: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A1AF1">
        <w:rPr>
          <w:szCs w:val="22"/>
          <w:u w:val="single"/>
          <w:lang w:val="cs-CZ"/>
        </w:rPr>
        <w:t>Interakce s dalšími léčivými přípravky a další formy interakce:</w:t>
      </w:r>
    </w:p>
    <w:p w:rsidR="00A66107" w:rsidRPr="00AA1AF1" w:rsidRDefault="00A66107" w:rsidP="00A66107">
      <w:pPr>
        <w:ind w:left="28"/>
        <w:rPr>
          <w:szCs w:val="22"/>
          <w:lang w:val="cs-CZ"/>
        </w:rPr>
      </w:pPr>
      <w:r w:rsidRPr="00AA1AF1">
        <w:rPr>
          <w:szCs w:val="22"/>
          <w:lang w:val="cs-CZ"/>
        </w:rPr>
        <w:t>Při kombinované terapii s FSH se vytváří synergický účinek</w:t>
      </w:r>
      <w:r w:rsidR="00821A5F">
        <w:rPr>
          <w:szCs w:val="22"/>
          <w:lang w:val="cs-CZ"/>
        </w:rPr>
        <w:t xml:space="preserve">, </w:t>
      </w:r>
      <w:r w:rsidR="00821A5F" w:rsidRPr="00821A5F">
        <w:rPr>
          <w:szCs w:val="22"/>
          <w:lang w:val="cs-CZ"/>
        </w:rPr>
        <w:t>zvláště v případě narušeného průběhu puerperia</w:t>
      </w:r>
      <w:r w:rsidRPr="00AA1AF1">
        <w:rPr>
          <w:szCs w:val="22"/>
          <w:lang w:val="cs-CZ"/>
        </w:rPr>
        <w:t>. Současná aplikace lidského nebo koňského choriového gonadotropinu může vést k nadměrné stimulaci ovarií.</w:t>
      </w:r>
    </w:p>
    <w:p w:rsidR="00A66107" w:rsidRPr="00AA1AF1" w:rsidRDefault="00A66107" w:rsidP="00A66107">
      <w:pPr>
        <w:ind w:left="28"/>
        <w:rPr>
          <w:szCs w:val="22"/>
          <w:lang w:val="cs-CZ"/>
        </w:rPr>
      </w:pP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A1AF1">
        <w:rPr>
          <w:szCs w:val="22"/>
          <w:u w:val="single"/>
          <w:lang w:val="cs-CZ"/>
        </w:rPr>
        <w:t>Inkompatibility:</w:t>
      </w: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A1AF1">
        <w:rPr>
          <w:szCs w:val="22"/>
          <w:lang w:val="cs-CZ"/>
        </w:rPr>
        <w:t>Studie kompatibility nejsou k dispozici, a proto tento veterinární léčivý přípravek nesmí být mísen s žádnými dalšími veterinárními léčivými přípravky.</w:t>
      </w: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A66107" w:rsidRPr="00AA1AF1" w:rsidRDefault="00A66107" w:rsidP="00A66107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  <w:r w:rsidRPr="00A44E25">
        <w:rPr>
          <w:b/>
          <w:szCs w:val="22"/>
          <w:highlight w:val="lightGray"/>
          <w:lang w:val="cs-CZ"/>
        </w:rPr>
        <w:t>13.</w:t>
      </w:r>
      <w:r w:rsidRPr="00AA1AF1">
        <w:rPr>
          <w:b/>
          <w:szCs w:val="22"/>
          <w:lang w:val="cs-CZ"/>
        </w:rPr>
        <w:tab/>
        <w:t>ZVLÁŠTNÍ OPATŘENÍ PRO ZNEŠKODŇOVÁNÍ NEPOUŽITÝCH PŘÍPRAVKŮ NEBO ODPADU, POKUD JE JICH TŘEBA</w:t>
      </w:r>
    </w:p>
    <w:p w:rsidR="00A66107" w:rsidRPr="00AA1AF1" w:rsidRDefault="00A66107" w:rsidP="00A44E25">
      <w:pPr>
        <w:tabs>
          <w:tab w:val="clear" w:pos="567"/>
        </w:tabs>
        <w:spacing w:before="120" w:line="240" w:lineRule="auto"/>
        <w:rPr>
          <w:i/>
          <w:szCs w:val="22"/>
          <w:lang w:val="cs-CZ"/>
        </w:rPr>
      </w:pPr>
      <w:r w:rsidRPr="00AA1AF1">
        <w:rPr>
          <w:szCs w:val="22"/>
          <w:lang w:val="cs-CZ"/>
        </w:rPr>
        <w:t>Všechen nepoužitý veterinární léčivý přípravek nebo odpad, který pochází z tohoto přípravku, musí být likvidován podle místních právních předpisů.</w:t>
      </w: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A66107" w:rsidRPr="00AA1AF1" w:rsidRDefault="00A66107" w:rsidP="00A66107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A44E25">
        <w:rPr>
          <w:b/>
          <w:szCs w:val="22"/>
          <w:highlight w:val="lightGray"/>
          <w:lang w:val="cs-CZ"/>
        </w:rPr>
        <w:t>14.</w:t>
      </w:r>
      <w:r w:rsidRPr="00AA1AF1">
        <w:rPr>
          <w:b/>
          <w:szCs w:val="22"/>
          <w:lang w:val="cs-CZ"/>
        </w:rPr>
        <w:tab/>
        <w:t>DATUM POSLEDNÍ REVIZE PŘÍBALOVÉ INFORMACE</w:t>
      </w:r>
    </w:p>
    <w:p w:rsidR="00A66107" w:rsidRDefault="008E2EE8" w:rsidP="00A44E25">
      <w:pPr>
        <w:tabs>
          <w:tab w:val="clear" w:pos="567"/>
        </w:tabs>
        <w:spacing w:before="120" w:line="240" w:lineRule="auto"/>
        <w:rPr>
          <w:szCs w:val="22"/>
          <w:lang w:val="cs-CZ"/>
        </w:rPr>
      </w:pPr>
      <w:r>
        <w:rPr>
          <w:szCs w:val="22"/>
          <w:lang w:val="cs-CZ"/>
        </w:rPr>
        <w:t>Duben</w:t>
      </w:r>
      <w:bookmarkStart w:id="0" w:name="_GoBack"/>
      <w:bookmarkEnd w:id="0"/>
      <w:r w:rsidR="001971A2">
        <w:rPr>
          <w:szCs w:val="22"/>
          <w:lang w:val="cs-CZ"/>
        </w:rPr>
        <w:t xml:space="preserve"> 2020</w:t>
      </w:r>
    </w:p>
    <w:p w:rsidR="003542EE" w:rsidRPr="00AA1AF1" w:rsidRDefault="003542EE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A66107" w:rsidRPr="00AA1AF1" w:rsidRDefault="00A66107" w:rsidP="00A66107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A44E25">
        <w:rPr>
          <w:b/>
          <w:szCs w:val="22"/>
          <w:highlight w:val="lightGray"/>
          <w:lang w:val="cs-CZ"/>
        </w:rPr>
        <w:t>15.</w:t>
      </w:r>
      <w:r w:rsidRPr="00AA1AF1">
        <w:rPr>
          <w:b/>
          <w:szCs w:val="22"/>
          <w:lang w:val="cs-CZ"/>
        </w:rPr>
        <w:tab/>
        <w:t>DALŠÍ INFORMACE</w:t>
      </w:r>
    </w:p>
    <w:p w:rsidR="00A66107" w:rsidRPr="002C4535" w:rsidRDefault="00A66107" w:rsidP="00A44E25">
      <w:pPr>
        <w:spacing w:before="120"/>
        <w:rPr>
          <w:lang w:val="cs-CZ"/>
        </w:rPr>
      </w:pPr>
      <w:r w:rsidRPr="002C4535">
        <w:rPr>
          <w:lang w:val="cs-CZ"/>
        </w:rPr>
        <w:t>Pouze pro zvířata.</w:t>
      </w:r>
    </w:p>
    <w:p w:rsidR="00A66107" w:rsidRPr="002C4535" w:rsidRDefault="00A66107" w:rsidP="00A66107">
      <w:pPr>
        <w:rPr>
          <w:lang w:val="cs-CZ"/>
        </w:rPr>
      </w:pPr>
      <w:r w:rsidRPr="002C4535">
        <w:rPr>
          <w:lang w:val="cs-CZ"/>
        </w:rPr>
        <w:t>Veterinární léčivý přípravek je vydáván pouze na předpis.</w:t>
      </w: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A1AF1">
        <w:rPr>
          <w:szCs w:val="22"/>
          <w:lang w:val="cs-CZ"/>
        </w:rPr>
        <w:t xml:space="preserve">1 injekční lahvička (10 ml) v </w:t>
      </w:r>
      <w:r w:rsidR="00F00E4A">
        <w:rPr>
          <w:szCs w:val="22"/>
          <w:lang w:val="cs-CZ"/>
        </w:rPr>
        <w:t>papírové</w:t>
      </w:r>
      <w:r w:rsidR="00F00E4A" w:rsidRPr="00AA1AF1">
        <w:rPr>
          <w:szCs w:val="22"/>
          <w:lang w:val="cs-CZ"/>
        </w:rPr>
        <w:t xml:space="preserve"> </w:t>
      </w:r>
      <w:r w:rsidRPr="00AA1AF1">
        <w:rPr>
          <w:szCs w:val="22"/>
          <w:lang w:val="cs-CZ"/>
        </w:rPr>
        <w:t>krabičce</w:t>
      </w: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A1AF1">
        <w:rPr>
          <w:szCs w:val="22"/>
          <w:lang w:val="cs-CZ"/>
        </w:rPr>
        <w:t xml:space="preserve">1 injekční lahvička (20 ml) v </w:t>
      </w:r>
      <w:r w:rsidR="00F00E4A">
        <w:rPr>
          <w:szCs w:val="22"/>
          <w:lang w:val="cs-CZ"/>
        </w:rPr>
        <w:t>papírové</w:t>
      </w:r>
      <w:r w:rsidRPr="00AA1AF1">
        <w:rPr>
          <w:szCs w:val="22"/>
          <w:lang w:val="cs-CZ"/>
        </w:rPr>
        <w:t xml:space="preserve"> krabičce</w:t>
      </w: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A1AF1">
        <w:rPr>
          <w:szCs w:val="22"/>
          <w:lang w:val="cs-CZ"/>
        </w:rPr>
        <w:t xml:space="preserve">1 injekční lahvička (50 ml) v </w:t>
      </w:r>
      <w:r w:rsidR="00F00E4A">
        <w:rPr>
          <w:szCs w:val="22"/>
          <w:lang w:val="cs-CZ"/>
        </w:rPr>
        <w:t>papírové</w:t>
      </w:r>
      <w:r w:rsidRPr="00AA1AF1">
        <w:rPr>
          <w:szCs w:val="22"/>
          <w:lang w:val="cs-CZ"/>
        </w:rPr>
        <w:t xml:space="preserve"> krabičce</w:t>
      </w: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A66107" w:rsidRPr="00AA1AF1" w:rsidRDefault="00A66107" w:rsidP="00A6610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A1AF1">
        <w:rPr>
          <w:szCs w:val="22"/>
          <w:lang w:val="cs-CZ"/>
        </w:rPr>
        <w:t>Na trhu nemusí být všechny velikosti balení.</w:t>
      </w:r>
    </w:p>
    <w:p w:rsidR="005565CA" w:rsidRPr="002D6A13" w:rsidRDefault="005565CA">
      <w:pPr>
        <w:rPr>
          <w:lang w:val="cs-CZ"/>
        </w:rPr>
      </w:pPr>
    </w:p>
    <w:sectPr w:rsidR="005565CA" w:rsidRPr="002D6A13" w:rsidSect="002550C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346" w:rsidRDefault="000C4346" w:rsidP="00BC0C0D">
      <w:pPr>
        <w:spacing w:line="240" w:lineRule="auto"/>
      </w:pPr>
      <w:r>
        <w:separator/>
      </w:r>
    </w:p>
  </w:endnote>
  <w:endnote w:type="continuationSeparator" w:id="0">
    <w:p w:rsidR="000C4346" w:rsidRDefault="000C4346" w:rsidP="00BC0C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346" w:rsidRDefault="000C4346" w:rsidP="00BC0C0D">
      <w:pPr>
        <w:spacing w:line="240" w:lineRule="auto"/>
      </w:pPr>
      <w:r>
        <w:separator/>
      </w:r>
    </w:p>
  </w:footnote>
  <w:footnote w:type="continuationSeparator" w:id="0">
    <w:p w:rsidR="000C4346" w:rsidRDefault="000C4346" w:rsidP="00BC0C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46" w:rsidRDefault="004A1C46" w:rsidP="004A1C46">
    <w:pPr>
      <w:pStyle w:val="Zhlav"/>
    </w:pPr>
    <w:r>
      <w:t xml:space="preserve">    </w:t>
    </w:r>
  </w:p>
  <w:p w:rsidR="00BC0C0D" w:rsidRPr="00BC0C0D" w:rsidRDefault="00BC0C0D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060E"/>
    <w:multiLevelType w:val="hybridMultilevel"/>
    <w:tmpl w:val="E988C070"/>
    <w:lvl w:ilvl="0" w:tplc="A0F6A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B1EE0"/>
    <w:multiLevelType w:val="hybridMultilevel"/>
    <w:tmpl w:val="8C480876"/>
    <w:lvl w:ilvl="0" w:tplc="A0F6A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813A0"/>
    <w:multiLevelType w:val="hybridMultilevel"/>
    <w:tmpl w:val="32822AFC"/>
    <w:lvl w:ilvl="0" w:tplc="44303B8E">
      <w:start w:val="4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rk, Holger - Veyx-Pharma GmbH">
    <w15:presenceInfo w15:providerId="AD" w15:userId="S-1-5-21-1844237615-1085031214-725345543-12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107"/>
    <w:rsid w:val="0000222B"/>
    <w:rsid w:val="000518B0"/>
    <w:rsid w:val="000A5D24"/>
    <w:rsid w:val="000C4346"/>
    <w:rsid w:val="001971A2"/>
    <w:rsid w:val="001E4311"/>
    <w:rsid w:val="002550C8"/>
    <w:rsid w:val="00295414"/>
    <w:rsid w:val="002D6A13"/>
    <w:rsid w:val="002F0949"/>
    <w:rsid w:val="003542EE"/>
    <w:rsid w:val="003B03E3"/>
    <w:rsid w:val="003C3AAA"/>
    <w:rsid w:val="004A1C46"/>
    <w:rsid w:val="005565CA"/>
    <w:rsid w:val="006355B9"/>
    <w:rsid w:val="00664541"/>
    <w:rsid w:val="006A70E3"/>
    <w:rsid w:val="006D1A3D"/>
    <w:rsid w:val="00715115"/>
    <w:rsid w:val="00791771"/>
    <w:rsid w:val="00794DFB"/>
    <w:rsid w:val="007D34C4"/>
    <w:rsid w:val="00821A5F"/>
    <w:rsid w:val="00822889"/>
    <w:rsid w:val="00834FFF"/>
    <w:rsid w:val="0088415F"/>
    <w:rsid w:val="008B14E1"/>
    <w:rsid w:val="008E2EE8"/>
    <w:rsid w:val="009B0FE7"/>
    <w:rsid w:val="009D661C"/>
    <w:rsid w:val="00A44E25"/>
    <w:rsid w:val="00A66107"/>
    <w:rsid w:val="00AB1A2E"/>
    <w:rsid w:val="00B75634"/>
    <w:rsid w:val="00BC0C0D"/>
    <w:rsid w:val="00C058FA"/>
    <w:rsid w:val="00CA4DA9"/>
    <w:rsid w:val="00CB698E"/>
    <w:rsid w:val="00D82DF8"/>
    <w:rsid w:val="00DF047D"/>
    <w:rsid w:val="00E47DA2"/>
    <w:rsid w:val="00E5430D"/>
    <w:rsid w:val="00E54CB7"/>
    <w:rsid w:val="00ED3029"/>
    <w:rsid w:val="00F00E4A"/>
    <w:rsid w:val="00F05586"/>
    <w:rsid w:val="00FE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6107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6107"/>
    <w:pPr>
      <w:tabs>
        <w:tab w:val="clear" w:pos="567"/>
      </w:tabs>
      <w:spacing w:line="240" w:lineRule="auto"/>
      <w:ind w:left="720"/>
      <w:contextualSpacing/>
    </w:pPr>
    <w:rPr>
      <w:rFonts w:ascii="Arial" w:hAnsi="Arial" w:cs="Arial"/>
      <w:szCs w:val="24"/>
      <w:lang w:val="de-DE" w:eastAsia="de-DE"/>
    </w:rPr>
  </w:style>
  <w:style w:type="character" w:customStyle="1" w:styleId="hps">
    <w:name w:val="hps"/>
    <w:rsid w:val="00A66107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BC0C0D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0C0D"/>
    <w:rPr>
      <w:rFonts w:ascii="Times New Roman" w:eastAsia="Times New Roman" w:hAnsi="Times New Roman" w:cs="Times New Roman"/>
      <w:szCs w:val="20"/>
      <w:lang w:val="en-GB"/>
    </w:rPr>
  </w:style>
  <w:style w:type="paragraph" w:styleId="Zpat">
    <w:name w:val="footer"/>
    <w:basedOn w:val="Normln"/>
    <w:link w:val="ZpatChar"/>
    <w:uiPriority w:val="99"/>
    <w:unhideWhenUsed/>
    <w:rsid w:val="00BC0C0D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0C0D"/>
    <w:rPr>
      <w:rFonts w:ascii="Times New Roman" w:eastAsia="Times New Roman" w:hAnsi="Times New Roman" w:cs="Times New Roman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A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A13"/>
    <w:rPr>
      <w:rFonts w:ascii="Tahoma" w:eastAsia="Times New Roman" w:hAnsi="Tahoma" w:cs="Tahoma"/>
      <w:sz w:val="16"/>
      <w:szCs w:val="16"/>
      <w:lang w:val="en-GB"/>
    </w:rPr>
  </w:style>
  <w:style w:type="character" w:styleId="Hypertextovodkaz">
    <w:name w:val="Hyperlink"/>
    <w:unhideWhenUsed/>
    <w:rsid w:val="006355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1273</Words>
  <Characters>7516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Wojtylová Jana</dc:creator>
  <cp:lastModifiedBy>Neugebauerová Kateřina</cp:lastModifiedBy>
  <cp:revision>21</cp:revision>
  <dcterms:created xsi:type="dcterms:W3CDTF">2015-03-30T09:44:00Z</dcterms:created>
  <dcterms:modified xsi:type="dcterms:W3CDTF">2020-04-03T09:54:00Z</dcterms:modified>
</cp:coreProperties>
</file>