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829" w:rsidRDefault="00990829" w:rsidP="00990829">
      <w:pPr>
        <w:jc w:val="center"/>
        <w:rPr>
          <w:b/>
          <w:szCs w:val="22"/>
        </w:rPr>
      </w:pPr>
      <w:bookmarkStart w:id="0" w:name="_GoBack"/>
      <w:bookmarkEnd w:id="0"/>
    </w:p>
    <w:p w:rsidR="00990829" w:rsidRDefault="00990829" w:rsidP="00990829">
      <w:pPr>
        <w:jc w:val="center"/>
        <w:rPr>
          <w:b/>
          <w:szCs w:val="22"/>
        </w:rPr>
      </w:pPr>
    </w:p>
    <w:p w:rsidR="00990829" w:rsidRDefault="00990829" w:rsidP="00990829">
      <w:pPr>
        <w:jc w:val="center"/>
        <w:rPr>
          <w:b/>
          <w:szCs w:val="22"/>
        </w:rPr>
      </w:pPr>
    </w:p>
    <w:p w:rsidR="00990829" w:rsidRDefault="00990829" w:rsidP="00990829">
      <w:pPr>
        <w:jc w:val="center"/>
        <w:rPr>
          <w:b/>
          <w:szCs w:val="22"/>
        </w:rPr>
      </w:pPr>
    </w:p>
    <w:p w:rsidR="00990829" w:rsidRDefault="00990829" w:rsidP="00990829">
      <w:pPr>
        <w:jc w:val="center"/>
        <w:rPr>
          <w:b/>
          <w:szCs w:val="22"/>
        </w:rPr>
      </w:pPr>
    </w:p>
    <w:p w:rsidR="00990829" w:rsidRDefault="00990829" w:rsidP="00990829">
      <w:pPr>
        <w:jc w:val="center"/>
        <w:rPr>
          <w:b/>
          <w:szCs w:val="22"/>
        </w:rPr>
      </w:pPr>
    </w:p>
    <w:p w:rsidR="00990829" w:rsidRDefault="00990829" w:rsidP="00990829">
      <w:pPr>
        <w:jc w:val="center"/>
        <w:rPr>
          <w:b/>
          <w:szCs w:val="22"/>
        </w:rPr>
      </w:pPr>
    </w:p>
    <w:p w:rsidR="00990829" w:rsidRDefault="00990829" w:rsidP="00990829">
      <w:pPr>
        <w:jc w:val="center"/>
        <w:rPr>
          <w:b/>
          <w:szCs w:val="22"/>
        </w:rPr>
      </w:pPr>
    </w:p>
    <w:p w:rsidR="00990829" w:rsidRDefault="00990829" w:rsidP="00990829">
      <w:pPr>
        <w:jc w:val="center"/>
        <w:rPr>
          <w:b/>
          <w:szCs w:val="22"/>
        </w:rPr>
      </w:pPr>
    </w:p>
    <w:p w:rsidR="00990829" w:rsidRDefault="00990829" w:rsidP="00990829">
      <w:pPr>
        <w:jc w:val="center"/>
        <w:rPr>
          <w:b/>
          <w:szCs w:val="22"/>
        </w:rPr>
      </w:pPr>
    </w:p>
    <w:p w:rsidR="00990829" w:rsidRDefault="00990829" w:rsidP="00990829">
      <w:pPr>
        <w:jc w:val="center"/>
        <w:rPr>
          <w:b/>
          <w:szCs w:val="22"/>
        </w:rPr>
      </w:pPr>
    </w:p>
    <w:p w:rsidR="00990829" w:rsidRDefault="00990829" w:rsidP="00990829">
      <w:pPr>
        <w:jc w:val="center"/>
        <w:rPr>
          <w:b/>
          <w:szCs w:val="22"/>
        </w:rPr>
      </w:pPr>
    </w:p>
    <w:p w:rsidR="00990829" w:rsidRDefault="00990829" w:rsidP="00990829">
      <w:pPr>
        <w:jc w:val="center"/>
        <w:rPr>
          <w:b/>
          <w:szCs w:val="22"/>
        </w:rPr>
      </w:pPr>
    </w:p>
    <w:p w:rsidR="00990829" w:rsidRDefault="00990829" w:rsidP="00990829">
      <w:pPr>
        <w:jc w:val="center"/>
        <w:rPr>
          <w:b/>
          <w:szCs w:val="22"/>
        </w:rPr>
      </w:pPr>
    </w:p>
    <w:p w:rsidR="00990829" w:rsidRDefault="00990829" w:rsidP="00990829">
      <w:pPr>
        <w:jc w:val="center"/>
        <w:rPr>
          <w:b/>
          <w:szCs w:val="22"/>
        </w:rPr>
      </w:pPr>
    </w:p>
    <w:p w:rsidR="00990829" w:rsidRDefault="00990829" w:rsidP="00990829">
      <w:pPr>
        <w:jc w:val="center"/>
        <w:rPr>
          <w:b/>
          <w:szCs w:val="22"/>
        </w:rPr>
      </w:pPr>
    </w:p>
    <w:p w:rsidR="00990829" w:rsidRDefault="00990829" w:rsidP="00990829">
      <w:pPr>
        <w:jc w:val="center"/>
        <w:rPr>
          <w:b/>
          <w:szCs w:val="22"/>
        </w:rPr>
      </w:pPr>
    </w:p>
    <w:p w:rsidR="00990829" w:rsidRDefault="00990829" w:rsidP="00990829">
      <w:pPr>
        <w:jc w:val="center"/>
        <w:rPr>
          <w:b/>
          <w:szCs w:val="22"/>
        </w:rPr>
      </w:pPr>
    </w:p>
    <w:p w:rsidR="00990829" w:rsidRDefault="00990829" w:rsidP="00990829">
      <w:pPr>
        <w:jc w:val="center"/>
        <w:rPr>
          <w:b/>
          <w:szCs w:val="22"/>
        </w:rPr>
      </w:pPr>
    </w:p>
    <w:p w:rsidR="00990829" w:rsidRDefault="00990829" w:rsidP="00990829">
      <w:pPr>
        <w:jc w:val="center"/>
        <w:rPr>
          <w:b/>
          <w:szCs w:val="22"/>
        </w:rPr>
      </w:pPr>
    </w:p>
    <w:p w:rsidR="00990829" w:rsidRDefault="00990829" w:rsidP="00990829">
      <w:pPr>
        <w:jc w:val="center"/>
        <w:rPr>
          <w:b/>
          <w:szCs w:val="22"/>
        </w:rPr>
      </w:pPr>
    </w:p>
    <w:p w:rsidR="00990829" w:rsidRDefault="00990829" w:rsidP="00990829">
      <w:pPr>
        <w:jc w:val="center"/>
        <w:rPr>
          <w:b/>
          <w:szCs w:val="22"/>
        </w:rPr>
      </w:pPr>
    </w:p>
    <w:p w:rsidR="00990829" w:rsidRDefault="00990829" w:rsidP="00990829">
      <w:pPr>
        <w:jc w:val="center"/>
        <w:rPr>
          <w:b/>
          <w:szCs w:val="22"/>
        </w:rPr>
      </w:pPr>
    </w:p>
    <w:p w:rsidR="00990829" w:rsidRDefault="00990829" w:rsidP="00990829">
      <w:pPr>
        <w:jc w:val="center"/>
        <w:rPr>
          <w:b/>
          <w:szCs w:val="22"/>
        </w:rPr>
      </w:pPr>
      <w:r>
        <w:rPr>
          <w:b/>
          <w:szCs w:val="22"/>
        </w:rPr>
        <w:t>PŘÍLOHA I</w:t>
      </w:r>
    </w:p>
    <w:p w:rsidR="00990829" w:rsidRDefault="00990829" w:rsidP="00990829">
      <w:pPr>
        <w:jc w:val="center"/>
        <w:rPr>
          <w:b/>
          <w:szCs w:val="22"/>
        </w:rPr>
      </w:pPr>
    </w:p>
    <w:p w:rsidR="00990829" w:rsidRDefault="00990829" w:rsidP="00990829">
      <w:pPr>
        <w:jc w:val="center"/>
        <w:rPr>
          <w:b/>
          <w:szCs w:val="22"/>
        </w:rPr>
      </w:pPr>
      <w:r>
        <w:rPr>
          <w:b/>
          <w:szCs w:val="22"/>
        </w:rPr>
        <w:t>SOUHRN ÚDAJŮ O PŘÍPRAVKU</w:t>
      </w:r>
    </w:p>
    <w:p w:rsidR="00990829" w:rsidRDefault="00990829" w:rsidP="00990829">
      <w:pPr>
        <w:jc w:val="center"/>
        <w:rPr>
          <w:szCs w:val="22"/>
        </w:rPr>
      </w:pPr>
    </w:p>
    <w:p w:rsidR="00990829" w:rsidRDefault="00990829" w:rsidP="00990829">
      <w:pPr>
        <w:rPr>
          <w:szCs w:val="22"/>
        </w:rPr>
      </w:pPr>
      <w:r>
        <w:rPr>
          <w:szCs w:val="22"/>
        </w:rPr>
        <w:br w:type="page"/>
      </w:r>
      <w:r>
        <w:rPr>
          <w:b/>
          <w:szCs w:val="22"/>
        </w:rPr>
        <w:lastRenderedPageBreak/>
        <w:t>1.</w:t>
      </w:r>
      <w:r>
        <w:rPr>
          <w:b/>
          <w:szCs w:val="22"/>
        </w:rPr>
        <w:tab/>
        <w:t>NÁZEV VETERINÁRNÍHO LÉČIVÉHO PŘÍPRAVKU</w:t>
      </w:r>
    </w:p>
    <w:p w:rsidR="00990829" w:rsidRDefault="00990829" w:rsidP="00990829">
      <w:pPr>
        <w:rPr>
          <w:szCs w:val="22"/>
        </w:rPr>
      </w:pPr>
    </w:p>
    <w:p w:rsidR="00990829" w:rsidRDefault="00990829" w:rsidP="00990829">
      <w:pPr>
        <w:rPr>
          <w:szCs w:val="22"/>
        </w:rPr>
      </w:pPr>
      <w:bookmarkStart w:id="1" w:name="_Hlk47601661"/>
      <w:r>
        <w:rPr>
          <w:szCs w:val="22"/>
        </w:rPr>
        <w:t>PRAZIMEX 46,9 mg/ml injekční roztok</w:t>
      </w:r>
    </w:p>
    <w:bookmarkEnd w:id="1"/>
    <w:p w:rsidR="00990829" w:rsidRDefault="00990829" w:rsidP="00990829">
      <w:pPr>
        <w:rPr>
          <w:szCs w:val="22"/>
        </w:rPr>
      </w:pPr>
    </w:p>
    <w:p w:rsidR="00990829" w:rsidRDefault="00990829" w:rsidP="00990829">
      <w:pPr>
        <w:rPr>
          <w:szCs w:val="22"/>
        </w:rPr>
      </w:pPr>
      <w:r>
        <w:rPr>
          <w:b/>
          <w:szCs w:val="22"/>
        </w:rPr>
        <w:t>2.</w:t>
      </w:r>
      <w:r>
        <w:rPr>
          <w:b/>
          <w:szCs w:val="22"/>
        </w:rPr>
        <w:tab/>
        <w:t>KVALITATIVNÍ A KVANTITATIVNÍ SLOŽENÍ</w:t>
      </w:r>
    </w:p>
    <w:p w:rsidR="00990829" w:rsidRDefault="00990829" w:rsidP="00990829">
      <w:pPr>
        <w:rPr>
          <w:szCs w:val="22"/>
        </w:rPr>
      </w:pPr>
    </w:p>
    <w:p w:rsidR="00990829" w:rsidRDefault="00990829" w:rsidP="00990829">
      <w:pPr>
        <w:rPr>
          <w:bCs/>
          <w:szCs w:val="22"/>
        </w:rPr>
      </w:pPr>
      <w:bookmarkStart w:id="2" w:name="_Hlk47601716"/>
      <w:r>
        <w:rPr>
          <w:bCs/>
          <w:szCs w:val="22"/>
        </w:rPr>
        <w:t>1 ml obsahuje:</w:t>
      </w:r>
    </w:p>
    <w:p w:rsidR="00990829" w:rsidRDefault="00990829" w:rsidP="00990829">
      <w:pPr>
        <w:rPr>
          <w:bCs/>
          <w:szCs w:val="22"/>
        </w:rPr>
      </w:pPr>
      <w:r>
        <w:rPr>
          <w:b/>
          <w:szCs w:val="22"/>
        </w:rPr>
        <w:t>Léčivá(é) látka(y):</w:t>
      </w:r>
      <w:r>
        <w:rPr>
          <w:bCs/>
          <w:szCs w:val="22"/>
        </w:rPr>
        <w:t xml:space="preserve">  </w:t>
      </w:r>
    </w:p>
    <w:p w:rsidR="00990829" w:rsidRDefault="00990829" w:rsidP="00990829">
      <w:pPr>
        <w:rPr>
          <w:bCs/>
          <w:szCs w:val="22"/>
        </w:rPr>
      </w:pPr>
      <w:bookmarkStart w:id="3" w:name="_Hlk47601693"/>
      <w:proofErr w:type="spellStart"/>
      <w:r>
        <w:rPr>
          <w:bCs/>
          <w:szCs w:val="22"/>
        </w:rPr>
        <w:t>Praziquantelum</w:t>
      </w:r>
      <w:bookmarkEnd w:id="3"/>
      <w:proofErr w:type="spellEnd"/>
      <w:r>
        <w:rPr>
          <w:bCs/>
          <w:szCs w:val="22"/>
        </w:rPr>
        <w:t xml:space="preserve"> 46,9 mg  </w:t>
      </w:r>
    </w:p>
    <w:bookmarkEnd w:id="2"/>
    <w:p w:rsidR="00990829" w:rsidRDefault="00990829" w:rsidP="00990829">
      <w:pPr>
        <w:rPr>
          <w:szCs w:val="22"/>
        </w:rPr>
      </w:pPr>
    </w:p>
    <w:p w:rsidR="00990829" w:rsidRDefault="00990829" w:rsidP="00990829">
      <w:pPr>
        <w:rPr>
          <w:szCs w:val="22"/>
        </w:rPr>
      </w:pPr>
      <w:r>
        <w:rPr>
          <w:szCs w:val="22"/>
        </w:rPr>
        <w:t>Úplný seznam pomocných látek viz bod 6.1.</w:t>
      </w:r>
    </w:p>
    <w:p w:rsidR="00990829" w:rsidRDefault="00990829" w:rsidP="00990829">
      <w:pPr>
        <w:rPr>
          <w:szCs w:val="22"/>
        </w:rPr>
      </w:pPr>
    </w:p>
    <w:p w:rsidR="00990829" w:rsidRDefault="00990829" w:rsidP="00990829">
      <w:pPr>
        <w:rPr>
          <w:szCs w:val="22"/>
        </w:rPr>
      </w:pPr>
      <w:r>
        <w:rPr>
          <w:b/>
          <w:szCs w:val="22"/>
        </w:rPr>
        <w:t>3.</w:t>
      </w:r>
      <w:r>
        <w:rPr>
          <w:b/>
          <w:szCs w:val="22"/>
        </w:rPr>
        <w:tab/>
        <w:t>LÉKOVÁ FORMA</w:t>
      </w:r>
    </w:p>
    <w:p w:rsidR="00990829" w:rsidRDefault="00990829" w:rsidP="00990829">
      <w:pPr>
        <w:rPr>
          <w:szCs w:val="22"/>
        </w:rPr>
      </w:pPr>
    </w:p>
    <w:p w:rsidR="00990829" w:rsidRDefault="00990829" w:rsidP="00990829">
      <w:pPr>
        <w:rPr>
          <w:szCs w:val="22"/>
        </w:rPr>
      </w:pPr>
      <w:r>
        <w:rPr>
          <w:szCs w:val="22"/>
        </w:rPr>
        <w:t>Injekční roztok.</w:t>
      </w:r>
    </w:p>
    <w:p w:rsidR="00990829" w:rsidRDefault="00990829" w:rsidP="00990829">
      <w:pPr>
        <w:rPr>
          <w:szCs w:val="22"/>
        </w:rPr>
      </w:pPr>
      <w:r>
        <w:rPr>
          <w:szCs w:val="22"/>
        </w:rPr>
        <w:t>Čirý bezbarvý roztok.</w:t>
      </w:r>
    </w:p>
    <w:p w:rsidR="00990829" w:rsidRDefault="00990829" w:rsidP="00990829">
      <w:pPr>
        <w:rPr>
          <w:szCs w:val="22"/>
        </w:rPr>
      </w:pPr>
    </w:p>
    <w:p w:rsidR="00990829" w:rsidRDefault="00990829" w:rsidP="00990829">
      <w:pPr>
        <w:rPr>
          <w:szCs w:val="22"/>
        </w:rPr>
      </w:pPr>
      <w:r>
        <w:rPr>
          <w:b/>
          <w:szCs w:val="22"/>
        </w:rPr>
        <w:t>4.</w:t>
      </w:r>
      <w:r>
        <w:rPr>
          <w:b/>
          <w:szCs w:val="22"/>
        </w:rPr>
        <w:tab/>
        <w:t>KLINICKÉ ÚDAJE</w:t>
      </w:r>
    </w:p>
    <w:p w:rsidR="00990829" w:rsidRDefault="00990829" w:rsidP="00990829">
      <w:pPr>
        <w:rPr>
          <w:szCs w:val="22"/>
        </w:rPr>
      </w:pPr>
    </w:p>
    <w:p w:rsidR="00990829" w:rsidRDefault="00990829" w:rsidP="00990829">
      <w:pPr>
        <w:rPr>
          <w:szCs w:val="22"/>
        </w:rPr>
      </w:pPr>
      <w:r>
        <w:rPr>
          <w:b/>
          <w:szCs w:val="22"/>
        </w:rPr>
        <w:t>4.1</w:t>
      </w:r>
      <w:r>
        <w:rPr>
          <w:b/>
          <w:szCs w:val="22"/>
        </w:rPr>
        <w:tab/>
        <w:t>Cílové druhy zvířat</w:t>
      </w:r>
    </w:p>
    <w:p w:rsidR="00990829" w:rsidRDefault="00990829" w:rsidP="00990829">
      <w:pPr>
        <w:rPr>
          <w:szCs w:val="22"/>
        </w:rPr>
      </w:pPr>
    </w:p>
    <w:p w:rsidR="00990829" w:rsidRDefault="00990829" w:rsidP="00990829">
      <w:pPr>
        <w:rPr>
          <w:szCs w:val="22"/>
        </w:rPr>
      </w:pPr>
      <w:bookmarkStart w:id="4" w:name="_Hlk47601880"/>
      <w:r>
        <w:rPr>
          <w:szCs w:val="22"/>
        </w:rPr>
        <w:t>Ovce</w:t>
      </w:r>
    </w:p>
    <w:bookmarkEnd w:id="4"/>
    <w:p w:rsidR="00990829" w:rsidRDefault="00990829" w:rsidP="00990829">
      <w:pPr>
        <w:rPr>
          <w:szCs w:val="22"/>
        </w:rPr>
      </w:pPr>
    </w:p>
    <w:p w:rsidR="00990829" w:rsidRDefault="00990829" w:rsidP="00990829">
      <w:pPr>
        <w:rPr>
          <w:szCs w:val="22"/>
        </w:rPr>
      </w:pPr>
      <w:r>
        <w:rPr>
          <w:b/>
          <w:szCs w:val="22"/>
        </w:rPr>
        <w:t>4.2</w:t>
      </w:r>
      <w:r>
        <w:rPr>
          <w:b/>
          <w:szCs w:val="22"/>
        </w:rPr>
        <w:tab/>
        <w:t xml:space="preserve">Indikace s upřesněním pro cílový druh zvířat </w:t>
      </w:r>
    </w:p>
    <w:p w:rsidR="00990829" w:rsidRDefault="00990829" w:rsidP="00990829">
      <w:pPr>
        <w:rPr>
          <w:szCs w:val="22"/>
        </w:rPr>
      </w:pPr>
    </w:p>
    <w:p w:rsidR="00990829" w:rsidRDefault="00990829" w:rsidP="00990829">
      <w:pPr>
        <w:rPr>
          <w:bCs/>
          <w:szCs w:val="22"/>
        </w:rPr>
      </w:pPr>
      <w:bookmarkStart w:id="5" w:name="_Hlk47601740"/>
      <w:r>
        <w:rPr>
          <w:bCs/>
          <w:szCs w:val="22"/>
        </w:rPr>
        <w:t xml:space="preserve">Léčba parazitárního onemocnění ovcí vyvolaného následujícími organismy citlivými </w:t>
      </w:r>
    </w:p>
    <w:p w:rsidR="00990829" w:rsidRDefault="00990829" w:rsidP="00990829">
      <w:pPr>
        <w:rPr>
          <w:bCs/>
          <w:szCs w:val="22"/>
        </w:rPr>
      </w:pPr>
      <w:r>
        <w:rPr>
          <w:bCs/>
          <w:szCs w:val="22"/>
        </w:rPr>
        <w:t>k léčivé látce přípravku:</w:t>
      </w:r>
    </w:p>
    <w:p w:rsidR="00990829" w:rsidRDefault="00990829" w:rsidP="00990829">
      <w:pPr>
        <w:rPr>
          <w:bCs/>
          <w:i/>
          <w:iCs/>
          <w:szCs w:val="22"/>
        </w:rPr>
      </w:pPr>
      <w:r>
        <w:rPr>
          <w:bCs/>
          <w:szCs w:val="22"/>
          <w:u w:val="single"/>
        </w:rPr>
        <w:t>Tasemnice:</w:t>
      </w:r>
      <w:r>
        <w:rPr>
          <w:b/>
          <w:szCs w:val="22"/>
        </w:rPr>
        <w:t xml:space="preserve"> </w:t>
      </w:r>
      <w:proofErr w:type="spellStart"/>
      <w:r>
        <w:rPr>
          <w:bCs/>
          <w:i/>
          <w:iCs/>
          <w:szCs w:val="22"/>
        </w:rPr>
        <w:t>Moniezia</w:t>
      </w:r>
      <w:proofErr w:type="spellEnd"/>
      <w:r>
        <w:rPr>
          <w:bCs/>
          <w:i/>
          <w:iCs/>
          <w:szCs w:val="22"/>
        </w:rPr>
        <w:t xml:space="preserve"> </w:t>
      </w:r>
      <w:proofErr w:type="spellStart"/>
      <w:r>
        <w:rPr>
          <w:bCs/>
          <w:i/>
          <w:iCs/>
          <w:szCs w:val="22"/>
        </w:rPr>
        <w:t>expansa</w:t>
      </w:r>
      <w:bookmarkEnd w:id="5"/>
      <w:proofErr w:type="spellEnd"/>
      <w:r>
        <w:rPr>
          <w:bCs/>
          <w:i/>
          <w:iCs/>
          <w:szCs w:val="22"/>
        </w:rPr>
        <w:t>.</w:t>
      </w:r>
    </w:p>
    <w:p w:rsidR="00990829" w:rsidRDefault="00990829" w:rsidP="00990829">
      <w:pPr>
        <w:rPr>
          <w:szCs w:val="22"/>
        </w:rPr>
      </w:pPr>
    </w:p>
    <w:p w:rsidR="00990829" w:rsidRDefault="00990829" w:rsidP="00990829">
      <w:pPr>
        <w:rPr>
          <w:szCs w:val="22"/>
        </w:rPr>
      </w:pPr>
      <w:r>
        <w:rPr>
          <w:b/>
          <w:szCs w:val="22"/>
        </w:rPr>
        <w:t>4.3</w:t>
      </w:r>
      <w:r>
        <w:rPr>
          <w:b/>
          <w:szCs w:val="22"/>
        </w:rPr>
        <w:tab/>
        <w:t>Kontraindikace</w:t>
      </w:r>
    </w:p>
    <w:p w:rsidR="00990829" w:rsidRDefault="00990829" w:rsidP="00990829">
      <w:pPr>
        <w:rPr>
          <w:szCs w:val="22"/>
        </w:rPr>
      </w:pPr>
    </w:p>
    <w:p w:rsidR="00990829" w:rsidRDefault="00990829" w:rsidP="00990829">
      <w:pPr>
        <w:autoSpaceDE w:val="0"/>
        <w:autoSpaceDN w:val="0"/>
        <w:adjustRightInd w:val="0"/>
        <w:rPr>
          <w:rFonts w:eastAsia="SimSun"/>
          <w:szCs w:val="22"/>
          <w:lang w:eastAsia="zh-CN"/>
        </w:rPr>
      </w:pPr>
      <w:bookmarkStart w:id="6" w:name="_Hlk47601771"/>
      <w:r>
        <w:rPr>
          <w:rFonts w:eastAsia="SimSun"/>
          <w:szCs w:val="22"/>
          <w:lang w:eastAsia="zh-CN"/>
        </w:rPr>
        <w:t>Nepoužívat v případech přecitlivělosti na léčivou látku nebo na některou z pomocných látek.</w:t>
      </w:r>
    </w:p>
    <w:p w:rsidR="00990829" w:rsidRDefault="00990829" w:rsidP="00990829">
      <w:pPr>
        <w:autoSpaceDE w:val="0"/>
        <w:autoSpaceDN w:val="0"/>
        <w:adjustRightInd w:val="0"/>
        <w:rPr>
          <w:szCs w:val="22"/>
          <w:lang w:eastAsia="en-US"/>
        </w:rPr>
      </w:pPr>
      <w:r>
        <w:rPr>
          <w:szCs w:val="22"/>
        </w:rPr>
        <w:t>Nepoužívat u zvířat, která byla ošetřena organofosfáty 14 dnů před nebo po ošetření</w:t>
      </w:r>
      <w:bookmarkEnd w:id="6"/>
      <w:r>
        <w:rPr>
          <w:szCs w:val="22"/>
        </w:rPr>
        <w:t xml:space="preserve">. </w:t>
      </w:r>
    </w:p>
    <w:p w:rsidR="00990829" w:rsidRDefault="00990829" w:rsidP="00990829">
      <w:pPr>
        <w:autoSpaceDE w:val="0"/>
        <w:autoSpaceDN w:val="0"/>
        <w:adjustRightInd w:val="0"/>
        <w:rPr>
          <w:bCs/>
          <w:szCs w:val="22"/>
        </w:rPr>
      </w:pPr>
    </w:p>
    <w:p w:rsidR="00990829" w:rsidRDefault="00990829" w:rsidP="00990829">
      <w:pPr>
        <w:rPr>
          <w:b/>
          <w:szCs w:val="22"/>
        </w:rPr>
      </w:pPr>
      <w:r>
        <w:rPr>
          <w:b/>
          <w:szCs w:val="22"/>
        </w:rPr>
        <w:t>4.4</w:t>
      </w:r>
      <w:r>
        <w:rPr>
          <w:b/>
          <w:szCs w:val="22"/>
        </w:rPr>
        <w:tab/>
        <w:t>Zvláštní upozornění pro každý cílový druh</w:t>
      </w:r>
    </w:p>
    <w:p w:rsidR="00990829" w:rsidRDefault="00990829" w:rsidP="00990829">
      <w:pPr>
        <w:jc w:val="both"/>
        <w:rPr>
          <w:szCs w:val="22"/>
        </w:rPr>
      </w:pPr>
      <w:bookmarkStart w:id="7" w:name="_Hlk47533656"/>
    </w:p>
    <w:p w:rsidR="00990829" w:rsidRDefault="00990829" w:rsidP="00990829">
      <w:pPr>
        <w:rPr>
          <w:szCs w:val="22"/>
        </w:rPr>
      </w:pPr>
      <w:bookmarkStart w:id="8" w:name="_Hlk47602184"/>
      <w:r>
        <w:rPr>
          <w:szCs w:val="22"/>
        </w:rPr>
        <w:t xml:space="preserve">Je třeba vyhnout se následujícím postupům, poněvadž zvyšují riziko vzniku rezistence a mohly by </w:t>
      </w:r>
    </w:p>
    <w:p w:rsidR="00990829" w:rsidRDefault="00990829" w:rsidP="00990829">
      <w:pPr>
        <w:rPr>
          <w:szCs w:val="22"/>
        </w:rPr>
      </w:pPr>
      <w:r>
        <w:rPr>
          <w:szCs w:val="22"/>
        </w:rPr>
        <w:t>v konečném důsledku vést k neúčinné terapii:</w:t>
      </w:r>
    </w:p>
    <w:p w:rsidR="00990829" w:rsidRDefault="00990829" w:rsidP="00990829">
      <w:pPr>
        <w:rPr>
          <w:szCs w:val="22"/>
        </w:rPr>
      </w:pPr>
      <w:r>
        <w:rPr>
          <w:szCs w:val="22"/>
        </w:rPr>
        <w:t>•</w:t>
      </w:r>
      <w:r>
        <w:rPr>
          <w:szCs w:val="22"/>
        </w:rPr>
        <w:tab/>
        <w:t xml:space="preserve">příliš častému a opakujícímu se používání </w:t>
      </w:r>
      <w:proofErr w:type="spellStart"/>
      <w:r>
        <w:rPr>
          <w:szCs w:val="22"/>
        </w:rPr>
        <w:t>anthelmentik</w:t>
      </w:r>
      <w:proofErr w:type="spellEnd"/>
      <w:r>
        <w:rPr>
          <w:szCs w:val="22"/>
        </w:rPr>
        <w:t xml:space="preserve"> ze stejné skupiny, příliš dlouhé době </w:t>
      </w:r>
      <w:r>
        <w:rPr>
          <w:szCs w:val="22"/>
        </w:rPr>
        <w:br/>
        <w:t>podávání,</w:t>
      </w:r>
    </w:p>
    <w:p w:rsidR="00990829" w:rsidRDefault="00990829" w:rsidP="00990829">
      <w:pPr>
        <w:rPr>
          <w:szCs w:val="22"/>
        </w:rPr>
      </w:pPr>
      <w:r>
        <w:rPr>
          <w:szCs w:val="22"/>
        </w:rPr>
        <w:t>•</w:t>
      </w:r>
      <w:r>
        <w:rPr>
          <w:szCs w:val="22"/>
        </w:rPr>
        <w:tab/>
      </w:r>
      <w:proofErr w:type="spellStart"/>
      <w:r>
        <w:rPr>
          <w:szCs w:val="22"/>
        </w:rPr>
        <w:t>poddávkování</w:t>
      </w:r>
      <w:proofErr w:type="spellEnd"/>
      <w:r>
        <w:rPr>
          <w:szCs w:val="22"/>
        </w:rPr>
        <w:t>, z důvodu špatného stanovení živé hmotnosti, chybného podání přípravku nebo</w:t>
      </w:r>
      <w:r>
        <w:rPr>
          <w:szCs w:val="22"/>
        </w:rPr>
        <w:br/>
        <w:t>nedostatečné kalibrace dávkovacího zařízení (pokud je použito).</w:t>
      </w:r>
      <w:r>
        <w:rPr>
          <w:szCs w:val="22"/>
        </w:rPr>
        <w:tab/>
        <w:t xml:space="preserve"> </w:t>
      </w:r>
    </w:p>
    <w:p w:rsidR="00990829" w:rsidRDefault="00990829" w:rsidP="00990829">
      <w:pPr>
        <w:rPr>
          <w:szCs w:val="22"/>
        </w:rPr>
      </w:pPr>
    </w:p>
    <w:p w:rsidR="00990829" w:rsidRDefault="00990829" w:rsidP="00990829">
      <w:pPr>
        <w:jc w:val="both"/>
        <w:rPr>
          <w:szCs w:val="22"/>
        </w:rPr>
      </w:pPr>
      <w:r>
        <w:rPr>
          <w:szCs w:val="22"/>
        </w:rPr>
        <w:t xml:space="preserve">Rezistence parazitů vůči kterékoliv skupině </w:t>
      </w:r>
      <w:proofErr w:type="spellStart"/>
      <w:r>
        <w:rPr>
          <w:szCs w:val="22"/>
        </w:rPr>
        <w:t>anthelmentik</w:t>
      </w:r>
      <w:proofErr w:type="spellEnd"/>
      <w:r>
        <w:rPr>
          <w:szCs w:val="22"/>
        </w:rPr>
        <w:t xml:space="preserve"> se může vyvinout po častém a opakovaném </w:t>
      </w:r>
    </w:p>
    <w:p w:rsidR="00990829" w:rsidRDefault="00990829" w:rsidP="00990829">
      <w:pPr>
        <w:jc w:val="both"/>
        <w:rPr>
          <w:szCs w:val="22"/>
        </w:rPr>
      </w:pPr>
      <w:r>
        <w:rPr>
          <w:szCs w:val="22"/>
        </w:rPr>
        <w:t xml:space="preserve">použití </w:t>
      </w:r>
      <w:proofErr w:type="spellStart"/>
      <w:r>
        <w:rPr>
          <w:szCs w:val="22"/>
        </w:rPr>
        <w:t>anthelmentik</w:t>
      </w:r>
      <w:proofErr w:type="spellEnd"/>
      <w:r>
        <w:rPr>
          <w:szCs w:val="22"/>
        </w:rPr>
        <w:t> stejné skupiny.</w:t>
      </w:r>
    </w:p>
    <w:bookmarkEnd w:id="8"/>
    <w:p w:rsidR="00990829" w:rsidRDefault="00990829" w:rsidP="00990829">
      <w:pPr>
        <w:rPr>
          <w:szCs w:val="22"/>
        </w:rPr>
      </w:pPr>
    </w:p>
    <w:bookmarkEnd w:id="7"/>
    <w:p w:rsidR="00990829" w:rsidRDefault="00990829" w:rsidP="00990829">
      <w:pPr>
        <w:rPr>
          <w:szCs w:val="22"/>
        </w:rPr>
      </w:pPr>
      <w:r>
        <w:rPr>
          <w:b/>
          <w:szCs w:val="22"/>
        </w:rPr>
        <w:t>4.5</w:t>
      </w:r>
      <w:r>
        <w:rPr>
          <w:b/>
          <w:szCs w:val="22"/>
        </w:rPr>
        <w:tab/>
        <w:t>Zvláštní opatření pro použití</w:t>
      </w:r>
    </w:p>
    <w:p w:rsidR="00990829" w:rsidRDefault="00990829" w:rsidP="00990829">
      <w:pPr>
        <w:rPr>
          <w:szCs w:val="22"/>
        </w:rPr>
      </w:pPr>
    </w:p>
    <w:p w:rsidR="00990829" w:rsidRDefault="00990829" w:rsidP="00990829">
      <w:pPr>
        <w:rPr>
          <w:szCs w:val="22"/>
          <w:u w:val="single"/>
        </w:rPr>
      </w:pPr>
      <w:r>
        <w:rPr>
          <w:szCs w:val="22"/>
          <w:u w:val="single"/>
        </w:rPr>
        <w:lastRenderedPageBreak/>
        <w:t>Zvláštní opatření pro použití u zvířat</w:t>
      </w:r>
    </w:p>
    <w:p w:rsidR="00990829" w:rsidRDefault="00990829" w:rsidP="00990829">
      <w:pPr>
        <w:rPr>
          <w:szCs w:val="22"/>
        </w:rPr>
      </w:pPr>
      <w:r>
        <w:rPr>
          <w:szCs w:val="22"/>
        </w:rPr>
        <w:t>Nejsou.</w:t>
      </w:r>
    </w:p>
    <w:p w:rsidR="00990829" w:rsidRDefault="00990829" w:rsidP="00990829">
      <w:pPr>
        <w:rPr>
          <w:szCs w:val="22"/>
        </w:rPr>
      </w:pPr>
    </w:p>
    <w:p w:rsidR="00990829" w:rsidRDefault="00990829" w:rsidP="00990829">
      <w:pPr>
        <w:rPr>
          <w:szCs w:val="22"/>
          <w:u w:val="single"/>
        </w:rPr>
      </w:pPr>
      <w:r>
        <w:rPr>
          <w:szCs w:val="22"/>
          <w:u w:val="single"/>
        </w:rPr>
        <w:t>Zvláštní opatření určené osobám, které podávají veterinární léčivý přípravek zvířatům</w:t>
      </w:r>
    </w:p>
    <w:p w:rsidR="00990829" w:rsidRDefault="00990829" w:rsidP="00990829">
      <w:pPr>
        <w:jc w:val="both"/>
        <w:rPr>
          <w:szCs w:val="22"/>
        </w:rPr>
      </w:pPr>
      <w:bookmarkStart w:id="9" w:name="_Hlk47596831"/>
      <w:r>
        <w:rPr>
          <w:szCs w:val="22"/>
        </w:rPr>
        <w:t>Lidé se známou přecitlivělostí na léčivou látku nebo na kteroukoliv pomocnou látku by se měli vyhnout kontaktu s veterinárním léčivým přípravkem.</w:t>
      </w:r>
    </w:p>
    <w:p w:rsidR="00990829" w:rsidRDefault="00990829" w:rsidP="00990829">
      <w:pPr>
        <w:rPr>
          <w:szCs w:val="22"/>
        </w:rPr>
      </w:pPr>
      <w:r>
        <w:rPr>
          <w:szCs w:val="22"/>
        </w:rPr>
        <w:t xml:space="preserve">Přípravek může vyvolat podráždění kůže a očí. Zabraňte kontaktu přípravku s pokožkou, očima a ústy, včetně kontaktu kontaminovaných rukou s ústy a očima. V případě náhodného kontaktu s kůží a očima, omyjte ihned potřísněnou pokožku mýdlem a vodou. Potřísněné oči vypláchněte velkým množstvím čisté vody. Pokud podráždění přetrvává, vyhledejte lékařskou pomoc. </w:t>
      </w:r>
    </w:p>
    <w:p w:rsidR="00990829" w:rsidRDefault="00990829" w:rsidP="00990829">
      <w:pPr>
        <w:pStyle w:val="Assessorscommenttext"/>
        <w:spacing w:after="0"/>
        <w:rPr>
          <w:rFonts w:ascii="Times New Roman" w:hAnsi="Times New Roman"/>
          <w:i w:val="0"/>
          <w:color w:val="auto"/>
          <w:szCs w:val="22"/>
          <w:lang w:val="cs-CZ"/>
        </w:rPr>
      </w:pPr>
      <w:r>
        <w:rPr>
          <w:rFonts w:ascii="Times New Roman" w:hAnsi="Times New Roman"/>
          <w:i w:val="0"/>
          <w:color w:val="auto"/>
          <w:szCs w:val="22"/>
          <w:lang w:val="cs-CZ"/>
        </w:rPr>
        <w:t xml:space="preserve">Zabraňte náhodnému </w:t>
      </w:r>
      <w:proofErr w:type="spellStart"/>
      <w:r>
        <w:rPr>
          <w:rFonts w:ascii="Times New Roman" w:hAnsi="Times New Roman"/>
          <w:i w:val="0"/>
          <w:color w:val="auto"/>
          <w:szCs w:val="22"/>
          <w:lang w:val="cs-CZ"/>
        </w:rPr>
        <w:t>samopodání</w:t>
      </w:r>
      <w:proofErr w:type="spellEnd"/>
      <w:r>
        <w:rPr>
          <w:rFonts w:ascii="Times New Roman" w:hAnsi="Times New Roman"/>
          <w:i w:val="0"/>
          <w:color w:val="auto"/>
          <w:szCs w:val="22"/>
          <w:lang w:val="cs-CZ"/>
        </w:rPr>
        <w:t xml:space="preserve"> injekce. V případě náhodného sebepoškození injekčně aplikovaným přípravkem, vyhledejte ihned lékařskou pomoc a ukažte příbalovou informaci nebo etiketu praktickému lékaři.</w:t>
      </w:r>
    </w:p>
    <w:p w:rsidR="00990829" w:rsidRDefault="00990829" w:rsidP="00990829">
      <w:pPr>
        <w:pStyle w:val="Assessorscommenttext"/>
        <w:spacing w:after="0"/>
        <w:rPr>
          <w:rFonts w:ascii="Times New Roman" w:hAnsi="Times New Roman"/>
          <w:i w:val="0"/>
          <w:color w:val="auto"/>
          <w:szCs w:val="22"/>
          <w:lang w:val="cs-CZ"/>
        </w:rPr>
      </w:pPr>
      <w:r>
        <w:rPr>
          <w:rFonts w:ascii="Times New Roman" w:hAnsi="Times New Roman"/>
          <w:i w:val="0"/>
          <w:color w:val="auto"/>
          <w:szCs w:val="22"/>
          <w:lang w:val="cs-CZ"/>
        </w:rPr>
        <w:t xml:space="preserve">Během manipulace s přípravkem nekuřte, nepijte a nejezte. </w:t>
      </w:r>
    </w:p>
    <w:p w:rsidR="00990829" w:rsidRDefault="00990829" w:rsidP="00990829">
      <w:pPr>
        <w:rPr>
          <w:szCs w:val="22"/>
        </w:rPr>
      </w:pPr>
      <w:r>
        <w:rPr>
          <w:szCs w:val="22"/>
        </w:rPr>
        <w:t>Po použití si umyjte ruce.</w:t>
      </w:r>
    </w:p>
    <w:p w:rsidR="00990829" w:rsidRDefault="00990829" w:rsidP="00990829">
      <w:pPr>
        <w:rPr>
          <w:szCs w:val="22"/>
        </w:rPr>
      </w:pPr>
    </w:p>
    <w:p w:rsidR="00990829" w:rsidRDefault="00990829" w:rsidP="00990829">
      <w:pPr>
        <w:rPr>
          <w:szCs w:val="22"/>
          <w:u w:val="single"/>
        </w:rPr>
      </w:pPr>
      <w:r>
        <w:rPr>
          <w:szCs w:val="22"/>
          <w:u w:val="single"/>
        </w:rPr>
        <w:t>Další opatření</w:t>
      </w:r>
    </w:p>
    <w:p w:rsidR="00990829" w:rsidRDefault="00990829" w:rsidP="00990829">
      <w:pPr>
        <w:rPr>
          <w:szCs w:val="22"/>
        </w:rPr>
      </w:pPr>
      <w:r>
        <w:rPr>
          <w:szCs w:val="22"/>
        </w:rPr>
        <w:t xml:space="preserve">Nelze vyloučit riziko pro vodní ekosystémy, a proto by ošetřená zvířata neměla mít přístup k vodním tokům po dobu 7 dní po ošetření. </w:t>
      </w:r>
    </w:p>
    <w:bookmarkEnd w:id="9"/>
    <w:p w:rsidR="00990829" w:rsidRDefault="00990829" w:rsidP="00990829">
      <w:pPr>
        <w:rPr>
          <w:szCs w:val="22"/>
        </w:rPr>
      </w:pPr>
    </w:p>
    <w:p w:rsidR="00990829" w:rsidRDefault="00990829" w:rsidP="00990829">
      <w:pPr>
        <w:rPr>
          <w:szCs w:val="22"/>
        </w:rPr>
      </w:pPr>
      <w:r>
        <w:rPr>
          <w:b/>
          <w:szCs w:val="22"/>
        </w:rPr>
        <w:t>4.6</w:t>
      </w:r>
      <w:r>
        <w:rPr>
          <w:b/>
          <w:szCs w:val="22"/>
        </w:rPr>
        <w:tab/>
        <w:t>Nežádoucí účinky (frekvence a závažnost)</w:t>
      </w:r>
    </w:p>
    <w:p w:rsidR="00990829" w:rsidRDefault="00990829" w:rsidP="00990829">
      <w:pPr>
        <w:rPr>
          <w:b/>
          <w:szCs w:val="22"/>
        </w:rPr>
      </w:pPr>
    </w:p>
    <w:p w:rsidR="00990829" w:rsidRDefault="00990829" w:rsidP="00990829">
      <w:pPr>
        <w:rPr>
          <w:bCs/>
          <w:szCs w:val="22"/>
        </w:rPr>
      </w:pPr>
      <w:bookmarkStart w:id="10" w:name="_Hlk47601837"/>
      <w:r>
        <w:rPr>
          <w:bCs/>
          <w:szCs w:val="22"/>
        </w:rPr>
        <w:t xml:space="preserve">Po podávání doporučených dávek </w:t>
      </w:r>
      <w:proofErr w:type="spellStart"/>
      <w:r>
        <w:rPr>
          <w:bCs/>
          <w:szCs w:val="22"/>
        </w:rPr>
        <w:t>prazikvantelu</w:t>
      </w:r>
      <w:proofErr w:type="spellEnd"/>
      <w:r>
        <w:rPr>
          <w:bCs/>
          <w:szCs w:val="22"/>
        </w:rPr>
        <w:t xml:space="preserve"> se u ovcí vyskytují nežádoucí účinky zřídka.</w:t>
      </w:r>
    </w:p>
    <w:p w:rsidR="00990829" w:rsidRDefault="00990829" w:rsidP="00990829">
      <w:pPr>
        <w:rPr>
          <w:bCs/>
          <w:szCs w:val="20"/>
        </w:rPr>
      </w:pPr>
      <w:r>
        <w:rPr>
          <w:bCs/>
        </w:rPr>
        <w:t>Bezprostředně po subkutánním podání byla u některých ovcí pozorována častá, někdy intenzivní,</w:t>
      </w:r>
    </w:p>
    <w:p w:rsidR="00990829" w:rsidRDefault="00990829" w:rsidP="00990829">
      <w:pPr>
        <w:rPr>
          <w:bCs/>
          <w:szCs w:val="22"/>
        </w:rPr>
      </w:pPr>
      <w:r>
        <w:rPr>
          <w:bCs/>
        </w:rPr>
        <w:t>přechodná krátkodobá bolestivost.</w:t>
      </w:r>
      <w:r>
        <w:rPr>
          <w:bCs/>
          <w:szCs w:val="22"/>
        </w:rPr>
        <w:t xml:space="preserve"> Tyto reakce zmizely bez ošetření během 1 minuty.</w:t>
      </w:r>
    </w:p>
    <w:p w:rsidR="00990829" w:rsidRDefault="00990829" w:rsidP="00990829">
      <w:pPr>
        <w:rPr>
          <w:bCs/>
          <w:szCs w:val="22"/>
        </w:rPr>
      </w:pPr>
    </w:p>
    <w:p w:rsidR="00990829" w:rsidRDefault="00990829" w:rsidP="00990829">
      <w:pPr>
        <w:rPr>
          <w:szCs w:val="20"/>
        </w:rPr>
      </w:pPr>
      <w:r>
        <w:t>Četnost nežádoucích účinků je charakterizována podle následujících pravidel:</w:t>
      </w:r>
    </w:p>
    <w:p w:rsidR="00990829" w:rsidRDefault="00990829" w:rsidP="00990829">
      <w:r>
        <w:t>- velmi časté (nežádoucí účinek(</w:t>
      </w:r>
      <w:proofErr w:type="spellStart"/>
      <w:r>
        <w:t>nky</w:t>
      </w:r>
      <w:proofErr w:type="spellEnd"/>
      <w:r>
        <w:t>) se projevil(y) u více než 1 z 10 ošetřených zvířat)</w:t>
      </w:r>
    </w:p>
    <w:p w:rsidR="00990829" w:rsidRDefault="00990829" w:rsidP="00990829">
      <w:r>
        <w:t>- časté (u více než 1, ale méně než 10 ze 100 ošetřených zvířat)</w:t>
      </w:r>
    </w:p>
    <w:p w:rsidR="00990829" w:rsidRDefault="00990829" w:rsidP="00990829">
      <w:r>
        <w:t>- neobvyklé (u více než 1, ale méně než 10 z 1000 ošetřených zvířat)</w:t>
      </w:r>
    </w:p>
    <w:p w:rsidR="00990829" w:rsidRDefault="00990829" w:rsidP="00990829">
      <w:r>
        <w:t>- vzácné (u více než 1, ale méně než 10 z 10000 ošetřených zvířat)</w:t>
      </w:r>
    </w:p>
    <w:p w:rsidR="00990829" w:rsidRDefault="00990829" w:rsidP="00990829">
      <w:pPr>
        <w:rPr>
          <w:bCs/>
          <w:szCs w:val="22"/>
        </w:rPr>
      </w:pPr>
      <w:r>
        <w:t>- velmi vzácné (u méně než 1 z 10000 ošetřených zvířat, včetně ojedinělých hlášení).</w:t>
      </w:r>
    </w:p>
    <w:bookmarkEnd w:id="10"/>
    <w:p w:rsidR="00990829" w:rsidRDefault="00990829" w:rsidP="00990829">
      <w:pPr>
        <w:rPr>
          <w:b/>
          <w:szCs w:val="22"/>
        </w:rPr>
      </w:pPr>
    </w:p>
    <w:p w:rsidR="00990829" w:rsidRDefault="00990829" w:rsidP="00990829">
      <w:pPr>
        <w:rPr>
          <w:szCs w:val="22"/>
        </w:rPr>
      </w:pPr>
      <w:r>
        <w:rPr>
          <w:b/>
          <w:szCs w:val="22"/>
        </w:rPr>
        <w:t>4.7</w:t>
      </w:r>
      <w:r>
        <w:rPr>
          <w:b/>
          <w:szCs w:val="22"/>
        </w:rPr>
        <w:tab/>
        <w:t>Použití v průběhu březosti, laktace nebo snášky</w:t>
      </w:r>
    </w:p>
    <w:p w:rsidR="00990829" w:rsidRDefault="00990829" w:rsidP="00990829">
      <w:pPr>
        <w:rPr>
          <w:szCs w:val="22"/>
        </w:rPr>
      </w:pPr>
    </w:p>
    <w:p w:rsidR="00990829" w:rsidRDefault="00990829" w:rsidP="00990829">
      <w:pPr>
        <w:keepNext/>
        <w:keepLines/>
        <w:rPr>
          <w:szCs w:val="22"/>
        </w:rPr>
      </w:pPr>
      <w:bookmarkStart w:id="11" w:name="_Hlk47602376"/>
      <w:r>
        <w:t>Lze použít během březosti a laktace</w:t>
      </w:r>
      <w:r>
        <w:rPr>
          <w:szCs w:val="22"/>
        </w:rPr>
        <w:t xml:space="preserve">.  </w:t>
      </w:r>
    </w:p>
    <w:bookmarkEnd w:id="11"/>
    <w:p w:rsidR="00990829" w:rsidRDefault="00990829" w:rsidP="00990829">
      <w:pPr>
        <w:rPr>
          <w:szCs w:val="22"/>
        </w:rPr>
      </w:pPr>
    </w:p>
    <w:p w:rsidR="00990829" w:rsidRDefault="00990829" w:rsidP="00990829">
      <w:pPr>
        <w:rPr>
          <w:szCs w:val="22"/>
        </w:rPr>
      </w:pPr>
      <w:r>
        <w:rPr>
          <w:b/>
          <w:szCs w:val="22"/>
        </w:rPr>
        <w:t>4.8</w:t>
      </w:r>
      <w:r>
        <w:rPr>
          <w:b/>
          <w:szCs w:val="22"/>
        </w:rPr>
        <w:tab/>
        <w:t>Interakce s dalšími léčivými přípravky a další formy interakce</w:t>
      </w:r>
    </w:p>
    <w:p w:rsidR="00990829" w:rsidRDefault="00990829" w:rsidP="00990829">
      <w:pPr>
        <w:rPr>
          <w:szCs w:val="22"/>
        </w:rPr>
      </w:pPr>
    </w:p>
    <w:p w:rsidR="00990829" w:rsidRDefault="00990829" w:rsidP="00990829">
      <w:pPr>
        <w:autoSpaceDE w:val="0"/>
        <w:autoSpaceDN w:val="0"/>
        <w:adjustRightInd w:val="0"/>
        <w:rPr>
          <w:szCs w:val="22"/>
        </w:rPr>
      </w:pPr>
      <w:bookmarkStart w:id="12" w:name="_Hlk47602412"/>
      <w:r>
        <w:rPr>
          <w:szCs w:val="22"/>
        </w:rPr>
        <w:t>Nepoužívat u zvířat, která byla ošetřena organofosfáty 14 dnů před anebo po ošetření</w:t>
      </w:r>
      <w:bookmarkEnd w:id="12"/>
      <w:r>
        <w:rPr>
          <w:szCs w:val="22"/>
        </w:rPr>
        <w:t>.</w:t>
      </w:r>
    </w:p>
    <w:p w:rsidR="00990829" w:rsidRDefault="00990829" w:rsidP="00990829">
      <w:pPr>
        <w:rPr>
          <w:szCs w:val="22"/>
        </w:rPr>
      </w:pPr>
    </w:p>
    <w:p w:rsidR="00990829" w:rsidRDefault="00990829" w:rsidP="00990829">
      <w:pPr>
        <w:rPr>
          <w:b/>
          <w:szCs w:val="22"/>
        </w:rPr>
      </w:pPr>
      <w:r>
        <w:rPr>
          <w:b/>
          <w:szCs w:val="22"/>
        </w:rPr>
        <w:t>4.9</w:t>
      </w:r>
      <w:r>
        <w:rPr>
          <w:b/>
          <w:szCs w:val="22"/>
        </w:rPr>
        <w:tab/>
        <w:t>Podávané množství a způsob podání</w:t>
      </w:r>
    </w:p>
    <w:p w:rsidR="00990829" w:rsidRDefault="00990829" w:rsidP="00990829">
      <w:pPr>
        <w:rPr>
          <w:szCs w:val="22"/>
        </w:rPr>
      </w:pPr>
    </w:p>
    <w:p w:rsidR="00990829" w:rsidRDefault="00990829" w:rsidP="00990829">
      <w:pPr>
        <w:pStyle w:val="Zkladntext3"/>
        <w:rPr>
          <w:szCs w:val="22"/>
        </w:rPr>
      </w:pPr>
      <w:bookmarkStart w:id="13" w:name="_Hlk47601933"/>
      <w:r>
        <w:rPr>
          <w:b/>
          <w:szCs w:val="22"/>
        </w:rPr>
        <w:t>Pouze pro jednorázové, subkutánní podání.</w:t>
      </w:r>
    </w:p>
    <w:p w:rsidR="00990829" w:rsidRDefault="00990829" w:rsidP="00990829">
      <w:pPr>
        <w:pStyle w:val="Zkladntext3"/>
        <w:rPr>
          <w:b/>
          <w:szCs w:val="22"/>
        </w:rPr>
      </w:pPr>
      <w:r>
        <w:rPr>
          <w:b/>
          <w:i/>
          <w:szCs w:val="22"/>
        </w:rPr>
        <w:t>D</w:t>
      </w:r>
      <w:r>
        <w:rPr>
          <w:b/>
          <w:bCs/>
          <w:i/>
          <w:szCs w:val="22"/>
        </w:rPr>
        <w:t>oporučená d</w:t>
      </w:r>
      <w:r>
        <w:rPr>
          <w:b/>
          <w:i/>
          <w:szCs w:val="22"/>
        </w:rPr>
        <w:t>ávka:</w:t>
      </w:r>
      <w:r>
        <w:rPr>
          <w:b/>
          <w:szCs w:val="22"/>
        </w:rPr>
        <w:t xml:space="preserve"> 3,75 mg </w:t>
      </w:r>
      <w:proofErr w:type="spellStart"/>
      <w:r>
        <w:rPr>
          <w:b/>
          <w:szCs w:val="22"/>
        </w:rPr>
        <w:t>prazikvantelu</w:t>
      </w:r>
      <w:proofErr w:type="spellEnd"/>
      <w:r>
        <w:rPr>
          <w:b/>
          <w:szCs w:val="22"/>
        </w:rPr>
        <w:t>/kg ž</w:t>
      </w:r>
      <w:r>
        <w:rPr>
          <w:b/>
          <w:bCs/>
          <w:szCs w:val="22"/>
        </w:rPr>
        <w:t xml:space="preserve">ivé </w:t>
      </w:r>
      <w:r>
        <w:rPr>
          <w:b/>
          <w:szCs w:val="22"/>
        </w:rPr>
        <w:t>hm</w:t>
      </w:r>
      <w:r>
        <w:rPr>
          <w:b/>
          <w:bCs/>
          <w:szCs w:val="22"/>
        </w:rPr>
        <w:t>otnosti,</w:t>
      </w:r>
      <w:r>
        <w:rPr>
          <w:b/>
          <w:szCs w:val="22"/>
        </w:rPr>
        <w:t xml:space="preserve"> </w:t>
      </w:r>
      <w:proofErr w:type="gramStart"/>
      <w:r>
        <w:rPr>
          <w:b/>
          <w:szCs w:val="22"/>
        </w:rPr>
        <w:t>t.j.</w:t>
      </w:r>
      <w:proofErr w:type="gramEnd"/>
      <w:r>
        <w:rPr>
          <w:b/>
          <w:szCs w:val="22"/>
        </w:rPr>
        <w:t xml:space="preserve"> 4,0 ml přípravku na 50 kg ž</w:t>
      </w:r>
      <w:r>
        <w:rPr>
          <w:b/>
          <w:bCs/>
          <w:szCs w:val="22"/>
        </w:rPr>
        <w:t>ivé hmotnosti</w:t>
      </w:r>
      <w:r>
        <w:rPr>
          <w:b/>
          <w:szCs w:val="22"/>
        </w:rPr>
        <w:t xml:space="preserve">. </w:t>
      </w:r>
    </w:p>
    <w:p w:rsidR="00990829" w:rsidRDefault="00990829" w:rsidP="00990829">
      <w:pPr>
        <w:rPr>
          <w:szCs w:val="20"/>
        </w:rPr>
      </w:pPr>
      <w:r>
        <w:rPr>
          <w:szCs w:val="22"/>
        </w:rPr>
        <w:t xml:space="preserve">Doporučené dávky se podávají pouze subkutánně, do zad v oblasti mezi lopatkami. </w:t>
      </w:r>
      <w:r>
        <w:rPr>
          <w:bCs/>
        </w:rPr>
        <w:t xml:space="preserve">Přesáhne-li objem dávky do jednoho místa injekčního podání 4 ml, měl by se rozdělit a aplikovat do </w:t>
      </w:r>
      <w:proofErr w:type="gramStart"/>
      <w:r>
        <w:rPr>
          <w:bCs/>
        </w:rPr>
        <w:t>dvou</w:t>
      </w:r>
      <w:proofErr w:type="gramEnd"/>
      <w:r>
        <w:rPr>
          <w:bCs/>
        </w:rPr>
        <w:t xml:space="preserve"> popř. více různých míst.</w:t>
      </w:r>
    </w:p>
    <w:p w:rsidR="00990829" w:rsidRDefault="00990829" w:rsidP="00990829">
      <w:pPr>
        <w:widowControl w:val="0"/>
        <w:autoSpaceDE w:val="0"/>
        <w:autoSpaceDN w:val="0"/>
        <w:adjustRightInd w:val="0"/>
        <w:rPr>
          <w:szCs w:val="22"/>
        </w:rPr>
      </w:pPr>
    </w:p>
    <w:p w:rsidR="00990829" w:rsidRDefault="00990829" w:rsidP="00990829">
      <w:pPr>
        <w:widowControl w:val="0"/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Pro zajištění podání správné dávky by měla být co nejpřesněji stanovena živá hmotnost a je </w:t>
      </w:r>
      <w:r>
        <w:rPr>
          <w:szCs w:val="22"/>
        </w:rPr>
        <w:lastRenderedPageBreak/>
        <w:t xml:space="preserve">třeba </w:t>
      </w:r>
    </w:p>
    <w:p w:rsidR="00990829" w:rsidRDefault="00990829" w:rsidP="00990829">
      <w:pPr>
        <w:widowControl w:val="0"/>
        <w:autoSpaceDE w:val="0"/>
        <w:autoSpaceDN w:val="0"/>
        <w:adjustRightInd w:val="0"/>
        <w:rPr>
          <w:szCs w:val="22"/>
        </w:rPr>
      </w:pPr>
      <w:r>
        <w:rPr>
          <w:szCs w:val="22"/>
        </w:rPr>
        <w:t>zkontrolovat přesnost dávkovacího zařízení.</w:t>
      </w:r>
    </w:p>
    <w:p w:rsidR="00990829" w:rsidRDefault="00990829" w:rsidP="00990829">
      <w:pPr>
        <w:widowControl w:val="0"/>
        <w:autoSpaceDE w:val="0"/>
        <w:autoSpaceDN w:val="0"/>
        <w:adjustRightInd w:val="0"/>
        <w:rPr>
          <w:szCs w:val="22"/>
        </w:rPr>
      </w:pPr>
    </w:p>
    <w:p w:rsidR="00990829" w:rsidRDefault="00990829" w:rsidP="00990829">
      <w:pPr>
        <w:widowControl w:val="0"/>
        <w:autoSpaceDE w:val="0"/>
        <w:autoSpaceDN w:val="0"/>
        <w:adjustRightInd w:val="0"/>
        <w:rPr>
          <w:szCs w:val="22"/>
        </w:rPr>
      </w:pPr>
      <w:bookmarkStart w:id="14" w:name="_Hlk22194050"/>
      <w:r>
        <w:rPr>
          <w:szCs w:val="22"/>
        </w:rPr>
        <w:t xml:space="preserve">Přípravek se podává pomocí automatické nebo jednorázové injekční stříkačky. Používejte jenom </w:t>
      </w:r>
    </w:p>
    <w:p w:rsidR="00990829" w:rsidRDefault="00990829" w:rsidP="00990829">
      <w:pPr>
        <w:widowControl w:val="0"/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sterilní stříkačku a jehlu (G 16, 15 nebo 20 mm). Při subkutánním podání je nutné se přesvědčit, zda dávka pronikla kůží. </w:t>
      </w:r>
    </w:p>
    <w:p w:rsidR="00990829" w:rsidRDefault="00990829" w:rsidP="00990829">
      <w:pPr>
        <w:widowControl w:val="0"/>
        <w:autoSpaceDE w:val="0"/>
        <w:autoSpaceDN w:val="0"/>
        <w:adjustRightInd w:val="0"/>
        <w:rPr>
          <w:szCs w:val="22"/>
        </w:rPr>
      </w:pPr>
      <w:r>
        <w:rPr>
          <w:szCs w:val="22"/>
        </w:rPr>
        <w:t>Nepropichujte zátku více než 4krát.</w:t>
      </w:r>
    </w:p>
    <w:bookmarkEnd w:id="13"/>
    <w:bookmarkEnd w:id="14"/>
    <w:p w:rsidR="00990829" w:rsidRDefault="00990829" w:rsidP="00990829">
      <w:pPr>
        <w:widowControl w:val="0"/>
        <w:autoSpaceDE w:val="0"/>
        <w:autoSpaceDN w:val="0"/>
        <w:adjustRightInd w:val="0"/>
        <w:rPr>
          <w:szCs w:val="22"/>
        </w:rPr>
      </w:pPr>
    </w:p>
    <w:p w:rsidR="00990829" w:rsidRDefault="00990829" w:rsidP="00990829">
      <w:pPr>
        <w:keepNext/>
        <w:rPr>
          <w:szCs w:val="22"/>
        </w:rPr>
      </w:pPr>
      <w:r>
        <w:rPr>
          <w:b/>
          <w:szCs w:val="22"/>
        </w:rPr>
        <w:t>4.10</w:t>
      </w:r>
      <w:r>
        <w:rPr>
          <w:b/>
          <w:szCs w:val="22"/>
        </w:rPr>
        <w:tab/>
        <w:t xml:space="preserve">Předávkování (symptomy, první pomoc, </w:t>
      </w:r>
      <w:proofErr w:type="spellStart"/>
      <w:r>
        <w:rPr>
          <w:b/>
          <w:szCs w:val="22"/>
        </w:rPr>
        <w:t>antidota</w:t>
      </w:r>
      <w:proofErr w:type="spellEnd"/>
      <w:r>
        <w:rPr>
          <w:b/>
          <w:szCs w:val="22"/>
        </w:rPr>
        <w:t>), pokud je to nutné</w:t>
      </w:r>
    </w:p>
    <w:p w:rsidR="00990829" w:rsidRDefault="00990829" w:rsidP="00990829">
      <w:pPr>
        <w:keepNext/>
        <w:rPr>
          <w:szCs w:val="22"/>
        </w:rPr>
      </w:pPr>
    </w:p>
    <w:p w:rsidR="00990829" w:rsidRDefault="00990829" w:rsidP="00990829">
      <w:pPr>
        <w:rPr>
          <w:szCs w:val="22"/>
        </w:rPr>
      </w:pPr>
      <w:bookmarkStart w:id="15" w:name="_Hlk22130035"/>
      <w:bookmarkStart w:id="16" w:name="_Hlk47602444"/>
      <w:proofErr w:type="spellStart"/>
      <w:r>
        <w:t>Prazikvantel</w:t>
      </w:r>
      <w:proofErr w:type="spellEnd"/>
      <w:r>
        <w:t xml:space="preserve"> má široký práh bezpečnosti. Příznaky otravy nebyly u ovcí zaznamenány. </w:t>
      </w:r>
      <w:bookmarkEnd w:id="15"/>
    </w:p>
    <w:bookmarkEnd w:id="16"/>
    <w:p w:rsidR="00990829" w:rsidRDefault="00990829" w:rsidP="00990829">
      <w:pPr>
        <w:rPr>
          <w:b/>
          <w:szCs w:val="22"/>
        </w:rPr>
      </w:pPr>
    </w:p>
    <w:p w:rsidR="00990829" w:rsidRDefault="00990829" w:rsidP="00990829">
      <w:pPr>
        <w:keepNext/>
        <w:rPr>
          <w:szCs w:val="22"/>
        </w:rPr>
      </w:pPr>
      <w:r>
        <w:rPr>
          <w:b/>
          <w:szCs w:val="22"/>
        </w:rPr>
        <w:t>4.11</w:t>
      </w:r>
      <w:r>
        <w:rPr>
          <w:b/>
          <w:szCs w:val="22"/>
        </w:rPr>
        <w:tab/>
        <w:t>Ochranná(é) lhůta(y)</w:t>
      </w:r>
    </w:p>
    <w:p w:rsidR="00990829" w:rsidRDefault="00990829" w:rsidP="00990829">
      <w:pPr>
        <w:keepNext/>
        <w:rPr>
          <w:szCs w:val="22"/>
        </w:rPr>
      </w:pPr>
    </w:p>
    <w:p w:rsidR="00990829" w:rsidRDefault="00990829" w:rsidP="00990829">
      <w:pPr>
        <w:autoSpaceDE w:val="0"/>
        <w:autoSpaceDN w:val="0"/>
        <w:adjustRightInd w:val="0"/>
        <w:rPr>
          <w:szCs w:val="22"/>
        </w:rPr>
      </w:pPr>
      <w:bookmarkStart w:id="17" w:name="_Hlk47601989"/>
      <w:r>
        <w:rPr>
          <w:szCs w:val="22"/>
        </w:rPr>
        <w:t>Maso: 4 dny</w:t>
      </w:r>
    </w:p>
    <w:p w:rsidR="00990829" w:rsidRDefault="00990829" w:rsidP="00990829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Mléko: Bez ochranných lhůt.</w:t>
      </w:r>
    </w:p>
    <w:bookmarkEnd w:id="17"/>
    <w:p w:rsidR="00990829" w:rsidRDefault="00990829" w:rsidP="00990829">
      <w:pPr>
        <w:rPr>
          <w:szCs w:val="22"/>
        </w:rPr>
      </w:pPr>
    </w:p>
    <w:p w:rsidR="00990829" w:rsidRDefault="00990829" w:rsidP="00990829">
      <w:pPr>
        <w:keepNext/>
        <w:rPr>
          <w:szCs w:val="22"/>
        </w:rPr>
      </w:pPr>
      <w:r>
        <w:rPr>
          <w:b/>
          <w:szCs w:val="22"/>
        </w:rPr>
        <w:t>5.</w:t>
      </w:r>
      <w:r>
        <w:rPr>
          <w:b/>
          <w:szCs w:val="22"/>
        </w:rPr>
        <w:tab/>
        <w:t>FARMAKOLOGICKÉ VLASTNOSTI</w:t>
      </w:r>
    </w:p>
    <w:p w:rsidR="00990829" w:rsidRDefault="00990829" w:rsidP="00990829">
      <w:pPr>
        <w:keepNext/>
        <w:rPr>
          <w:szCs w:val="22"/>
        </w:rPr>
      </w:pPr>
    </w:p>
    <w:p w:rsidR="00990829" w:rsidRDefault="00990829" w:rsidP="00990829">
      <w:pPr>
        <w:keepNext/>
        <w:rPr>
          <w:szCs w:val="22"/>
        </w:rPr>
      </w:pPr>
      <w:r>
        <w:rPr>
          <w:szCs w:val="22"/>
        </w:rPr>
        <w:t xml:space="preserve">Farmakoterapeutická skupina: anthelmintika, chinolinové deriváty a příbuzné substance, </w:t>
      </w:r>
      <w:proofErr w:type="spellStart"/>
      <w:r>
        <w:rPr>
          <w:szCs w:val="22"/>
        </w:rPr>
        <w:t>praziquantel</w:t>
      </w:r>
      <w:proofErr w:type="spellEnd"/>
      <w:r>
        <w:rPr>
          <w:szCs w:val="22"/>
        </w:rPr>
        <w:t>.</w:t>
      </w:r>
    </w:p>
    <w:p w:rsidR="00990829" w:rsidRDefault="00990829" w:rsidP="00990829">
      <w:pPr>
        <w:rPr>
          <w:szCs w:val="22"/>
        </w:rPr>
      </w:pPr>
      <w:proofErr w:type="spellStart"/>
      <w:r>
        <w:rPr>
          <w:szCs w:val="22"/>
        </w:rPr>
        <w:t>ATCvet</w:t>
      </w:r>
      <w:proofErr w:type="spellEnd"/>
      <w:r>
        <w:rPr>
          <w:szCs w:val="22"/>
        </w:rPr>
        <w:t xml:space="preserve"> kód: QP52AA01.</w:t>
      </w:r>
    </w:p>
    <w:p w:rsidR="00990829" w:rsidRDefault="00990829" w:rsidP="00990829">
      <w:pPr>
        <w:rPr>
          <w:szCs w:val="22"/>
        </w:rPr>
      </w:pPr>
    </w:p>
    <w:p w:rsidR="00990829" w:rsidRDefault="00990829" w:rsidP="00990829">
      <w:pPr>
        <w:rPr>
          <w:b/>
          <w:szCs w:val="22"/>
        </w:rPr>
      </w:pPr>
      <w:r>
        <w:rPr>
          <w:b/>
          <w:szCs w:val="22"/>
        </w:rPr>
        <w:t>5.1</w:t>
      </w:r>
      <w:r>
        <w:rPr>
          <w:b/>
          <w:szCs w:val="22"/>
        </w:rPr>
        <w:tab/>
        <w:t>Farmakodynamické vlastnosti</w:t>
      </w:r>
    </w:p>
    <w:p w:rsidR="00990829" w:rsidRDefault="00990829" w:rsidP="00990829">
      <w:pPr>
        <w:rPr>
          <w:szCs w:val="22"/>
        </w:rPr>
      </w:pPr>
    </w:p>
    <w:p w:rsidR="00990829" w:rsidRDefault="00990829" w:rsidP="00990829">
      <w:pPr>
        <w:jc w:val="both"/>
        <w:rPr>
          <w:szCs w:val="22"/>
        </w:rPr>
      </w:pPr>
      <w:proofErr w:type="spellStart"/>
      <w:r>
        <w:rPr>
          <w:iCs/>
          <w:szCs w:val="22"/>
        </w:rPr>
        <w:t>Prazikvantel</w:t>
      </w:r>
      <w:proofErr w:type="spellEnd"/>
      <w:r>
        <w:rPr>
          <w:szCs w:val="22"/>
        </w:rPr>
        <w:t xml:space="preserve"> je </w:t>
      </w:r>
      <w:proofErr w:type="spellStart"/>
      <w:r>
        <w:rPr>
          <w:szCs w:val="22"/>
        </w:rPr>
        <w:t>cholinesterázový</w:t>
      </w:r>
      <w:proofErr w:type="spellEnd"/>
      <w:r>
        <w:rPr>
          <w:szCs w:val="22"/>
        </w:rPr>
        <w:t xml:space="preserve"> antagonista, který paralyzuje přenos nervových vzruchů u tasemnic. Vyvolá okamžité tetanické kontrakce svalstva parazita a rychlou </w:t>
      </w:r>
      <w:proofErr w:type="spellStart"/>
      <w:r>
        <w:rPr>
          <w:szCs w:val="22"/>
        </w:rPr>
        <w:t>vakuolizaci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syncytiálního</w:t>
      </w:r>
      <w:proofErr w:type="spellEnd"/>
      <w:r>
        <w:rPr>
          <w:szCs w:val="22"/>
        </w:rPr>
        <w:t xml:space="preserve"> tegumentu.  </w:t>
      </w:r>
      <w:proofErr w:type="spellStart"/>
      <w:r>
        <w:rPr>
          <w:szCs w:val="22"/>
        </w:rPr>
        <w:t>Antiparazitární</w:t>
      </w:r>
      <w:proofErr w:type="spellEnd"/>
      <w:r>
        <w:rPr>
          <w:szCs w:val="22"/>
        </w:rPr>
        <w:t xml:space="preserve"> působení </w:t>
      </w:r>
      <w:proofErr w:type="spellStart"/>
      <w:r>
        <w:rPr>
          <w:szCs w:val="22"/>
        </w:rPr>
        <w:t>prazikvantelu</w:t>
      </w:r>
      <w:proofErr w:type="spellEnd"/>
      <w:r>
        <w:rPr>
          <w:szCs w:val="22"/>
        </w:rPr>
        <w:t xml:space="preserve"> je zřejmě vyvolané modulací propustnosti buněčných membrán. Mechanismus působení </w:t>
      </w:r>
      <w:proofErr w:type="spellStart"/>
      <w:r>
        <w:rPr>
          <w:szCs w:val="22"/>
        </w:rPr>
        <w:t>prazikvantelu</w:t>
      </w:r>
      <w:proofErr w:type="spellEnd"/>
      <w:r>
        <w:rPr>
          <w:szCs w:val="22"/>
        </w:rPr>
        <w:t xml:space="preserve"> na molekulární úrovni dosud nebyl dostatečně popsán. Existují také sekundární účinky včetně depolarizace tegumentu </w:t>
      </w:r>
      <w:proofErr w:type="spellStart"/>
      <w:r>
        <w:rPr>
          <w:szCs w:val="22"/>
        </w:rPr>
        <w:t>cestod</w:t>
      </w:r>
      <w:proofErr w:type="spellEnd"/>
      <w:r>
        <w:rPr>
          <w:szCs w:val="22"/>
        </w:rPr>
        <w:t>, inhibice vychytávání glukózy a snížení obsahu glykogenu.</w:t>
      </w:r>
    </w:p>
    <w:p w:rsidR="00990829" w:rsidRDefault="00990829" w:rsidP="00990829">
      <w:pPr>
        <w:rPr>
          <w:szCs w:val="22"/>
        </w:rPr>
      </w:pPr>
    </w:p>
    <w:p w:rsidR="00990829" w:rsidRDefault="00990829" w:rsidP="00990829">
      <w:pPr>
        <w:rPr>
          <w:szCs w:val="22"/>
        </w:rPr>
      </w:pPr>
      <w:r>
        <w:rPr>
          <w:b/>
          <w:szCs w:val="22"/>
        </w:rPr>
        <w:t>5.2</w:t>
      </w:r>
      <w:r>
        <w:rPr>
          <w:b/>
          <w:szCs w:val="22"/>
        </w:rPr>
        <w:tab/>
        <w:t>Farmakokinetické údaje</w:t>
      </w:r>
    </w:p>
    <w:p w:rsidR="00990829" w:rsidRDefault="00990829" w:rsidP="00990829">
      <w:pPr>
        <w:rPr>
          <w:szCs w:val="22"/>
        </w:rPr>
      </w:pPr>
    </w:p>
    <w:p w:rsidR="00990829" w:rsidRDefault="00990829" w:rsidP="00990829">
      <w:pPr>
        <w:jc w:val="both"/>
        <w:rPr>
          <w:szCs w:val="22"/>
        </w:rPr>
      </w:pPr>
      <w:r>
        <w:rPr>
          <w:szCs w:val="22"/>
        </w:rPr>
        <w:t xml:space="preserve">U ovcí, po subkutánní aplikaci </w:t>
      </w:r>
      <w:proofErr w:type="spellStart"/>
      <w:r>
        <w:rPr>
          <w:szCs w:val="22"/>
        </w:rPr>
        <w:t>prazikvantelu</w:t>
      </w:r>
      <w:proofErr w:type="spellEnd"/>
      <w:r>
        <w:rPr>
          <w:szCs w:val="22"/>
        </w:rPr>
        <w:t xml:space="preserve"> v dávce 3,75 mg/kg ž. hm. bylo dosaženo maximální koncentrace v plazmě (</w:t>
      </w:r>
      <w:proofErr w:type="spellStart"/>
      <w:r>
        <w:rPr>
          <w:i/>
          <w:iCs/>
          <w:szCs w:val="22"/>
        </w:rPr>
        <w:t>C</w:t>
      </w:r>
      <w:r>
        <w:rPr>
          <w:i/>
          <w:iCs/>
          <w:szCs w:val="22"/>
          <w:vertAlign w:val="subscript"/>
        </w:rPr>
        <w:t>max</w:t>
      </w:r>
      <w:proofErr w:type="spellEnd"/>
      <w:r>
        <w:rPr>
          <w:szCs w:val="22"/>
        </w:rPr>
        <w:t xml:space="preserve">) = 0,38 </w:t>
      </w:r>
      <w:proofErr w:type="spellStart"/>
      <w:r>
        <w:rPr>
          <w:szCs w:val="22"/>
        </w:rPr>
        <w:t>μg</w:t>
      </w:r>
      <w:proofErr w:type="spellEnd"/>
      <w:r>
        <w:rPr>
          <w:szCs w:val="22"/>
        </w:rPr>
        <w:t>/ml během 0,5 hodiny (</w:t>
      </w:r>
      <w:proofErr w:type="spellStart"/>
      <w:r>
        <w:rPr>
          <w:i/>
          <w:iCs/>
          <w:szCs w:val="22"/>
        </w:rPr>
        <w:t>T</w:t>
      </w:r>
      <w:r>
        <w:rPr>
          <w:i/>
          <w:iCs/>
          <w:szCs w:val="22"/>
          <w:vertAlign w:val="subscript"/>
        </w:rPr>
        <w:t>max</w:t>
      </w:r>
      <w:proofErr w:type="spellEnd"/>
      <w:r>
        <w:rPr>
          <w:szCs w:val="22"/>
        </w:rPr>
        <w:t>). Biologický poločas eliminace z plazmy (</w:t>
      </w:r>
      <w:r>
        <w:rPr>
          <w:i/>
          <w:iCs/>
          <w:szCs w:val="22"/>
        </w:rPr>
        <w:t>T</w:t>
      </w:r>
      <w:r>
        <w:rPr>
          <w:i/>
          <w:iCs/>
          <w:szCs w:val="22"/>
          <w:vertAlign w:val="subscript"/>
        </w:rPr>
        <w:t>1/2</w:t>
      </w:r>
      <w:r>
        <w:rPr>
          <w:szCs w:val="22"/>
        </w:rPr>
        <w:t>) vypočtený eliminační konstantou (</w:t>
      </w:r>
      <w:r>
        <w:rPr>
          <w:i/>
          <w:iCs/>
          <w:szCs w:val="22"/>
        </w:rPr>
        <w:t>Kel</w:t>
      </w:r>
      <w:r>
        <w:rPr>
          <w:szCs w:val="22"/>
        </w:rPr>
        <w:t xml:space="preserve">) byl 1,45 hodiny. Plocha pod křivkou byla vypočtena z naměřených koncentrací </w:t>
      </w:r>
      <w:proofErr w:type="spellStart"/>
      <w:r>
        <w:rPr>
          <w:szCs w:val="22"/>
        </w:rPr>
        <w:t>prazikvantelu</w:t>
      </w:r>
      <w:proofErr w:type="spellEnd"/>
      <w:r>
        <w:rPr>
          <w:szCs w:val="22"/>
        </w:rPr>
        <w:t xml:space="preserve"> v plazmě. </w:t>
      </w:r>
      <w:proofErr w:type="gramStart"/>
      <w:r>
        <w:rPr>
          <w:i/>
          <w:iCs/>
          <w:szCs w:val="22"/>
        </w:rPr>
        <w:t>AUC</w:t>
      </w:r>
      <w:r>
        <w:rPr>
          <w:i/>
          <w:iCs/>
          <w:szCs w:val="22"/>
          <w:vertAlign w:val="subscript"/>
        </w:rPr>
        <w:t>(</w:t>
      </w:r>
      <w:proofErr w:type="gramEnd"/>
      <w:r>
        <w:rPr>
          <w:i/>
          <w:iCs/>
          <w:szCs w:val="22"/>
          <w:vertAlign w:val="subscript"/>
        </w:rPr>
        <w:t>0-12)</w:t>
      </w:r>
      <w:r>
        <w:rPr>
          <w:szCs w:val="22"/>
        </w:rPr>
        <w:t xml:space="preserve"> byla 0,64 µ</w:t>
      </w:r>
      <w:proofErr w:type="spellStart"/>
      <w:r>
        <w:rPr>
          <w:szCs w:val="22"/>
        </w:rPr>
        <w:t>g.h</w:t>
      </w:r>
      <w:proofErr w:type="spellEnd"/>
      <w:r>
        <w:rPr>
          <w:szCs w:val="22"/>
        </w:rPr>
        <w:t xml:space="preserve">/ml. Hodnota </w:t>
      </w:r>
      <w:r>
        <w:rPr>
          <w:i/>
          <w:iCs/>
          <w:szCs w:val="22"/>
        </w:rPr>
        <w:t>AUC</w:t>
      </w:r>
      <w:r>
        <w:rPr>
          <w:i/>
          <w:iCs/>
          <w:szCs w:val="22"/>
          <w:vertAlign w:val="subscript"/>
        </w:rPr>
        <w:t>(12-∞)</w:t>
      </w:r>
      <w:r>
        <w:rPr>
          <w:szCs w:val="22"/>
        </w:rPr>
        <w:t xml:space="preserve"> byla 0,03 µ</w:t>
      </w:r>
      <w:proofErr w:type="spellStart"/>
      <w:r>
        <w:rPr>
          <w:szCs w:val="22"/>
        </w:rPr>
        <w:t>g.h</w:t>
      </w:r>
      <w:proofErr w:type="spellEnd"/>
      <w:r>
        <w:rPr>
          <w:szCs w:val="22"/>
        </w:rPr>
        <w:t xml:space="preserve">/ml a </w:t>
      </w:r>
      <w:r>
        <w:rPr>
          <w:i/>
          <w:iCs/>
          <w:szCs w:val="22"/>
        </w:rPr>
        <w:t>AUC</w:t>
      </w:r>
      <w:r>
        <w:rPr>
          <w:i/>
          <w:iCs/>
          <w:szCs w:val="22"/>
          <w:vertAlign w:val="subscript"/>
        </w:rPr>
        <w:t>(0-∞)</w:t>
      </w:r>
      <w:r>
        <w:rPr>
          <w:szCs w:val="22"/>
        </w:rPr>
        <w:t xml:space="preserve"> byla 0,67 </w:t>
      </w:r>
      <w:proofErr w:type="spellStart"/>
      <w:r>
        <w:rPr>
          <w:szCs w:val="22"/>
        </w:rPr>
        <w:t>μg.h</w:t>
      </w:r>
      <w:proofErr w:type="spellEnd"/>
      <w:r>
        <w:rPr>
          <w:szCs w:val="22"/>
        </w:rPr>
        <w:t xml:space="preserve">/ml. </w:t>
      </w:r>
    </w:p>
    <w:p w:rsidR="00990829" w:rsidRDefault="00990829" w:rsidP="00990829">
      <w:pPr>
        <w:jc w:val="both"/>
        <w:rPr>
          <w:szCs w:val="22"/>
        </w:rPr>
      </w:pPr>
      <w:proofErr w:type="spellStart"/>
      <w:r>
        <w:rPr>
          <w:szCs w:val="22"/>
        </w:rPr>
        <w:t>Prazikvantel</w:t>
      </w:r>
      <w:proofErr w:type="spellEnd"/>
      <w:r>
        <w:rPr>
          <w:szCs w:val="22"/>
        </w:rPr>
        <w:t xml:space="preserve"> je rychle metabolizován v játrech na hlavní metabolit </w:t>
      </w:r>
      <w:proofErr w:type="gramStart"/>
      <w:r>
        <w:rPr>
          <w:szCs w:val="22"/>
        </w:rPr>
        <w:t>4-hydroxycyklohexyl</w:t>
      </w:r>
      <w:proofErr w:type="gramEnd"/>
      <w:r>
        <w:rPr>
          <w:szCs w:val="22"/>
        </w:rPr>
        <w:t xml:space="preserve"> derivát. Kromě mateřské sloučeniny bylo identifikováno sedm metabolitů. Procentní poměr těchto metabolitů se v různých tkáních pohyboval mezi </w:t>
      </w:r>
      <w:proofErr w:type="gramStart"/>
      <w:r>
        <w:rPr>
          <w:szCs w:val="22"/>
        </w:rPr>
        <w:t>3%</w:t>
      </w:r>
      <w:proofErr w:type="gramEnd"/>
      <w:r>
        <w:rPr>
          <w:szCs w:val="22"/>
        </w:rPr>
        <w:t xml:space="preserve"> a 13%.</w:t>
      </w:r>
    </w:p>
    <w:p w:rsidR="00990829" w:rsidRDefault="00990829" w:rsidP="00990829">
      <w:pPr>
        <w:rPr>
          <w:szCs w:val="22"/>
        </w:rPr>
      </w:pPr>
      <w:proofErr w:type="spellStart"/>
      <w:r>
        <w:rPr>
          <w:szCs w:val="22"/>
        </w:rPr>
        <w:t>Prazikvantel</w:t>
      </w:r>
      <w:proofErr w:type="spellEnd"/>
      <w:r>
        <w:rPr>
          <w:szCs w:val="22"/>
        </w:rPr>
        <w:t xml:space="preserve"> je po subkutánním podání z těla zcela vyloučen do 24 hodin. Eliminován je ve formě metabolitů. </w:t>
      </w:r>
      <w:proofErr w:type="spellStart"/>
      <w:r>
        <w:rPr>
          <w:szCs w:val="22"/>
        </w:rPr>
        <w:t>Prazikvantel</w:t>
      </w:r>
      <w:proofErr w:type="spellEnd"/>
      <w:r>
        <w:rPr>
          <w:szCs w:val="22"/>
        </w:rPr>
        <w:t xml:space="preserve"> se vylučuje hlavně močí, zbytek je vyloučen z těla výkaly.</w:t>
      </w:r>
    </w:p>
    <w:p w:rsidR="00990829" w:rsidRDefault="00990829" w:rsidP="00990829">
      <w:pPr>
        <w:rPr>
          <w:szCs w:val="22"/>
        </w:rPr>
      </w:pPr>
    </w:p>
    <w:p w:rsidR="00990829" w:rsidRDefault="00990829" w:rsidP="00990829">
      <w:pPr>
        <w:rPr>
          <w:b/>
          <w:szCs w:val="22"/>
        </w:rPr>
      </w:pPr>
      <w:r>
        <w:rPr>
          <w:b/>
          <w:szCs w:val="22"/>
        </w:rPr>
        <w:t>6.</w:t>
      </w:r>
      <w:r>
        <w:rPr>
          <w:b/>
          <w:szCs w:val="22"/>
        </w:rPr>
        <w:tab/>
        <w:t>FARMACEUTICKÉ ÚDAJE</w:t>
      </w:r>
    </w:p>
    <w:p w:rsidR="00990829" w:rsidRDefault="00990829" w:rsidP="00990829">
      <w:pPr>
        <w:rPr>
          <w:b/>
          <w:szCs w:val="22"/>
        </w:rPr>
      </w:pPr>
    </w:p>
    <w:p w:rsidR="00990829" w:rsidRDefault="00990829" w:rsidP="00990829">
      <w:pPr>
        <w:rPr>
          <w:b/>
          <w:szCs w:val="22"/>
        </w:rPr>
      </w:pPr>
      <w:r>
        <w:rPr>
          <w:b/>
          <w:szCs w:val="22"/>
        </w:rPr>
        <w:t>6.1</w:t>
      </w:r>
      <w:r>
        <w:rPr>
          <w:b/>
          <w:szCs w:val="22"/>
        </w:rPr>
        <w:tab/>
        <w:t>Seznam pomocných látek</w:t>
      </w:r>
    </w:p>
    <w:p w:rsidR="00990829" w:rsidRDefault="00990829" w:rsidP="00990829">
      <w:pPr>
        <w:rPr>
          <w:b/>
          <w:szCs w:val="22"/>
        </w:rPr>
      </w:pPr>
    </w:p>
    <w:p w:rsidR="00990829" w:rsidRDefault="00990829" w:rsidP="00990829">
      <w:pPr>
        <w:rPr>
          <w:bCs/>
          <w:szCs w:val="22"/>
        </w:rPr>
      </w:pPr>
      <w:proofErr w:type="spellStart"/>
      <w:r>
        <w:rPr>
          <w:bCs/>
          <w:szCs w:val="22"/>
        </w:rPr>
        <w:t>Glycerolformal</w:t>
      </w:r>
      <w:proofErr w:type="spellEnd"/>
    </w:p>
    <w:p w:rsidR="00990829" w:rsidRDefault="00990829" w:rsidP="00990829">
      <w:pPr>
        <w:rPr>
          <w:bCs/>
          <w:szCs w:val="22"/>
        </w:rPr>
      </w:pPr>
      <w:proofErr w:type="spellStart"/>
      <w:r>
        <w:rPr>
          <w:bCs/>
          <w:szCs w:val="22"/>
        </w:rPr>
        <w:t>Propylenglykol</w:t>
      </w:r>
      <w:proofErr w:type="spellEnd"/>
    </w:p>
    <w:p w:rsidR="00990829" w:rsidRDefault="00990829" w:rsidP="00990829">
      <w:pPr>
        <w:rPr>
          <w:b/>
          <w:szCs w:val="22"/>
        </w:rPr>
      </w:pPr>
    </w:p>
    <w:p w:rsidR="00990829" w:rsidRDefault="00990829" w:rsidP="00990829">
      <w:pPr>
        <w:rPr>
          <w:szCs w:val="22"/>
        </w:rPr>
      </w:pPr>
      <w:r>
        <w:rPr>
          <w:b/>
          <w:szCs w:val="22"/>
        </w:rPr>
        <w:t>6.2</w:t>
      </w:r>
      <w:r>
        <w:rPr>
          <w:b/>
          <w:szCs w:val="22"/>
        </w:rPr>
        <w:tab/>
        <w:t>Hlavní inkompatibility</w:t>
      </w:r>
    </w:p>
    <w:p w:rsidR="00990829" w:rsidRDefault="00990829" w:rsidP="00990829">
      <w:pPr>
        <w:rPr>
          <w:szCs w:val="22"/>
        </w:rPr>
      </w:pPr>
    </w:p>
    <w:p w:rsidR="00990829" w:rsidRDefault="00990829" w:rsidP="00990829">
      <w:pPr>
        <w:rPr>
          <w:szCs w:val="22"/>
        </w:rPr>
      </w:pPr>
      <w:bookmarkStart w:id="18" w:name="_Hlk47602492"/>
      <w:r>
        <w:rPr>
          <w:szCs w:val="22"/>
        </w:rPr>
        <w:t>Studie kompatibility nejsou k dispozici, a proto tento veterinární léčivý přípravek nesmí být mísen s žádnými dalšími veterinárními léčivými přípravky.</w:t>
      </w:r>
    </w:p>
    <w:bookmarkEnd w:id="18"/>
    <w:p w:rsidR="00990829" w:rsidRDefault="00990829" w:rsidP="00990829">
      <w:pPr>
        <w:rPr>
          <w:szCs w:val="22"/>
        </w:rPr>
      </w:pPr>
    </w:p>
    <w:p w:rsidR="00990829" w:rsidRDefault="00990829" w:rsidP="00990829">
      <w:pPr>
        <w:rPr>
          <w:szCs w:val="22"/>
        </w:rPr>
      </w:pPr>
      <w:r>
        <w:rPr>
          <w:b/>
          <w:szCs w:val="22"/>
        </w:rPr>
        <w:t>6.3</w:t>
      </w:r>
      <w:r>
        <w:rPr>
          <w:b/>
          <w:szCs w:val="22"/>
        </w:rPr>
        <w:tab/>
        <w:t>Doba použitelnosti</w:t>
      </w:r>
    </w:p>
    <w:p w:rsidR="00990829" w:rsidRDefault="00990829" w:rsidP="00990829">
      <w:pPr>
        <w:ind w:right="-318"/>
        <w:rPr>
          <w:szCs w:val="22"/>
        </w:rPr>
      </w:pPr>
    </w:p>
    <w:p w:rsidR="00990829" w:rsidRDefault="00990829" w:rsidP="00990829">
      <w:pPr>
        <w:ind w:right="-318"/>
        <w:rPr>
          <w:szCs w:val="22"/>
        </w:rPr>
      </w:pPr>
      <w:r>
        <w:rPr>
          <w:szCs w:val="22"/>
        </w:rPr>
        <w:t xml:space="preserve">Doba použitelnosti veterinárního léčivého přípravku v neporušeném obalu: </w:t>
      </w:r>
      <w:r w:rsidR="006C60DE">
        <w:rPr>
          <w:szCs w:val="22"/>
        </w:rPr>
        <w:t xml:space="preserve">3 </w:t>
      </w:r>
      <w:r>
        <w:rPr>
          <w:szCs w:val="22"/>
        </w:rPr>
        <w:t>roky.</w:t>
      </w:r>
    </w:p>
    <w:p w:rsidR="00990829" w:rsidRDefault="00990829" w:rsidP="0069699F">
      <w:pPr>
        <w:ind w:right="-318"/>
        <w:rPr>
          <w:szCs w:val="22"/>
        </w:rPr>
      </w:pPr>
      <w:r>
        <w:rPr>
          <w:szCs w:val="22"/>
        </w:rPr>
        <w:t>Doba použitelnosti po prvním otevření vnitřního obalu: 28 dnů.</w:t>
      </w:r>
    </w:p>
    <w:p w:rsidR="00990829" w:rsidRDefault="00990829" w:rsidP="00990829">
      <w:pPr>
        <w:ind w:right="-318"/>
        <w:rPr>
          <w:szCs w:val="22"/>
        </w:rPr>
      </w:pPr>
    </w:p>
    <w:p w:rsidR="00990829" w:rsidRDefault="00990829" w:rsidP="00990829">
      <w:pPr>
        <w:rPr>
          <w:szCs w:val="22"/>
        </w:rPr>
      </w:pPr>
      <w:r>
        <w:rPr>
          <w:b/>
          <w:szCs w:val="22"/>
        </w:rPr>
        <w:t>6.4</w:t>
      </w:r>
      <w:r>
        <w:rPr>
          <w:b/>
          <w:szCs w:val="22"/>
        </w:rPr>
        <w:tab/>
        <w:t>Zvláštní opatření pro uchovávání</w:t>
      </w:r>
    </w:p>
    <w:p w:rsidR="00990829" w:rsidRDefault="00990829" w:rsidP="00990829">
      <w:pPr>
        <w:ind w:right="-318"/>
        <w:rPr>
          <w:szCs w:val="22"/>
        </w:rPr>
      </w:pPr>
    </w:p>
    <w:p w:rsidR="00990829" w:rsidRDefault="00990829" w:rsidP="00990829">
      <w:pPr>
        <w:rPr>
          <w:szCs w:val="22"/>
        </w:rPr>
      </w:pPr>
      <w:bookmarkStart w:id="19" w:name="_Hlk47602031"/>
      <w:r>
        <w:rPr>
          <w:szCs w:val="22"/>
        </w:rPr>
        <w:t>Uchovávejte při teplotě do 25 °C.</w:t>
      </w:r>
    </w:p>
    <w:p w:rsidR="00990829" w:rsidRDefault="00990829" w:rsidP="00990829">
      <w:pPr>
        <w:rPr>
          <w:szCs w:val="22"/>
        </w:rPr>
      </w:pPr>
      <w:r>
        <w:rPr>
          <w:szCs w:val="22"/>
        </w:rPr>
        <w:t>Uchovávejte injekční lahvičku v krabičce, aby byla chráněna před světlem.</w:t>
      </w:r>
    </w:p>
    <w:bookmarkEnd w:id="19"/>
    <w:p w:rsidR="00990829" w:rsidRDefault="00990829" w:rsidP="00990829">
      <w:pPr>
        <w:ind w:right="-318"/>
        <w:rPr>
          <w:szCs w:val="22"/>
        </w:rPr>
      </w:pPr>
    </w:p>
    <w:p w:rsidR="00990829" w:rsidRDefault="00990829" w:rsidP="00990829">
      <w:pPr>
        <w:keepNext/>
        <w:rPr>
          <w:szCs w:val="22"/>
        </w:rPr>
      </w:pPr>
      <w:r>
        <w:rPr>
          <w:b/>
          <w:szCs w:val="22"/>
        </w:rPr>
        <w:t>6.5</w:t>
      </w:r>
      <w:r>
        <w:rPr>
          <w:b/>
          <w:szCs w:val="22"/>
        </w:rPr>
        <w:tab/>
        <w:t>Druh a složení vnitřního obalu</w:t>
      </w:r>
    </w:p>
    <w:p w:rsidR="00990829" w:rsidRDefault="00990829" w:rsidP="00990829">
      <w:pPr>
        <w:keepNext/>
        <w:rPr>
          <w:szCs w:val="22"/>
        </w:rPr>
      </w:pPr>
    </w:p>
    <w:p w:rsidR="00990829" w:rsidRDefault="00990829" w:rsidP="00990829">
      <w:pPr>
        <w:rPr>
          <w:szCs w:val="20"/>
        </w:rPr>
      </w:pPr>
      <w:bookmarkStart w:id="20" w:name="_Hlk47602599"/>
      <w:r>
        <w:rPr>
          <w:szCs w:val="22"/>
        </w:rPr>
        <w:t xml:space="preserve">Injekční lahvička z čirého skla typu </w:t>
      </w:r>
      <w:proofErr w:type="gramStart"/>
      <w:r>
        <w:rPr>
          <w:szCs w:val="22"/>
        </w:rPr>
        <w:t>I</w:t>
      </w:r>
      <w:proofErr w:type="gramEnd"/>
      <w:r>
        <w:rPr>
          <w:szCs w:val="22"/>
        </w:rPr>
        <w:t xml:space="preserve"> o objemu 20 ml, 100 ml nebo 500 ml uzavřená </w:t>
      </w:r>
      <w:proofErr w:type="spellStart"/>
      <w:r>
        <w:rPr>
          <w:szCs w:val="22"/>
        </w:rPr>
        <w:t>brombutylovou</w:t>
      </w:r>
      <w:proofErr w:type="spellEnd"/>
      <w:r>
        <w:rPr>
          <w:szCs w:val="22"/>
        </w:rPr>
        <w:t xml:space="preserve"> gumovou zátkou a hliníkovým uzávěrem v papírové krabičce.</w:t>
      </w:r>
      <w:r>
        <w:t xml:space="preserve"> </w:t>
      </w:r>
    </w:p>
    <w:p w:rsidR="00990829" w:rsidRDefault="00990829" w:rsidP="00990829">
      <w:pPr>
        <w:rPr>
          <w:szCs w:val="22"/>
        </w:rPr>
      </w:pPr>
    </w:p>
    <w:bookmarkEnd w:id="20"/>
    <w:p w:rsidR="00990829" w:rsidRDefault="00990829" w:rsidP="00990829">
      <w:pPr>
        <w:rPr>
          <w:szCs w:val="22"/>
        </w:rPr>
      </w:pPr>
      <w:r>
        <w:rPr>
          <w:szCs w:val="22"/>
        </w:rPr>
        <w:t>Na trhu nemusí být všechny velikosti balení.</w:t>
      </w:r>
    </w:p>
    <w:p w:rsidR="00990829" w:rsidRDefault="00990829" w:rsidP="00990829">
      <w:pPr>
        <w:ind w:right="-318"/>
        <w:rPr>
          <w:szCs w:val="22"/>
        </w:rPr>
      </w:pPr>
    </w:p>
    <w:p w:rsidR="00990829" w:rsidRDefault="00990829" w:rsidP="00990829">
      <w:pPr>
        <w:rPr>
          <w:szCs w:val="22"/>
        </w:rPr>
      </w:pPr>
      <w:r>
        <w:rPr>
          <w:b/>
          <w:szCs w:val="22"/>
        </w:rPr>
        <w:t>6.6</w:t>
      </w:r>
      <w:r>
        <w:rPr>
          <w:szCs w:val="22"/>
        </w:rPr>
        <w:tab/>
      </w:r>
      <w:r>
        <w:rPr>
          <w:b/>
          <w:szCs w:val="22"/>
        </w:rPr>
        <w:t xml:space="preserve">Zvláštní opatření pro zneškodňování nepoužitého veterinárního léčivého přípravku nebo odpadu, který pochází z tohoto přípravku </w:t>
      </w:r>
    </w:p>
    <w:p w:rsidR="00990829" w:rsidRDefault="00990829" w:rsidP="00990829">
      <w:pPr>
        <w:ind w:right="-318"/>
        <w:rPr>
          <w:szCs w:val="22"/>
        </w:rPr>
      </w:pPr>
    </w:p>
    <w:p w:rsidR="00990829" w:rsidRDefault="00990829" w:rsidP="00990829">
      <w:pPr>
        <w:rPr>
          <w:szCs w:val="22"/>
        </w:rPr>
      </w:pPr>
      <w:r>
        <w:rPr>
          <w:szCs w:val="22"/>
        </w:rPr>
        <w:t xml:space="preserve">Všechen nepoužitý veterinární léčivý přípravek nebo odpad, který pochází z tohoto přípravku, musí </w:t>
      </w:r>
    </w:p>
    <w:p w:rsidR="00990829" w:rsidRDefault="00990829" w:rsidP="00990829">
      <w:pPr>
        <w:rPr>
          <w:szCs w:val="22"/>
        </w:rPr>
      </w:pPr>
      <w:r>
        <w:rPr>
          <w:szCs w:val="22"/>
        </w:rPr>
        <w:t>být likvidován podle místních právních předpisů.</w:t>
      </w:r>
    </w:p>
    <w:p w:rsidR="00990829" w:rsidRDefault="00990829" w:rsidP="00990829">
      <w:pPr>
        <w:ind w:right="-318"/>
        <w:rPr>
          <w:szCs w:val="22"/>
        </w:rPr>
      </w:pPr>
    </w:p>
    <w:p w:rsidR="00990829" w:rsidRDefault="00990829" w:rsidP="00990829">
      <w:pPr>
        <w:rPr>
          <w:b/>
          <w:szCs w:val="22"/>
        </w:rPr>
      </w:pPr>
      <w:r>
        <w:rPr>
          <w:b/>
          <w:szCs w:val="22"/>
        </w:rPr>
        <w:t>7.</w:t>
      </w:r>
      <w:r>
        <w:rPr>
          <w:b/>
          <w:szCs w:val="22"/>
        </w:rPr>
        <w:tab/>
        <w:t xml:space="preserve">DRŽITEL ROZHODNUTÍ O REGISTRACI </w:t>
      </w:r>
    </w:p>
    <w:p w:rsidR="00990829" w:rsidRDefault="00990829" w:rsidP="00990829">
      <w:pPr>
        <w:rPr>
          <w:b/>
          <w:szCs w:val="22"/>
        </w:rPr>
      </w:pPr>
    </w:p>
    <w:p w:rsidR="00990829" w:rsidRDefault="00990829" w:rsidP="00990829">
      <w:pPr>
        <w:rPr>
          <w:szCs w:val="22"/>
        </w:rPr>
      </w:pPr>
      <w:bookmarkStart w:id="21" w:name="_Hlk47601609"/>
      <w:r>
        <w:rPr>
          <w:szCs w:val="22"/>
        </w:rPr>
        <w:t>PHARMAGAL BIO, spol. s r. o.</w:t>
      </w:r>
    </w:p>
    <w:p w:rsidR="00990829" w:rsidRDefault="00990829" w:rsidP="00990829">
      <w:pPr>
        <w:rPr>
          <w:szCs w:val="22"/>
        </w:rPr>
      </w:pPr>
      <w:r>
        <w:rPr>
          <w:szCs w:val="22"/>
        </w:rPr>
        <w:t>Murgašova 5</w:t>
      </w:r>
    </w:p>
    <w:p w:rsidR="00990829" w:rsidRDefault="00990829" w:rsidP="00990829">
      <w:pPr>
        <w:rPr>
          <w:szCs w:val="22"/>
        </w:rPr>
      </w:pPr>
      <w:r>
        <w:rPr>
          <w:szCs w:val="22"/>
        </w:rPr>
        <w:t>949 01 Nitra</w:t>
      </w:r>
    </w:p>
    <w:p w:rsidR="00990829" w:rsidRDefault="00990829" w:rsidP="00990829">
      <w:pPr>
        <w:rPr>
          <w:szCs w:val="22"/>
        </w:rPr>
      </w:pPr>
      <w:r>
        <w:rPr>
          <w:szCs w:val="22"/>
        </w:rPr>
        <w:t>Slovenská republika</w:t>
      </w:r>
    </w:p>
    <w:bookmarkEnd w:id="21"/>
    <w:p w:rsidR="00990829" w:rsidRDefault="00990829" w:rsidP="00990829">
      <w:pPr>
        <w:rPr>
          <w:szCs w:val="22"/>
        </w:rPr>
      </w:pPr>
      <w:r>
        <w:rPr>
          <w:szCs w:val="22"/>
        </w:rPr>
        <w:t>tel.: +421/37/65 33 171</w:t>
      </w:r>
    </w:p>
    <w:p w:rsidR="00990829" w:rsidRDefault="00990829" w:rsidP="00990829">
      <w:pPr>
        <w:rPr>
          <w:szCs w:val="22"/>
        </w:rPr>
      </w:pPr>
      <w:r>
        <w:rPr>
          <w:szCs w:val="22"/>
        </w:rPr>
        <w:t>e-mail: bio@pharmagalbio.sk</w:t>
      </w:r>
    </w:p>
    <w:p w:rsidR="00990829" w:rsidRDefault="00990829" w:rsidP="00990829">
      <w:pPr>
        <w:ind w:right="-318"/>
        <w:rPr>
          <w:szCs w:val="22"/>
        </w:rPr>
      </w:pPr>
    </w:p>
    <w:p w:rsidR="00990829" w:rsidRDefault="00990829" w:rsidP="00990829">
      <w:pPr>
        <w:ind w:right="-318"/>
        <w:rPr>
          <w:b/>
          <w:caps/>
          <w:szCs w:val="22"/>
        </w:rPr>
      </w:pPr>
      <w:r>
        <w:rPr>
          <w:b/>
          <w:szCs w:val="22"/>
        </w:rPr>
        <w:t>8.</w:t>
      </w:r>
      <w:r>
        <w:rPr>
          <w:szCs w:val="22"/>
        </w:rPr>
        <w:tab/>
      </w:r>
      <w:r>
        <w:rPr>
          <w:b/>
          <w:caps/>
          <w:szCs w:val="22"/>
        </w:rPr>
        <w:t>Registrační číslo(a)</w:t>
      </w:r>
    </w:p>
    <w:p w:rsidR="00990829" w:rsidRDefault="00990829" w:rsidP="00990829">
      <w:pPr>
        <w:ind w:right="-318"/>
        <w:rPr>
          <w:caps/>
          <w:szCs w:val="22"/>
        </w:rPr>
      </w:pPr>
    </w:p>
    <w:p w:rsidR="00990829" w:rsidRDefault="00990829" w:rsidP="00990829">
      <w:pPr>
        <w:ind w:right="-318"/>
        <w:rPr>
          <w:caps/>
          <w:szCs w:val="22"/>
        </w:rPr>
      </w:pPr>
      <w:r>
        <w:rPr>
          <w:caps/>
          <w:szCs w:val="22"/>
        </w:rPr>
        <w:t>96/073/</w:t>
      </w:r>
      <w:proofErr w:type="gramStart"/>
      <w:r>
        <w:rPr>
          <w:caps/>
          <w:szCs w:val="22"/>
        </w:rPr>
        <w:t>20-C</w:t>
      </w:r>
      <w:proofErr w:type="gramEnd"/>
    </w:p>
    <w:p w:rsidR="00990829" w:rsidRDefault="00990829" w:rsidP="00990829">
      <w:pPr>
        <w:ind w:right="-318"/>
        <w:rPr>
          <w:caps/>
          <w:szCs w:val="22"/>
        </w:rPr>
      </w:pPr>
    </w:p>
    <w:p w:rsidR="00990829" w:rsidRDefault="00990829" w:rsidP="00990829">
      <w:pPr>
        <w:ind w:right="-318"/>
        <w:rPr>
          <w:b/>
          <w:caps/>
          <w:szCs w:val="22"/>
        </w:rPr>
      </w:pPr>
      <w:r>
        <w:rPr>
          <w:b/>
          <w:caps/>
          <w:szCs w:val="22"/>
        </w:rPr>
        <w:t>9.</w:t>
      </w:r>
      <w:r>
        <w:rPr>
          <w:b/>
          <w:caps/>
          <w:szCs w:val="22"/>
        </w:rPr>
        <w:tab/>
        <w:t>Datum registrace/ prodloužení registrace</w:t>
      </w:r>
    </w:p>
    <w:p w:rsidR="00990829" w:rsidRDefault="00990829" w:rsidP="00990829">
      <w:pPr>
        <w:ind w:right="-318"/>
        <w:rPr>
          <w:b/>
          <w:caps/>
          <w:szCs w:val="22"/>
        </w:rPr>
      </w:pPr>
    </w:p>
    <w:p w:rsidR="00990829" w:rsidRDefault="00990829" w:rsidP="00990829">
      <w:pPr>
        <w:rPr>
          <w:szCs w:val="22"/>
        </w:rPr>
      </w:pPr>
      <w:r>
        <w:rPr>
          <w:szCs w:val="22"/>
        </w:rPr>
        <w:t>Datum registrace: 30. 11. 2020</w:t>
      </w:r>
    </w:p>
    <w:p w:rsidR="00990829" w:rsidRDefault="00990829" w:rsidP="00990829">
      <w:pPr>
        <w:ind w:right="-318"/>
        <w:rPr>
          <w:szCs w:val="22"/>
        </w:rPr>
      </w:pPr>
    </w:p>
    <w:p w:rsidR="00990829" w:rsidRDefault="00990829" w:rsidP="00990829">
      <w:pPr>
        <w:ind w:right="-318"/>
        <w:rPr>
          <w:b/>
          <w:szCs w:val="22"/>
        </w:rPr>
      </w:pPr>
      <w:r>
        <w:rPr>
          <w:b/>
          <w:szCs w:val="22"/>
        </w:rPr>
        <w:t xml:space="preserve">10. </w:t>
      </w:r>
      <w:r>
        <w:rPr>
          <w:b/>
          <w:szCs w:val="22"/>
        </w:rPr>
        <w:tab/>
        <w:t>DATUM REVIZE TEXTU</w:t>
      </w:r>
    </w:p>
    <w:p w:rsidR="00990829" w:rsidRDefault="00990829" w:rsidP="00990829">
      <w:pPr>
        <w:ind w:right="-318"/>
        <w:rPr>
          <w:szCs w:val="22"/>
        </w:rPr>
      </w:pPr>
    </w:p>
    <w:p w:rsidR="00990829" w:rsidRDefault="006C60DE" w:rsidP="00990829">
      <w:pPr>
        <w:ind w:right="-318"/>
        <w:rPr>
          <w:szCs w:val="22"/>
        </w:rPr>
      </w:pPr>
      <w:proofErr w:type="gramStart"/>
      <w:r>
        <w:rPr>
          <w:szCs w:val="22"/>
        </w:rPr>
        <w:t>Květen</w:t>
      </w:r>
      <w:proofErr w:type="gramEnd"/>
      <w:r>
        <w:rPr>
          <w:szCs w:val="22"/>
        </w:rPr>
        <w:t xml:space="preserve"> 2024</w:t>
      </w:r>
    </w:p>
    <w:p w:rsidR="00990829" w:rsidRDefault="00990829" w:rsidP="00990829">
      <w:pPr>
        <w:ind w:right="-318"/>
        <w:rPr>
          <w:szCs w:val="22"/>
        </w:rPr>
      </w:pPr>
    </w:p>
    <w:p w:rsidR="00990829" w:rsidRDefault="00990829" w:rsidP="00990829">
      <w:pPr>
        <w:rPr>
          <w:szCs w:val="22"/>
        </w:rPr>
      </w:pPr>
    </w:p>
    <w:p w:rsidR="00990829" w:rsidRDefault="00990829" w:rsidP="00990829">
      <w:pPr>
        <w:tabs>
          <w:tab w:val="left" w:pos="567"/>
        </w:tabs>
        <w:rPr>
          <w:b/>
          <w:szCs w:val="22"/>
        </w:rPr>
      </w:pPr>
      <w:r>
        <w:rPr>
          <w:b/>
          <w:szCs w:val="22"/>
        </w:rPr>
        <w:lastRenderedPageBreak/>
        <w:t>DALŠÍ INFORMACE</w:t>
      </w:r>
    </w:p>
    <w:p w:rsidR="00990829" w:rsidRDefault="00990829" w:rsidP="00990829">
      <w:pPr>
        <w:tabs>
          <w:tab w:val="left" w:pos="567"/>
        </w:tabs>
        <w:rPr>
          <w:b/>
          <w:szCs w:val="22"/>
        </w:rPr>
      </w:pPr>
    </w:p>
    <w:p w:rsidR="00990829" w:rsidRDefault="00990829" w:rsidP="00990829">
      <w:pPr>
        <w:tabs>
          <w:tab w:val="left" w:pos="0"/>
          <w:tab w:val="left" w:pos="567"/>
        </w:tabs>
        <w:rPr>
          <w:b/>
          <w:szCs w:val="22"/>
        </w:rPr>
      </w:pPr>
      <w:r>
        <w:rPr>
          <w:szCs w:val="22"/>
        </w:rPr>
        <w:t>Veterinární léčivý přípravek je vydáván pouze na předpis.</w:t>
      </w:r>
    </w:p>
    <w:p w:rsidR="00990829" w:rsidRDefault="00990829" w:rsidP="00990829">
      <w:pPr>
        <w:rPr>
          <w:szCs w:val="22"/>
        </w:rPr>
      </w:pPr>
    </w:p>
    <w:p w:rsidR="00990829" w:rsidRDefault="00990829" w:rsidP="00990829">
      <w:pPr>
        <w:rPr>
          <w:szCs w:val="22"/>
        </w:rPr>
      </w:pPr>
    </w:p>
    <w:p w:rsidR="00AB7C92" w:rsidRPr="00990829" w:rsidRDefault="00AB7C92" w:rsidP="00990829"/>
    <w:sectPr w:rsidR="00AB7C92" w:rsidRPr="00990829" w:rsidSect="00A210C6">
      <w:footerReference w:type="default" r:id="rId7"/>
      <w:footerReference w:type="first" r:id="rId8"/>
      <w:pgSz w:w="11918" w:h="16840" w:code="9"/>
      <w:pgMar w:top="1134" w:right="1418" w:bottom="1134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53E" w:rsidRDefault="00F2553E">
      <w:r>
        <w:separator/>
      </w:r>
    </w:p>
  </w:endnote>
  <w:endnote w:type="continuationSeparator" w:id="0">
    <w:p w:rsidR="00F2553E" w:rsidRDefault="00F25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EDC" w:rsidRDefault="00D33EDC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:rsidR="00D33EDC" w:rsidRDefault="00EA473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A210C6">
      <w:instrText xml:space="preserve"> PAGE  \* MERGEFORMAT </w:instrText>
    </w:r>
    <w:r>
      <w:fldChar w:fldCharType="separate"/>
    </w:r>
    <w:r w:rsidR="00990829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EDC" w:rsidRDefault="00D33EDC">
    <w:pPr>
      <w:pStyle w:val="Zpat"/>
      <w:tabs>
        <w:tab w:val="clear" w:pos="8930"/>
        <w:tab w:val="right" w:pos="8931"/>
      </w:tabs>
    </w:pPr>
  </w:p>
  <w:p w:rsidR="00D33EDC" w:rsidRDefault="00EA473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A210C6">
      <w:instrText xml:space="preserve"> PAGE  \* MERGEFORMAT </w:instrText>
    </w:r>
    <w:r>
      <w:fldChar w:fldCharType="separate"/>
    </w:r>
    <w:r w:rsidR="00990829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53E" w:rsidRDefault="00F2553E">
      <w:r>
        <w:separator/>
      </w:r>
    </w:p>
  </w:footnote>
  <w:footnote w:type="continuationSeparator" w:id="0">
    <w:p w:rsidR="00F2553E" w:rsidRDefault="00F25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7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9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4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5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9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5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4"/>
  </w:num>
  <w:num w:numId="5">
    <w:abstractNumId w:val="33"/>
  </w:num>
  <w:num w:numId="6">
    <w:abstractNumId w:val="11"/>
  </w:num>
  <w:num w:numId="7">
    <w:abstractNumId w:val="21"/>
  </w:num>
  <w:num w:numId="8">
    <w:abstractNumId w:val="20"/>
  </w:num>
  <w:num w:numId="9">
    <w:abstractNumId w:val="6"/>
  </w:num>
  <w:num w:numId="10">
    <w:abstractNumId w:val="31"/>
  </w:num>
  <w:num w:numId="11">
    <w:abstractNumId w:val="32"/>
  </w:num>
  <w:num w:numId="12">
    <w:abstractNumId w:val="16"/>
  </w:num>
  <w:num w:numId="13">
    <w:abstractNumId w:val="13"/>
  </w:num>
  <w:num w:numId="14">
    <w:abstractNumId w:val="2"/>
  </w:num>
  <w:num w:numId="15">
    <w:abstractNumId w:val="30"/>
  </w:num>
  <w:num w:numId="16">
    <w:abstractNumId w:val="18"/>
  </w:num>
  <w:num w:numId="17">
    <w:abstractNumId w:val="35"/>
  </w:num>
  <w:num w:numId="18">
    <w:abstractNumId w:val="7"/>
  </w:num>
  <w:num w:numId="19">
    <w:abstractNumId w:val="1"/>
  </w:num>
  <w:num w:numId="20">
    <w:abstractNumId w:val="17"/>
  </w:num>
  <w:num w:numId="21">
    <w:abstractNumId w:val="3"/>
  </w:num>
  <w:num w:numId="22">
    <w:abstractNumId w:val="5"/>
  </w:num>
  <w:num w:numId="23">
    <w:abstractNumId w:val="24"/>
  </w:num>
  <w:num w:numId="24">
    <w:abstractNumId w:val="10"/>
  </w:num>
  <w:num w:numId="25">
    <w:abstractNumId w:val="29"/>
  </w:num>
  <w:num w:numId="26">
    <w:abstractNumId w:val="23"/>
  </w:num>
  <w:num w:numId="27">
    <w:abstractNumId w:val="12"/>
  </w:num>
  <w:num w:numId="28">
    <w:abstractNumId w:val="9"/>
  </w:num>
  <w:num w:numId="29">
    <w:abstractNumId w:val="19"/>
  </w:num>
  <w:num w:numId="30">
    <w:abstractNumId w:val="22"/>
  </w:num>
  <w:num w:numId="31">
    <w:abstractNumId w:val="14"/>
  </w:num>
  <w:num w:numId="32">
    <w:abstractNumId w:val="8"/>
  </w:num>
  <w:num w:numId="33">
    <w:abstractNumId w:val="27"/>
  </w:num>
  <w:num w:numId="34">
    <w:abstractNumId w:val="28"/>
  </w:num>
  <w:num w:numId="35">
    <w:abstractNumId w:val="26"/>
  </w:num>
  <w:num w:numId="36">
    <w:abstractNumId w:val="15"/>
  </w:num>
  <w:num w:numId="37">
    <w:abstractNumId w:val="4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294"/>
    <w:rsid w:val="00005294"/>
    <w:rsid w:val="00052C17"/>
    <w:rsid w:val="00313C33"/>
    <w:rsid w:val="00466049"/>
    <w:rsid w:val="0069699F"/>
    <w:rsid w:val="006C60DE"/>
    <w:rsid w:val="00752848"/>
    <w:rsid w:val="008C71AD"/>
    <w:rsid w:val="00990829"/>
    <w:rsid w:val="00A210C6"/>
    <w:rsid w:val="00AA7DE7"/>
    <w:rsid w:val="00AB7C92"/>
    <w:rsid w:val="00D33EDC"/>
    <w:rsid w:val="00DA2F9A"/>
    <w:rsid w:val="00E53190"/>
    <w:rsid w:val="00EA473D"/>
    <w:rsid w:val="00EE679D"/>
    <w:rsid w:val="00F2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5FDC5E-B79F-4725-93F6-A585D2FF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210C6"/>
    <w:rPr>
      <w:sz w:val="24"/>
      <w:szCs w:val="24"/>
    </w:rPr>
  </w:style>
  <w:style w:type="paragraph" w:styleId="Nadpis1">
    <w:name w:val="heading 1"/>
    <w:basedOn w:val="Normln"/>
    <w:next w:val="Normln"/>
    <w:qFormat/>
    <w:rsid w:val="00A210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210C6"/>
    <w:pPr>
      <w:keepNext/>
      <w:spacing w:before="240" w:after="60"/>
      <w:ind w:left="567" w:hanging="567"/>
      <w:outlineLvl w:val="1"/>
    </w:pPr>
    <w:rPr>
      <w:rFonts w:ascii="Helvetica" w:hAnsi="Helvetica"/>
      <w:b/>
      <w:i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odr">
    <w:name w:val="Modrý"/>
    <w:basedOn w:val="Normln"/>
    <w:rsid w:val="00A210C6"/>
    <w:rPr>
      <w:rFonts w:ascii="Arial" w:hAnsi="Arial"/>
      <w:color w:val="0000FF"/>
      <w:sz w:val="20"/>
    </w:rPr>
  </w:style>
  <w:style w:type="character" w:customStyle="1" w:styleId="erven">
    <w:name w:val="červený"/>
    <w:rsid w:val="00A210C6"/>
    <w:rPr>
      <w:rFonts w:ascii="Tahoma" w:hAnsi="Tahoma"/>
      <w:b/>
      <w:color w:val="FF0000"/>
    </w:rPr>
  </w:style>
  <w:style w:type="paragraph" w:customStyle="1" w:styleId="modr0">
    <w:name w:val="modrý"/>
    <w:basedOn w:val="Nadpis1"/>
    <w:rsid w:val="00A210C6"/>
    <w:pPr>
      <w:spacing w:before="0" w:after="0"/>
      <w:jc w:val="both"/>
    </w:pPr>
    <w:rPr>
      <w:rFonts w:cs="Times New Roman"/>
      <w:bCs w:val="0"/>
      <w:caps/>
      <w:color w:val="3366FF"/>
      <w:kern w:val="0"/>
      <w:sz w:val="2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kladntext">
    <w:name w:val="Body Text"/>
    <w:basedOn w:val="Normln"/>
    <w:rsid w:val="00A210C6"/>
    <w:pPr>
      <w:spacing w:after="120"/>
    </w:pPr>
  </w:style>
  <w:style w:type="paragraph" w:customStyle="1" w:styleId="kurz">
    <w:name w:val="kurz"/>
    <w:basedOn w:val="Normln"/>
    <w:rsid w:val="00A210C6"/>
    <w:pPr>
      <w:jc w:val="both"/>
    </w:pPr>
    <w:rPr>
      <w:b/>
      <w:bCs/>
      <w:color w:val="00FF00"/>
      <w:u w:val="single"/>
    </w:rPr>
  </w:style>
  <w:style w:type="paragraph" w:customStyle="1" w:styleId="Bullet">
    <w:name w:val="Bullet"/>
    <w:basedOn w:val="Normln"/>
    <w:rsid w:val="00A210C6"/>
    <w:pPr>
      <w:numPr>
        <w:numId w:val="2"/>
      </w:numPr>
    </w:pPr>
    <w:rPr>
      <w:sz w:val="22"/>
      <w:szCs w:val="20"/>
      <w:lang w:eastAsia="en-US"/>
    </w:rPr>
  </w:style>
  <w:style w:type="paragraph" w:customStyle="1" w:styleId="AHeader1">
    <w:name w:val="AHeader 1"/>
    <w:basedOn w:val="Normln"/>
    <w:rsid w:val="00A210C6"/>
    <w:pPr>
      <w:numPr>
        <w:numId w:val="32"/>
      </w:numPr>
      <w:spacing w:after="120"/>
    </w:pPr>
    <w:rPr>
      <w:rFonts w:ascii="Arial" w:hAnsi="Arial" w:cs="Arial"/>
      <w:b/>
      <w:bCs/>
      <w:szCs w:val="20"/>
      <w:lang w:val="en-GB" w:eastAsia="en-US"/>
    </w:rPr>
  </w:style>
  <w:style w:type="paragraph" w:customStyle="1" w:styleId="AHeader2">
    <w:name w:val="AHeader 2"/>
    <w:basedOn w:val="AHeader1"/>
    <w:rsid w:val="00A210C6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A210C6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rsid w:val="00A210C6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A210C6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paragraph" w:styleId="Zkladntextodsazen2">
    <w:name w:val="Body Text Indent 2"/>
    <w:basedOn w:val="Normln"/>
    <w:rsid w:val="00A210C6"/>
    <w:pPr>
      <w:ind w:left="567" w:hanging="567"/>
      <w:jc w:val="both"/>
    </w:pPr>
    <w:rPr>
      <w:b/>
      <w:sz w:val="22"/>
      <w:szCs w:val="20"/>
      <w:lang w:eastAsia="en-US"/>
    </w:rPr>
  </w:style>
  <w:style w:type="paragraph" w:styleId="Zpat">
    <w:name w:val="footer"/>
    <w:basedOn w:val="Normln"/>
    <w:rsid w:val="00A210C6"/>
    <w:pPr>
      <w:tabs>
        <w:tab w:val="center" w:pos="4536"/>
        <w:tab w:val="center" w:pos="8930"/>
      </w:tabs>
      <w:ind w:left="567" w:hanging="567"/>
    </w:pPr>
    <w:rPr>
      <w:rFonts w:ascii="Helvetica" w:hAnsi="Helvetica"/>
      <w:sz w:val="16"/>
      <w:szCs w:val="20"/>
      <w:lang w:eastAsia="en-US"/>
    </w:rPr>
  </w:style>
  <w:style w:type="paragraph" w:styleId="Zkladntext3">
    <w:name w:val="Body Text 3"/>
    <w:basedOn w:val="Normln"/>
    <w:link w:val="Zkladntext3Char"/>
    <w:rsid w:val="0099082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990829"/>
    <w:rPr>
      <w:sz w:val="16"/>
      <w:szCs w:val="16"/>
    </w:rPr>
  </w:style>
  <w:style w:type="character" w:customStyle="1" w:styleId="AssessorscommenttextChar">
    <w:name w:val="Assessor´s comment (text) Char"/>
    <w:link w:val="Assessorscommenttext"/>
    <w:locked/>
    <w:rsid w:val="00990829"/>
    <w:rPr>
      <w:rFonts w:ascii="Calibri" w:hAnsi="Calibri" w:cs="Calibri"/>
      <w:i/>
      <w:color w:val="C00000"/>
      <w:sz w:val="22"/>
      <w:szCs w:val="24"/>
      <w:lang w:val="en-GB" w:eastAsia="en-US"/>
    </w:rPr>
  </w:style>
  <w:style w:type="paragraph" w:customStyle="1" w:styleId="Assessorscommenttext">
    <w:name w:val="Assessor´s comment (text)"/>
    <w:basedOn w:val="Normln"/>
    <w:link w:val="AssessorscommenttextChar"/>
    <w:rsid w:val="00990829"/>
    <w:pPr>
      <w:spacing w:after="240"/>
    </w:pPr>
    <w:rPr>
      <w:rFonts w:ascii="Calibri" w:hAnsi="Calibri" w:cs="Calibri"/>
      <w:i/>
      <w:color w:val="C00000"/>
      <w:sz w:val="22"/>
      <w:lang w:val="en-GB" w:eastAsia="en-US"/>
    </w:rPr>
  </w:style>
  <w:style w:type="paragraph" w:styleId="Textbubliny">
    <w:name w:val="Balloon Text"/>
    <w:basedOn w:val="Normln"/>
    <w:link w:val="TextbublinyChar"/>
    <w:rsid w:val="006C60D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6C60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4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1103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Pokyn</vt:lpstr>
    </vt:vector>
  </TitlesOfParts>
  <Company>USKVBL</Company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</dc:title>
  <dc:subject/>
  <dc:creator>formankova</dc:creator>
  <cp:keywords/>
  <dc:description/>
  <cp:lastModifiedBy>Nejezchlebová Ladislava</cp:lastModifiedBy>
  <cp:revision>5</cp:revision>
  <cp:lastPrinted>2024-05-24T09:45:00Z</cp:lastPrinted>
  <dcterms:created xsi:type="dcterms:W3CDTF">2024-05-24T09:43:00Z</dcterms:created>
  <dcterms:modified xsi:type="dcterms:W3CDTF">2024-05-24T09:45:00Z</dcterms:modified>
</cp:coreProperties>
</file>