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AC30A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5A591CFD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7BA0541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668654F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E03413F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DEAD48C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4E8BD5A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FB4EBE8" w14:textId="77777777" w:rsidR="004A61FD" w:rsidRPr="00D47E9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ACADE54" w14:textId="77777777" w:rsidR="004A61FD" w:rsidRPr="00D47E94" w:rsidRDefault="004A61FD" w:rsidP="004A61FD">
      <w:pPr>
        <w:tabs>
          <w:tab w:val="clear" w:pos="567"/>
        </w:tabs>
        <w:spacing w:line="240" w:lineRule="auto"/>
        <w:rPr>
          <w:szCs w:val="22"/>
        </w:rPr>
      </w:pPr>
    </w:p>
    <w:p w14:paraId="43BFF516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62A2C27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AECA1DF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30AA95A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B0FA428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621970CA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508E28F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40E82E03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63A0D6C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1C21A408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519E786F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477F16A3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71943CA9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5EE80A3E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6DDC744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5322DE9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jc w:val="center"/>
        <w:rPr>
          <w:rStyle w:val="Formatvorlage12PtFett"/>
        </w:rPr>
      </w:pPr>
      <w:r>
        <w:rPr>
          <w:rStyle w:val="Formatvorlage12PtFett"/>
          <w:szCs w:val="22"/>
        </w:rPr>
        <w:t>B. PŘÍBALOVÁ INFORMACE</w:t>
      </w:r>
    </w:p>
    <w:p w14:paraId="7117EB94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jc w:val="center"/>
        <w:rPr>
          <w:rStyle w:val="Formatvorlage12PtFett"/>
          <w:szCs w:val="22"/>
        </w:rPr>
      </w:pPr>
      <w:r>
        <w:br w:type="page"/>
      </w:r>
      <w:r>
        <w:rPr>
          <w:rStyle w:val="Formatvorlage12PtFett"/>
          <w:szCs w:val="22"/>
        </w:rPr>
        <w:lastRenderedPageBreak/>
        <w:t>PŘÍBALOVÁ INFORMACE:</w:t>
      </w:r>
    </w:p>
    <w:p w14:paraId="3DB585DA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jc w:val="center"/>
      </w:pPr>
    </w:p>
    <w:p w14:paraId="77DCC40C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jc w:val="center"/>
        <w:rPr>
          <w:szCs w:val="22"/>
        </w:rPr>
      </w:pPr>
      <w:proofErr w:type="spellStart"/>
      <w:r>
        <w:t>Spasmalgan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rPr>
          <w:b/>
          <w:szCs w:val="22"/>
        </w:rPr>
        <w:t xml:space="preserve"> </w:t>
      </w:r>
      <w:r>
        <w:t>500 mg/ml + 4 mg/ml</w:t>
      </w:r>
    </w:p>
    <w:p w14:paraId="6B5A07FA" w14:textId="77777777" w:rsidR="004A61FD" w:rsidRPr="00474C50" w:rsidRDefault="004A61FD" w:rsidP="004A61FD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t>Injekční roztok pro koně, skot, prasata, psy</w:t>
      </w:r>
    </w:p>
    <w:p w14:paraId="77F0F954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jc w:val="center"/>
        <w:rPr>
          <w:b/>
          <w:szCs w:val="22"/>
        </w:rPr>
      </w:pPr>
    </w:p>
    <w:p w14:paraId="729A00ED" w14:textId="77777777" w:rsidR="004A61FD" w:rsidRDefault="004A61FD" w:rsidP="004A61FD">
      <w:pPr>
        <w:pStyle w:val="TextkrperPartIB"/>
      </w:pPr>
    </w:p>
    <w:p w14:paraId="19227637" w14:textId="77777777" w:rsidR="004A61FD" w:rsidRPr="001E2853" w:rsidRDefault="004A61FD" w:rsidP="004A61FD">
      <w:pPr>
        <w:tabs>
          <w:tab w:val="clear" w:pos="567"/>
        </w:tabs>
        <w:spacing w:line="240" w:lineRule="auto"/>
        <w:ind w:left="709" w:hanging="709"/>
        <w:rPr>
          <w:b/>
          <w:szCs w:val="22"/>
        </w:rPr>
      </w:pPr>
      <w:r w:rsidRPr="001E2853">
        <w:rPr>
          <w:b/>
          <w:szCs w:val="22"/>
        </w:rPr>
        <w:t>1.</w:t>
      </w:r>
      <w:r w:rsidRPr="001E2853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5A1DE808" w14:textId="77777777" w:rsidR="004A61FD" w:rsidRPr="007C61A8" w:rsidRDefault="004A61FD" w:rsidP="004A61FD">
      <w:pPr>
        <w:tabs>
          <w:tab w:val="clear" w:pos="567"/>
        </w:tabs>
        <w:spacing w:line="240" w:lineRule="auto"/>
        <w:rPr>
          <w:b/>
          <w:szCs w:val="22"/>
        </w:rPr>
      </w:pPr>
    </w:p>
    <w:p w14:paraId="485B62C2" w14:textId="44619ACA" w:rsidR="004A61FD" w:rsidRPr="00653C5D" w:rsidRDefault="00653C5D" w:rsidP="004A61FD">
      <w:pPr>
        <w:pStyle w:val="TextkrperPartIB"/>
      </w:pPr>
      <w:r w:rsidRPr="0046215B">
        <w:rPr>
          <w:iCs/>
          <w:u w:val="single"/>
          <w:lang w:eastAsia="cs-CZ"/>
        </w:rPr>
        <w:t>Držitel rozhodnutí o registraci a výrobce odpovědný za uvolnění šarže:</w:t>
      </w:r>
    </w:p>
    <w:p w14:paraId="74E87CDF" w14:textId="77777777" w:rsidR="004A61FD" w:rsidRPr="00EA2CE5" w:rsidRDefault="004A61FD" w:rsidP="004A61FD">
      <w:pPr>
        <w:pStyle w:val="TextkrperPartIB"/>
      </w:pPr>
      <w:proofErr w:type="spellStart"/>
      <w:r>
        <w:t>Veyx-Pharma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160B7365" w14:textId="77777777" w:rsidR="004A61FD" w:rsidRPr="00EA2CE5" w:rsidRDefault="004A61FD" w:rsidP="004A61FD">
      <w:pPr>
        <w:pStyle w:val="TextkrperPartIB"/>
      </w:pPr>
      <w:proofErr w:type="spellStart"/>
      <w:r>
        <w:t>Söhreweg</w:t>
      </w:r>
      <w:proofErr w:type="spellEnd"/>
      <w:r>
        <w:t xml:space="preserve"> 6</w:t>
      </w:r>
    </w:p>
    <w:p w14:paraId="5056B13F" w14:textId="77777777" w:rsidR="004A61FD" w:rsidRPr="00EA2CE5" w:rsidRDefault="004A61FD" w:rsidP="004A61FD">
      <w:pPr>
        <w:pStyle w:val="TextkrperPartIB"/>
      </w:pPr>
      <w:r>
        <w:t xml:space="preserve">34639 </w:t>
      </w:r>
      <w:proofErr w:type="spellStart"/>
      <w:r>
        <w:t>Schwarzenborn</w:t>
      </w:r>
      <w:proofErr w:type="spellEnd"/>
    </w:p>
    <w:p w14:paraId="28DAA9A3" w14:textId="77777777" w:rsidR="004A61FD" w:rsidRPr="00EA2CE5" w:rsidRDefault="004A61FD" w:rsidP="004A61FD">
      <w:pPr>
        <w:pStyle w:val="TextkrperPartIB"/>
      </w:pPr>
      <w:r>
        <w:t>Německo</w:t>
      </w:r>
    </w:p>
    <w:p w14:paraId="67AA8D55" w14:textId="77777777" w:rsidR="004A61FD" w:rsidRPr="001E2853" w:rsidRDefault="004A61FD" w:rsidP="004A61FD">
      <w:pPr>
        <w:pStyle w:val="TextkrperPartIB"/>
      </w:pPr>
    </w:p>
    <w:p w14:paraId="14FCDBC9" w14:textId="77777777" w:rsidR="004A61FD" w:rsidRPr="001E2853" w:rsidRDefault="004A61FD" w:rsidP="004A61FD">
      <w:pPr>
        <w:pStyle w:val="TextkrperPartIB"/>
      </w:pPr>
    </w:p>
    <w:p w14:paraId="438862B2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2.</w:t>
      </w:r>
      <w:r w:rsidRPr="001E2853">
        <w:rPr>
          <w:b/>
          <w:szCs w:val="22"/>
        </w:rPr>
        <w:tab/>
        <w:t>NÁZEV VETERINÁRNÍHO LÉČIVÉHO PŘÍPRAVKU</w:t>
      </w:r>
    </w:p>
    <w:p w14:paraId="623F14BD" w14:textId="77777777" w:rsidR="004A61FD" w:rsidRDefault="004A61FD" w:rsidP="004A61FD">
      <w:pPr>
        <w:pStyle w:val="TextkrperPartIB"/>
      </w:pPr>
    </w:p>
    <w:p w14:paraId="38745E53" w14:textId="0E2B8814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Spasmalgan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t xml:space="preserve"> 500 mg/ml + 4 mg/ml</w:t>
      </w:r>
      <w:r w:rsidR="00653C5D">
        <w:t xml:space="preserve"> </w:t>
      </w:r>
      <w:r>
        <w:t>injekční roztok pro koně, skot, prasata, psy</w:t>
      </w:r>
    </w:p>
    <w:p w14:paraId="63537649" w14:textId="37102B4D" w:rsidR="004A61FD" w:rsidRDefault="004A61FD" w:rsidP="004A61FD">
      <w:pPr>
        <w:pStyle w:val="TextkrperPartIB"/>
      </w:pPr>
      <w:proofErr w:type="spellStart"/>
      <w:r>
        <w:t>Metamizolum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 xml:space="preserve">, </w:t>
      </w:r>
      <w:proofErr w:type="spellStart"/>
      <w:r w:rsidR="00653C5D">
        <w:t>butylscopolaminii</w:t>
      </w:r>
      <w:proofErr w:type="spellEnd"/>
      <w:r w:rsidR="00653C5D">
        <w:t xml:space="preserve"> </w:t>
      </w:r>
      <w:proofErr w:type="spellStart"/>
      <w:r w:rsidR="00653C5D">
        <w:t>bromidum</w:t>
      </w:r>
      <w:proofErr w:type="spellEnd"/>
    </w:p>
    <w:p w14:paraId="13EDAA16" w14:textId="77777777" w:rsidR="004A61FD" w:rsidRDefault="004A61FD" w:rsidP="004A61FD">
      <w:pPr>
        <w:pStyle w:val="TextkrperPartIB"/>
      </w:pPr>
    </w:p>
    <w:p w14:paraId="1FA2C01F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3.</w:t>
      </w:r>
      <w:r w:rsidRPr="001E2853">
        <w:rPr>
          <w:b/>
          <w:szCs w:val="22"/>
        </w:rPr>
        <w:tab/>
        <w:t>OBSAH LÉČIVÝCH A OSTATNÍCH LÁTEK</w:t>
      </w:r>
    </w:p>
    <w:p w14:paraId="41B12C98" w14:textId="77777777" w:rsidR="004A61FD" w:rsidRDefault="004A61FD" w:rsidP="004A61FD">
      <w:pPr>
        <w:pStyle w:val="TextkrperPartIB"/>
      </w:pPr>
    </w:p>
    <w:p w14:paraId="45089A10" w14:textId="025A001E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Spasmalgan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t xml:space="preserve"> je čirý žlutý injekční roztok, který obsahuje:</w:t>
      </w:r>
    </w:p>
    <w:p w14:paraId="760B1F4B" w14:textId="77777777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Léčivé látky:</w:t>
      </w:r>
    </w:p>
    <w:p w14:paraId="23BC6507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t>Metamizolum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ab/>
        <w:t>500,00 mg/ml</w:t>
      </w:r>
    </w:p>
    <w:p w14:paraId="0D7C7CDC" w14:textId="51C33BE4" w:rsidR="004A61FD" w:rsidRPr="00D5646F" w:rsidRDefault="004A61FD" w:rsidP="004A61FD">
      <w:pPr>
        <w:tabs>
          <w:tab w:val="clear" w:pos="567"/>
        </w:tabs>
        <w:spacing w:line="240" w:lineRule="auto"/>
        <w:jc w:val="both"/>
        <w:rPr>
          <w:bCs/>
        </w:rPr>
      </w:pPr>
      <w:r>
        <w:t xml:space="preserve">(odpovídá 443,00 mg/ml </w:t>
      </w:r>
      <w:proofErr w:type="spellStart"/>
      <w:r>
        <w:t>metamizolum</w:t>
      </w:r>
      <w:proofErr w:type="spellEnd"/>
      <w:r>
        <w:t>)</w:t>
      </w:r>
    </w:p>
    <w:p w14:paraId="7BCECA0D" w14:textId="77777777" w:rsidR="004A61FD" w:rsidRPr="00D5646F" w:rsidRDefault="004A61FD" w:rsidP="004A61FD">
      <w:pPr>
        <w:tabs>
          <w:tab w:val="clear" w:pos="567"/>
        </w:tabs>
        <w:spacing w:line="240" w:lineRule="auto"/>
        <w:jc w:val="both"/>
        <w:rPr>
          <w:bCs/>
        </w:rPr>
      </w:pPr>
    </w:p>
    <w:p w14:paraId="472A5586" w14:textId="49DD6E20" w:rsidR="004A61FD" w:rsidRPr="00D5646F" w:rsidRDefault="00653C5D" w:rsidP="004A61F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t>Butylscopolaminii</w:t>
      </w:r>
      <w:proofErr w:type="spellEnd"/>
      <w:r>
        <w:t xml:space="preserve"> </w:t>
      </w:r>
      <w:proofErr w:type="spellStart"/>
      <w:r>
        <w:t>bromidum</w:t>
      </w:r>
      <w:proofErr w:type="spellEnd"/>
      <w:r w:rsidR="004A61FD">
        <w:tab/>
      </w:r>
      <w:r w:rsidR="004A61FD">
        <w:tab/>
      </w:r>
      <w:r w:rsidR="004A61FD">
        <w:tab/>
        <w:t xml:space="preserve">    4,00 mg/ml</w:t>
      </w:r>
    </w:p>
    <w:p w14:paraId="3E1FD8CF" w14:textId="19C67987" w:rsidR="004A61FD" w:rsidRPr="00D5646F" w:rsidRDefault="004A61FD" w:rsidP="004A61FD">
      <w:pPr>
        <w:tabs>
          <w:tab w:val="clear" w:pos="567"/>
        </w:tabs>
        <w:spacing w:line="240" w:lineRule="auto"/>
        <w:jc w:val="both"/>
        <w:rPr>
          <w:bCs/>
        </w:rPr>
      </w:pPr>
      <w:r>
        <w:t xml:space="preserve">(odpovídá 2,76 mg/ml </w:t>
      </w:r>
      <w:proofErr w:type="spellStart"/>
      <w:r w:rsidR="00653C5D">
        <w:t>scopolaminum</w:t>
      </w:r>
      <w:proofErr w:type="spellEnd"/>
      <w:r>
        <w:t>)</w:t>
      </w:r>
    </w:p>
    <w:p w14:paraId="66CD62F3" w14:textId="77777777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059F7BD" w14:textId="77777777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Pomocné látky:</w:t>
      </w:r>
    </w:p>
    <w:p w14:paraId="46820A57" w14:textId="2B9CDD86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Benzylalkohol</w:t>
      </w:r>
      <w:proofErr w:type="spellEnd"/>
      <w:r>
        <w:t xml:space="preserve"> (E</w:t>
      </w:r>
      <w:r w:rsidR="00653C5D">
        <w:t xml:space="preserve"> </w:t>
      </w:r>
      <w:r>
        <w:t>1519)</w:t>
      </w:r>
      <w:r>
        <w:tab/>
      </w:r>
      <w:r>
        <w:tab/>
      </w:r>
      <w:r>
        <w:tab/>
      </w:r>
      <w:r>
        <w:tab/>
        <w:t xml:space="preserve">   10,00 mg/ml</w:t>
      </w:r>
    </w:p>
    <w:p w14:paraId="05D38F0A" w14:textId="77777777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B06F62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4.</w:t>
      </w:r>
      <w:r w:rsidRPr="001E2853">
        <w:rPr>
          <w:b/>
          <w:szCs w:val="22"/>
        </w:rPr>
        <w:tab/>
        <w:t>INDIKACE</w:t>
      </w:r>
    </w:p>
    <w:p w14:paraId="2EAE00C8" w14:textId="77777777" w:rsidR="004A61FD" w:rsidRDefault="004A61FD" w:rsidP="004A61FD">
      <w:pPr>
        <w:pStyle w:val="TextkrperPartIB"/>
        <w:rPr>
          <w:rFonts w:cs="Arial"/>
          <w:bCs/>
        </w:rPr>
      </w:pPr>
    </w:p>
    <w:p w14:paraId="05CFEB6B" w14:textId="1487120F" w:rsidR="0093405B" w:rsidRPr="003C32EB" w:rsidRDefault="004A61FD" w:rsidP="0093405B">
      <w:pPr>
        <w:tabs>
          <w:tab w:val="clear" w:pos="567"/>
        </w:tabs>
        <w:spacing w:line="240" w:lineRule="auto"/>
        <w:jc w:val="both"/>
      </w:pPr>
      <w:r>
        <w:t>Léčba spasmů nebo trvale zvýšeného tonu hladkých svalů gastrointestinálního traktu</w:t>
      </w:r>
      <w:r w:rsidR="0093405B">
        <w:t xml:space="preserve"> nebo</w:t>
      </w:r>
      <w:r>
        <w:t xml:space="preserve"> </w:t>
      </w:r>
    </w:p>
    <w:p w14:paraId="7B6FA9BF" w14:textId="527FF617" w:rsidR="0093405B" w:rsidRDefault="0093405B" w:rsidP="0093405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C32EB">
        <w:t>močov</w:t>
      </w:r>
      <w:r w:rsidRPr="003704BA">
        <w:t>ého</w:t>
      </w:r>
      <w:r w:rsidRPr="003C32EB">
        <w:t xml:space="preserve"> a žlučov</w:t>
      </w:r>
      <w:r w:rsidRPr="003704BA">
        <w:t>ého</w:t>
      </w:r>
      <w:r w:rsidRPr="003C32EB">
        <w:t xml:space="preserve"> vylučovacíh</w:t>
      </w:r>
      <w:r w:rsidRPr="003704BA">
        <w:t>o systému</w:t>
      </w:r>
      <w:r w:rsidR="009C2513">
        <w:t xml:space="preserve"> spojená</w:t>
      </w:r>
      <w:r w:rsidRPr="003C32EB">
        <w:t xml:space="preserve"> s bolestí.</w:t>
      </w:r>
    </w:p>
    <w:p w14:paraId="70CBAB91" w14:textId="77777777" w:rsidR="004A61FD" w:rsidRPr="00FF1FD8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81C426" w14:textId="77777777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Koně:</w:t>
      </w:r>
    </w:p>
    <w:p w14:paraId="1D4EC3FE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Spastická kolika</w:t>
      </w:r>
    </w:p>
    <w:p w14:paraId="71C1A71C" w14:textId="77777777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34D416" w14:textId="77777777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Skot/telata, prasata, psi:</w:t>
      </w:r>
    </w:p>
    <w:p w14:paraId="347B3A00" w14:textId="77777777" w:rsidR="0093405B" w:rsidRDefault="0093405B" w:rsidP="0093405B">
      <w:pPr>
        <w:tabs>
          <w:tab w:val="clear" w:pos="567"/>
        </w:tabs>
        <w:spacing w:line="240" w:lineRule="auto"/>
        <w:jc w:val="both"/>
      </w:pPr>
      <w:r>
        <w:t>Jako podpůrná terapie při akutním průjmovém onemocnění.</w:t>
      </w:r>
    </w:p>
    <w:p w14:paraId="7C4DD2AD" w14:textId="77777777" w:rsidR="004A61FD" w:rsidRPr="00145C3F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F2A898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5.</w:t>
      </w:r>
      <w:r w:rsidRPr="001E2853">
        <w:rPr>
          <w:b/>
          <w:szCs w:val="22"/>
        </w:rPr>
        <w:tab/>
        <w:t>KONTRAINDIKACE</w:t>
      </w:r>
    </w:p>
    <w:p w14:paraId="0680356B" w14:textId="77777777" w:rsidR="00CE0C73" w:rsidRPr="001E2853" w:rsidRDefault="00CE0C73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</w:p>
    <w:p w14:paraId="563AB5B8" w14:textId="77777777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v případech přecitlivělosti na léčivou látku, nebo na některou z pomocných látek. Kvůli obsahu sodné soli </w:t>
      </w:r>
      <w:proofErr w:type="spellStart"/>
      <w:r>
        <w:t>metamizolu</w:t>
      </w:r>
      <w:proofErr w:type="spellEnd"/>
      <w:r>
        <w:t xml:space="preserve"> nepoužívejte v případě:</w:t>
      </w:r>
    </w:p>
    <w:p w14:paraId="255A4044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poruch hematopoetického systému,</w:t>
      </w:r>
    </w:p>
    <w:p w14:paraId="1260442D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gastrointestinální ulcerace,</w:t>
      </w:r>
    </w:p>
    <w:p w14:paraId="1224332A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chronických gastrointestinálních poruch,</w:t>
      </w:r>
    </w:p>
    <w:p w14:paraId="11CB8A4F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renální insuficience, </w:t>
      </w:r>
    </w:p>
    <w:p w14:paraId="4885A714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koagulopatie</w:t>
      </w:r>
      <w:proofErr w:type="spellEnd"/>
      <w:r>
        <w:t>.</w:t>
      </w:r>
    </w:p>
    <w:p w14:paraId="4A6794D0" w14:textId="77777777" w:rsidR="004A61FD" w:rsidRPr="002845A0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C4D4A5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1E72B1" w14:textId="6AE7F4CA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Kvůli obsahu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nepoužívejte v případě:</w:t>
      </w:r>
    </w:p>
    <w:p w14:paraId="2F22C559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mechanických stenóz v gastrointestinálním systému,</w:t>
      </w:r>
    </w:p>
    <w:p w14:paraId="63F9B807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tachyarytmie</w:t>
      </w:r>
      <w:proofErr w:type="spellEnd"/>
      <w:r>
        <w:t>,</w:t>
      </w:r>
    </w:p>
    <w:p w14:paraId="7E15D66E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glaukomu,</w:t>
      </w:r>
    </w:p>
    <w:p w14:paraId="26D03DC3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adenomu prostaty.</w:t>
      </w:r>
    </w:p>
    <w:p w14:paraId="6ECFF478" w14:textId="77777777" w:rsidR="004A61FD" w:rsidRDefault="004A61FD" w:rsidP="004A61FD">
      <w:pPr>
        <w:pStyle w:val="TextkrperPartIB"/>
      </w:pPr>
    </w:p>
    <w:p w14:paraId="3AE2A20B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6.</w:t>
      </w:r>
      <w:r w:rsidRPr="001E2853">
        <w:rPr>
          <w:b/>
          <w:szCs w:val="22"/>
        </w:rPr>
        <w:tab/>
        <w:t>NEŽÁDOUCÍ ÚČINKY</w:t>
      </w:r>
    </w:p>
    <w:p w14:paraId="055F8F75" w14:textId="77777777" w:rsidR="00CE0C73" w:rsidRPr="001E2853" w:rsidRDefault="00CE0C73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</w:p>
    <w:p w14:paraId="236F62FA" w14:textId="77777777" w:rsidR="004A61FD" w:rsidRPr="0025789B" w:rsidRDefault="004A61FD" w:rsidP="004A61FD">
      <w:pPr>
        <w:autoSpaceDE w:val="0"/>
        <w:autoSpaceDN w:val="0"/>
      </w:pPr>
      <w:r>
        <w:t>Ve velmi vzácných případech se mohou vyskytnout anafylaktické reakce a kardiovaskulární šok.</w:t>
      </w:r>
    </w:p>
    <w:p w14:paraId="0334E8A4" w14:textId="5FA6E2B1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 psů se mohou vyskytovat bolestivé reakce v místě </w:t>
      </w:r>
      <w:r w:rsidR="0093405B">
        <w:t>injekčního podání</w:t>
      </w:r>
      <w:r>
        <w:t xml:space="preserve"> bezprostředně po injekčním podání, které rychle odezní a nemají negativní dopad na očekávaný terapeutický prospěch. </w:t>
      </w:r>
    </w:p>
    <w:p w14:paraId="1FCD8A8F" w14:textId="20537D24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 koní a skotu lze přechodně pozorovat slabé zvýšení srdeční činnosti vzhledem k </w:t>
      </w:r>
      <w:proofErr w:type="spellStart"/>
      <w:r>
        <w:t>parasympatolytické</w:t>
      </w:r>
      <w:proofErr w:type="spellEnd"/>
      <w:r>
        <w:t xml:space="preserve"> aktivitě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>-bromidu</w:t>
      </w:r>
      <w:r>
        <w:t>.</w:t>
      </w:r>
    </w:p>
    <w:p w14:paraId="2B496585" w14:textId="77777777" w:rsidR="004A61FD" w:rsidRPr="000A1054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Četnost nežádoucích účinků je charakterizována podle následujících pravidel:</w:t>
      </w:r>
    </w:p>
    <w:p w14:paraId="39C87A6E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velmi časté (nežádoucí </w:t>
      </w:r>
      <w:proofErr w:type="gramStart"/>
      <w:r>
        <w:t>účinek(</w:t>
      </w:r>
      <w:proofErr w:type="spellStart"/>
      <w:r>
        <w:t>nky</w:t>
      </w:r>
      <w:proofErr w:type="spellEnd"/>
      <w:proofErr w:type="gramEnd"/>
      <w:r>
        <w:t>) se projevil(y) u více než 1 z 10 ošetřených zvířat)),</w:t>
      </w:r>
    </w:p>
    <w:p w14:paraId="5B0DA301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časté (u více než 1, ale méně než 10 ze 100 ošetřených zvířat),</w:t>
      </w:r>
    </w:p>
    <w:p w14:paraId="35333D6C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neobvyklé (u více než 1, ale méně než 10 z 1000 ošetřených zvířat),</w:t>
      </w:r>
    </w:p>
    <w:p w14:paraId="09C82CD5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vzácné (u více než 1, ale méně než 10 z 10 000 ošetřených zvířat),</w:t>
      </w:r>
    </w:p>
    <w:p w14:paraId="5F6C9DA0" w14:textId="77777777" w:rsidR="004A61FD" w:rsidRPr="00EF1B69" w:rsidRDefault="004A61FD" w:rsidP="004A61FD">
      <w:pPr>
        <w:pStyle w:val="Odstavecseseznamem"/>
        <w:numPr>
          <w:ilvl w:val="0"/>
          <w:numId w:val="48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velmi vzácné (u méně než 1 z 10 000 ošetřených zvířat, včetně ojedinělých hlášení).</w:t>
      </w:r>
    </w:p>
    <w:p w14:paraId="64E7F072" w14:textId="77777777" w:rsidR="004A61FD" w:rsidRDefault="004A61FD" w:rsidP="004A61FD">
      <w:pPr>
        <w:pStyle w:val="TextkrperPartIB"/>
      </w:pPr>
    </w:p>
    <w:p w14:paraId="31001FC7" w14:textId="77777777" w:rsidR="004A61FD" w:rsidRPr="0093405B" w:rsidRDefault="004A61FD" w:rsidP="004A61FD">
      <w:pPr>
        <w:pStyle w:val="TextkrperPartIB"/>
      </w:pPr>
      <w:r>
        <w:t xml:space="preserve">Jestliže zaznamenáte kterýkoliv z nežádoucích účinků a to i takové, které nejsou uvedeny v této příbalové informaci, nebo si myslíte, že léčivo nefunguje, oznamte to, prosím, vašemu veterinárnímu </w:t>
      </w:r>
      <w:r w:rsidRPr="0093405B">
        <w:t>lékaři.</w:t>
      </w:r>
    </w:p>
    <w:p w14:paraId="200F27CE" w14:textId="6A2C0AFC" w:rsidR="0093405B" w:rsidRPr="0046215B" w:rsidRDefault="0093405B" w:rsidP="0093405B">
      <w:r w:rsidRPr="0046215B">
        <w:t>Nežádoucí účinky můžete hlásit prostřednictvím formuláře na webových stránkách</w:t>
      </w:r>
      <w:r w:rsidRPr="0093405B">
        <w:t xml:space="preserve"> ÚSKVBL elektronicky</w:t>
      </w:r>
      <w:r w:rsidRPr="0046215B">
        <w:t xml:space="preserve"> nebo také přímo na adresu: Ústav pro státní kontrolu veterinárních biopreparátů a léčiv, Hudcova 56a, 621 00 Brno, Mail: </w:t>
      </w:r>
      <w:hyperlink r:id="rId9" w:history="1">
        <w:r w:rsidRPr="0046215B">
          <w:rPr>
            <w:rStyle w:val="Hypertextovodkaz"/>
          </w:rPr>
          <w:t>adr@uskvbl.cz</w:t>
        </w:r>
      </w:hyperlink>
      <w:r w:rsidRPr="0046215B">
        <w:t xml:space="preserve">, Webové stránky: </w:t>
      </w:r>
      <w:hyperlink r:id="rId10" w:history="1">
        <w:r w:rsidRPr="0046215B">
          <w:rPr>
            <w:rStyle w:val="Hypertextovodkaz"/>
          </w:rPr>
          <w:t>http://www.uskvbl.cz/cs/farmakovigilance</w:t>
        </w:r>
      </w:hyperlink>
      <w:r w:rsidRPr="0046215B">
        <w:t>&gt;</w:t>
      </w:r>
    </w:p>
    <w:p w14:paraId="006BF926" w14:textId="77777777" w:rsidR="004A61FD" w:rsidRDefault="004A61FD" w:rsidP="004A61FD">
      <w:pPr>
        <w:pStyle w:val="TextkrperPartIB"/>
      </w:pPr>
    </w:p>
    <w:p w14:paraId="4941D14A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7.</w:t>
      </w:r>
      <w:r w:rsidRPr="001E2853">
        <w:rPr>
          <w:b/>
          <w:szCs w:val="22"/>
        </w:rPr>
        <w:tab/>
        <w:t>CÍLOVÝ DRUH ZVÍŘAT</w:t>
      </w:r>
    </w:p>
    <w:p w14:paraId="7D06DD58" w14:textId="77777777" w:rsidR="004A61FD" w:rsidRDefault="004A61FD" w:rsidP="004A61FD">
      <w:pPr>
        <w:pStyle w:val="TextkrperPartIB"/>
      </w:pPr>
    </w:p>
    <w:p w14:paraId="0B667FFE" w14:textId="77777777" w:rsidR="004A61FD" w:rsidRPr="00575917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Koně, skot, prasata a psi</w:t>
      </w:r>
    </w:p>
    <w:p w14:paraId="7648F309" w14:textId="77777777" w:rsidR="004A61FD" w:rsidRDefault="004A61FD" w:rsidP="004A61FD">
      <w:pPr>
        <w:pStyle w:val="TextkrperPartIB"/>
      </w:pPr>
    </w:p>
    <w:p w14:paraId="15C94FD8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8.</w:t>
      </w:r>
      <w:r w:rsidRPr="001E2853">
        <w:rPr>
          <w:b/>
          <w:szCs w:val="22"/>
        </w:rPr>
        <w:tab/>
        <w:t xml:space="preserve">DÁVKOVÁNÍ PRO KAŽDÝ DRUH, </w:t>
      </w:r>
      <w:proofErr w:type="gramStart"/>
      <w:r w:rsidRPr="001E2853">
        <w:rPr>
          <w:b/>
          <w:szCs w:val="22"/>
        </w:rPr>
        <w:t>CESTA(Y) A ZPŮSOB</w:t>
      </w:r>
      <w:proofErr w:type="gramEnd"/>
      <w:r w:rsidRPr="001E2853">
        <w:rPr>
          <w:b/>
          <w:szCs w:val="22"/>
        </w:rPr>
        <w:t xml:space="preserve"> PODÁNÍ</w:t>
      </w:r>
    </w:p>
    <w:p w14:paraId="6708DE58" w14:textId="77777777" w:rsidR="004A61FD" w:rsidRDefault="004A61FD" w:rsidP="004A61FD">
      <w:pPr>
        <w:pStyle w:val="TextkrperPartIB"/>
      </w:pPr>
    </w:p>
    <w:p w14:paraId="5A46BDBE" w14:textId="77777777" w:rsidR="004A61FD" w:rsidRPr="00DB6868" w:rsidRDefault="004A61FD" w:rsidP="004A61FD">
      <w:pPr>
        <w:tabs>
          <w:tab w:val="clear" w:pos="567"/>
        </w:tabs>
        <w:spacing w:after="120"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Cesta podání:</w:t>
      </w:r>
    </w:p>
    <w:p w14:paraId="66EA11D0" w14:textId="77777777" w:rsidR="004A61FD" w:rsidRPr="00B91C3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Koně, skot:</w:t>
      </w:r>
      <w:r>
        <w:tab/>
        <w:t>pomalé intravenózní podání</w:t>
      </w:r>
    </w:p>
    <w:p w14:paraId="3CBA5911" w14:textId="5A4128D9" w:rsidR="004A61FD" w:rsidRPr="00B91C35" w:rsidRDefault="004A61FD" w:rsidP="0046215B">
      <w:pPr>
        <w:tabs>
          <w:tab w:val="clear" w:pos="567"/>
          <w:tab w:val="left" w:pos="1134"/>
        </w:tabs>
        <w:spacing w:line="240" w:lineRule="auto"/>
        <w:jc w:val="both"/>
        <w:rPr>
          <w:szCs w:val="22"/>
        </w:rPr>
      </w:pPr>
      <w:r>
        <w:t xml:space="preserve">Prasata: </w:t>
      </w:r>
      <w:r>
        <w:tab/>
        <w:t>intramuskulární podání</w:t>
      </w:r>
    </w:p>
    <w:p w14:paraId="5F029A53" w14:textId="53ED5348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Psi: </w:t>
      </w:r>
      <w:r>
        <w:tab/>
      </w:r>
      <w:r w:rsidR="0093405B">
        <w:t>intramuskulární nebo pomalé intravenózní</w:t>
      </w:r>
      <w:r w:rsidR="0093405B" w:rsidDel="00574674">
        <w:t xml:space="preserve"> </w:t>
      </w:r>
      <w:r w:rsidR="0093405B">
        <w:t>podání</w:t>
      </w:r>
      <w:r w:rsidR="0093405B" w:rsidDel="0093405B">
        <w:t xml:space="preserve"> </w:t>
      </w:r>
    </w:p>
    <w:p w14:paraId="01E7583E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Vzhledem k riziku anafylaktického šoku by se měly roztoky obsahující </w:t>
      </w:r>
      <w:proofErr w:type="spellStart"/>
      <w:r>
        <w:t>metamizol</w:t>
      </w:r>
      <w:proofErr w:type="spellEnd"/>
      <w:r>
        <w:t xml:space="preserve"> při intravenózním podání aplikovat pomalu.</w:t>
      </w:r>
    </w:p>
    <w:p w14:paraId="23310031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E11E16" w14:textId="77777777" w:rsidR="004A61FD" w:rsidRPr="00DB6868" w:rsidRDefault="004A61FD" w:rsidP="004A61FD">
      <w:pPr>
        <w:tabs>
          <w:tab w:val="clear" w:pos="567"/>
        </w:tabs>
        <w:spacing w:after="120"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Pokyny k dávkování:</w:t>
      </w:r>
    </w:p>
    <w:p w14:paraId="3C4C0B02" w14:textId="52A0DCFA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  <w:r>
        <w:t>Koně:</w:t>
      </w:r>
      <w:r>
        <w:tab/>
      </w:r>
      <w:r>
        <w:tab/>
        <w:t xml:space="preserve">25 mg </w:t>
      </w:r>
      <w:proofErr w:type="spellStart"/>
      <w:r>
        <w:t>monohydrátu</w:t>
      </w:r>
      <w:proofErr w:type="spellEnd"/>
      <w:r>
        <w:t xml:space="preserve"> sodné soli </w:t>
      </w:r>
      <w:proofErr w:type="spellStart"/>
      <w:proofErr w:type="gramStart"/>
      <w:r>
        <w:t>metamizolu</w:t>
      </w:r>
      <w:proofErr w:type="spellEnd"/>
      <w:r>
        <w:t>/kg ž.hm</w:t>
      </w:r>
      <w:proofErr w:type="gramEnd"/>
      <w:r>
        <w:t xml:space="preserve">. a 0,2 mg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/kg ž.hm.</w:t>
      </w:r>
    </w:p>
    <w:p w14:paraId="4C4F1D79" w14:textId="77777777" w:rsidR="004A61FD" w:rsidRPr="00B91C35" w:rsidRDefault="004A61FD" w:rsidP="004A61FD">
      <w:pPr>
        <w:tabs>
          <w:tab w:val="clear" w:pos="567"/>
        </w:tabs>
        <w:spacing w:line="240" w:lineRule="auto"/>
        <w:ind w:left="1134"/>
        <w:jc w:val="both"/>
        <w:rPr>
          <w:szCs w:val="22"/>
        </w:rPr>
      </w:pPr>
      <w:r>
        <w:tab/>
        <w:t xml:space="preserve">(odpovídá 2,5 ml veterinárního léčivého přípravku na 50 </w:t>
      </w:r>
      <w:proofErr w:type="gramStart"/>
      <w:r>
        <w:t>kg ž.hm</w:t>
      </w:r>
      <w:proofErr w:type="gramEnd"/>
      <w:r>
        <w:t>.)</w:t>
      </w:r>
    </w:p>
    <w:p w14:paraId="122A8B51" w14:textId="77777777" w:rsidR="004A61FD" w:rsidRPr="00B91C3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2F6C89" w14:textId="004A4B46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  <w:r>
        <w:t>Skot:</w:t>
      </w:r>
      <w:r>
        <w:tab/>
      </w:r>
      <w:r>
        <w:tab/>
        <w:t xml:space="preserve">40 mg </w:t>
      </w:r>
      <w:proofErr w:type="spellStart"/>
      <w:r>
        <w:t>monohydrátu</w:t>
      </w:r>
      <w:proofErr w:type="spellEnd"/>
      <w:r>
        <w:t xml:space="preserve"> sodné soli </w:t>
      </w:r>
      <w:proofErr w:type="spellStart"/>
      <w:proofErr w:type="gramStart"/>
      <w:r>
        <w:t>metamizolu</w:t>
      </w:r>
      <w:proofErr w:type="spellEnd"/>
      <w:r>
        <w:t>/kg ž.hm</w:t>
      </w:r>
      <w:proofErr w:type="gramEnd"/>
      <w:r>
        <w:t xml:space="preserve">. a 0,32 mg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/kg ž.hm.</w:t>
      </w:r>
    </w:p>
    <w:p w14:paraId="0763698A" w14:textId="77777777" w:rsidR="004A61FD" w:rsidRPr="001E2853" w:rsidRDefault="004A61FD" w:rsidP="004A61FD">
      <w:pPr>
        <w:tabs>
          <w:tab w:val="clear" w:pos="567"/>
        </w:tabs>
        <w:spacing w:line="240" w:lineRule="auto"/>
        <w:ind w:left="1134"/>
        <w:jc w:val="both"/>
      </w:pPr>
      <w:r>
        <w:t xml:space="preserve">(odpovídá 4 ml veterinárního léčivého přípravku na 50 </w:t>
      </w:r>
      <w:proofErr w:type="gramStart"/>
      <w:r>
        <w:t>kg ž.hm</w:t>
      </w:r>
      <w:proofErr w:type="gramEnd"/>
      <w:r>
        <w:t>.)</w:t>
      </w:r>
    </w:p>
    <w:p w14:paraId="0BD4753B" w14:textId="77777777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</w:p>
    <w:p w14:paraId="70A1FE58" w14:textId="3D3677D9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  <w:r>
        <w:t>Telata:</w:t>
      </w:r>
      <w:r>
        <w:tab/>
        <w:t xml:space="preserve">50 mg </w:t>
      </w:r>
      <w:proofErr w:type="spellStart"/>
      <w:r>
        <w:t>monohydrátu</w:t>
      </w:r>
      <w:proofErr w:type="spellEnd"/>
      <w:r>
        <w:t xml:space="preserve"> sodné soli </w:t>
      </w:r>
      <w:proofErr w:type="spellStart"/>
      <w:proofErr w:type="gramStart"/>
      <w:r>
        <w:t>metamizolu</w:t>
      </w:r>
      <w:proofErr w:type="spellEnd"/>
      <w:r>
        <w:t>/kg ž.hm</w:t>
      </w:r>
      <w:proofErr w:type="gramEnd"/>
      <w:r>
        <w:t xml:space="preserve">. a 0,4 mg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/kg ž.hm.</w:t>
      </w:r>
    </w:p>
    <w:p w14:paraId="11A772BA" w14:textId="77777777" w:rsidR="004A61FD" w:rsidRPr="001E2853" w:rsidRDefault="004A61FD" w:rsidP="004A61FD">
      <w:pPr>
        <w:tabs>
          <w:tab w:val="clear" w:pos="567"/>
        </w:tabs>
        <w:spacing w:line="240" w:lineRule="auto"/>
        <w:ind w:left="1134"/>
        <w:jc w:val="both"/>
      </w:pPr>
      <w:r>
        <w:tab/>
        <w:t xml:space="preserve">(odpovídá 1 ml veterinárního léčivého přípravku na 10 </w:t>
      </w:r>
      <w:proofErr w:type="gramStart"/>
      <w:r>
        <w:t>kg ž.hm</w:t>
      </w:r>
      <w:proofErr w:type="gramEnd"/>
      <w:r>
        <w:t>.)</w:t>
      </w:r>
    </w:p>
    <w:p w14:paraId="5FE90DAE" w14:textId="77777777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</w:p>
    <w:p w14:paraId="0ABEAA53" w14:textId="6DA09B3E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  <w:r>
        <w:t>Prasata:</w:t>
      </w:r>
      <w:r>
        <w:tab/>
        <w:t xml:space="preserve">50 mg </w:t>
      </w:r>
      <w:proofErr w:type="spellStart"/>
      <w:r>
        <w:t>monohydrátu</w:t>
      </w:r>
      <w:proofErr w:type="spellEnd"/>
      <w:r>
        <w:t xml:space="preserve"> sodné soli </w:t>
      </w:r>
      <w:proofErr w:type="spellStart"/>
      <w:proofErr w:type="gramStart"/>
      <w:r>
        <w:t>metamizolu</w:t>
      </w:r>
      <w:proofErr w:type="spellEnd"/>
      <w:r>
        <w:t>/kg ž.hm</w:t>
      </w:r>
      <w:proofErr w:type="gramEnd"/>
      <w:r>
        <w:t xml:space="preserve">. a 0,4 mg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/kg ž.hm.</w:t>
      </w:r>
    </w:p>
    <w:p w14:paraId="4F98EB06" w14:textId="77777777" w:rsidR="004A61FD" w:rsidRPr="001E2853" w:rsidRDefault="004A61FD" w:rsidP="004A61FD">
      <w:pPr>
        <w:tabs>
          <w:tab w:val="clear" w:pos="567"/>
        </w:tabs>
        <w:spacing w:line="240" w:lineRule="auto"/>
        <w:ind w:left="1134"/>
        <w:jc w:val="both"/>
      </w:pPr>
      <w:r>
        <w:lastRenderedPageBreak/>
        <w:tab/>
        <w:t xml:space="preserve">(odpovídá 1 ml veterinárního léčivého přípravku na 10 </w:t>
      </w:r>
      <w:proofErr w:type="gramStart"/>
      <w:r>
        <w:t>kg ž.hm</w:t>
      </w:r>
      <w:proofErr w:type="gramEnd"/>
      <w:r>
        <w:t>.)</w:t>
      </w:r>
    </w:p>
    <w:p w14:paraId="387D19D9" w14:textId="77777777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</w:p>
    <w:p w14:paraId="32557D6A" w14:textId="457098D4" w:rsidR="004A61FD" w:rsidRPr="00B91C35" w:rsidRDefault="004A61FD" w:rsidP="004A61FD">
      <w:pPr>
        <w:tabs>
          <w:tab w:val="clear" w:pos="567"/>
        </w:tabs>
        <w:spacing w:line="240" w:lineRule="auto"/>
        <w:ind w:right="-649"/>
        <w:jc w:val="both"/>
        <w:rPr>
          <w:szCs w:val="22"/>
        </w:rPr>
      </w:pPr>
      <w:r>
        <w:t>Psi:</w:t>
      </w:r>
      <w:r>
        <w:tab/>
      </w:r>
      <w:r>
        <w:tab/>
        <w:t xml:space="preserve">50 mg </w:t>
      </w:r>
      <w:proofErr w:type="spellStart"/>
      <w:r>
        <w:t>monohydrátu</w:t>
      </w:r>
      <w:proofErr w:type="spellEnd"/>
      <w:r>
        <w:t xml:space="preserve"> sodné soli </w:t>
      </w:r>
      <w:proofErr w:type="spellStart"/>
      <w:proofErr w:type="gramStart"/>
      <w:r>
        <w:t>metamizolu</w:t>
      </w:r>
      <w:proofErr w:type="spellEnd"/>
      <w:r>
        <w:t>/kg ž.hm</w:t>
      </w:r>
      <w:proofErr w:type="gramEnd"/>
      <w:r>
        <w:t xml:space="preserve">. a 0,4 mg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-bromidu </w:t>
      </w:r>
      <w:r>
        <w:t>/kg ž.hm.</w:t>
      </w:r>
    </w:p>
    <w:p w14:paraId="14B90E59" w14:textId="77777777" w:rsidR="004A61FD" w:rsidRPr="001E2853" w:rsidRDefault="004A61FD" w:rsidP="004A61FD">
      <w:pPr>
        <w:tabs>
          <w:tab w:val="clear" w:pos="567"/>
        </w:tabs>
        <w:spacing w:line="240" w:lineRule="auto"/>
        <w:ind w:left="1134"/>
        <w:jc w:val="both"/>
      </w:pPr>
      <w:r>
        <w:tab/>
        <w:t xml:space="preserve">(odpovídá 0,1 ml veterinárního léčivého přípravku na </w:t>
      </w:r>
      <w:proofErr w:type="gramStart"/>
      <w:r>
        <w:t>kg ž.hm</w:t>
      </w:r>
      <w:proofErr w:type="gramEnd"/>
      <w:r>
        <w:t>.)</w:t>
      </w:r>
    </w:p>
    <w:p w14:paraId="1A6820B6" w14:textId="77777777" w:rsidR="004A61FD" w:rsidRPr="00DB6868" w:rsidRDefault="004A61FD" w:rsidP="004A61F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7BB9852" w14:textId="77777777" w:rsidR="004A61FD" w:rsidRPr="00DB6868" w:rsidRDefault="004A61FD" w:rsidP="004A61FD">
      <w:pPr>
        <w:tabs>
          <w:tab w:val="clear" w:pos="567"/>
        </w:tabs>
        <w:spacing w:after="120"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Frekvence léčby:</w:t>
      </w:r>
    </w:p>
    <w:p w14:paraId="62CF5016" w14:textId="77777777" w:rsidR="004A61FD" w:rsidRPr="00B91C3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Skot a telata: až dvakrát denně po tři dny.</w:t>
      </w:r>
    </w:p>
    <w:p w14:paraId="46405514" w14:textId="0BA3C7DF" w:rsidR="004A61FD" w:rsidRPr="00B91C3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 a prasata: jednorázov</w:t>
      </w:r>
      <w:r w:rsidR="0093405B">
        <w:t>é podání</w:t>
      </w:r>
      <w:r>
        <w:t>.</w:t>
      </w:r>
    </w:p>
    <w:p w14:paraId="2D0CA820" w14:textId="5C7A33B0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Psi: jednorázov</w:t>
      </w:r>
      <w:r w:rsidR="0093405B">
        <w:t xml:space="preserve">é </w:t>
      </w:r>
      <w:proofErr w:type="spellStart"/>
      <w:proofErr w:type="gramStart"/>
      <w:r w:rsidR="0093405B">
        <w:t>podání.Podání</w:t>
      </w:r>
      <w:proofErr w:type="spellEnd"/>
      <w:proofErr w:type="gramEnd"/>
      <w:r>
        <w:t xml:space="preserve"> lze opakovat po 24 hodinách, pokud to bude nezbytné.</w:t>
      </w:r>
    </w:p>
    <w:p w14:paraId="599A8E84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87C577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9.</w:t>
      </w:r>
      <w:r w:rsidRPr="001E2853">
        <w:rPr>
          <w:b/>
          <w:szCs w:val="22"/>
        </w:rPr>
        <w:tab/>
        <w:t>POKYNY PRO SPRÁVNÉ PODÁNÍ</w:t>
      </w:r>
    </w:p>
    <w:p w14:paraId="28AF332F" w14:textId="77777777" w:rsidR="004A61FD" w:rsidRDefault="004A61FD" w:rsidP="004A61FD">
      <w:pPr>
        <w:pStyle w:val="TextkrperPartIB"/>
      </w:pPr>
    </w:p>
    <w:p w14:paraId="644B5A74" w14:textId="571DDD53" w:rsidR="004A61FD" w:rsidRDefault="00653C5D" w:rsidP="004A61FD">
      <w:pPr>
        <w:pStyle w:val="TextkrperPartIB"/>
        <w:rPr>
          <w:iCs/>
        </w:rPr>
      </w:pPr>
      <w:r>
        <w:t>Nepropichujte zátku</w:t>
      </w:r>
      <w:r w:rsidR="004A61FD">
        <w:t xml:space="preserve"> více než 100krát. Uživatel by měl zvolit nejvhodnější velikost lahvičky podle cílového druhu, který má být léčen.</w:t>
      </w:r>
    </w:p>
    <w:p w14:paraId="39D9FFD0" w14:textId="77777777" w:rsidR="004A61FD" w:rsidRDefault="004A61FD" w:rsidP="004A61FD">
      <w:pPr>
        <w:pStyle w:val="TextkrperPartIB"/>
      </w:pPr>
    </w:p>
    <w:p w14:paraId="215E27EE" w14:textId="71739AB9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10.</w:t>
      </w:r>
      <w:r w:rsidRPr="001E2853">
        <w:rPr>
          <w:b/>
          <w:szCs w:val="22"/>
        </w:rPr>
        <w:tab/>
        <w:t>OCHRANNÁ</w:t>
      </w:r>
      <w:r w:rsidR="00757376">
        <w:rPr>
          <w:b/>
          <w:szCs w:val="22"/>
        </w:rPr>
        <w:t>(É)</w:t>
      </w:r>
      <w:r w:rsidRPr="001E2853">
        <w:rPr>
          <w:b/>
          <w:szCs w:val="22"/>
        </w:rPr>
        <w:t xml:space="preserve"> </w:t>
      </w:r>
      <w:proofErr w:type="gramStart"/>
      <w:r w:rsidRPr="001E2853">
        <w:rPr>
          <w:b/>
          <w:szCs w:val="22"/>
        </w:rPr>
        <w:t>LHŮTA</w:t>
      </w:r>
      <w:r w:rsidR="00757376">
        <w:rPr>
          <w:b/>
          <w:szCs w:val="22"/>
        </w:rPr>
        <w:t>(Y)</w:t>
      </w:r>
      <w:proofErr w:type="gramEnd"/>
    </w:p>
    <w:p w14:paraId="342E89D6" w14:textId="77777777" w:rsidR="004A61FD" w:rsidRDefault="004A61FD" w:rsidP="004A61FD">
      <w:pPr>
        <w:pStyle w:val="TextkrperPartIB"/>
      </w:pPr>
    </w:p>
    <w:p w14:paraId="786AAF4E" w14:textId="6C7A746C" w:rsidR="004A61FD" w:rsidRPr="002B15C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Koně, skot (</w:t>
      </w:r>
      <w:proofErr w:type="spellStart"/>
      <w:proofErr w:type="gramStart"/>
      <w:r>
        <w:t>i.v</w:t>
      </w:r>
      <w:proofErr w:type="spellEnd"/>
      <w:r>
        <w:t>.</w:t>
      </w:r>
      <w:proofErr w:type="gramEnd"/>
      <w:r>
        <w:t>):</w:t>
      </w:r>
      <w:r>
        <w:tab/>
        <w:t>Maso:</w:t>
      </w:r>
      <w:r w:rsidR="00757376">
        <w:t xml:space="preserve"> </w:t>
      </w:r>
      <w:r>
        <w:tab/>
        <w:t>12 dnů</w:t>
      </w:r>
    </w:p>
    <w:p w14:paraId="2FD43800" w14:textId="68F5D4BD" w:rsidR="004A61FD" w:rsidRPr="002B15C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Skot (</w:t>
      </w:r>
      <w:proofErr w:type="spellStart"/>
      <w:proofErr w:type="gramStart"/>
      <w:r>
        <w:t>i.v</w:t>
      </w:r>
      <w:proofErr w:type="spellEnd"/>
      <w:r>
        <w:t>.</w:t>
      </w:r>
      <w:proofErr w:type="gramEnd"/>
      <w:r>
        <w:t>):</w:t>
      </w:r>
      <w:r>
        <w:tab/>
      </w:r>
      <w:r w:rsidR="00757376">
        <w:t xml:space="preserve">          </w:t>
      </w:r>
      <w:r>
        <w:t>Mléko</w:t>
      </w:r>
      <w:r w:rsidR="00757376">
        <w:t>:</w:t>
      </w:r>
      <w:r>
        <w:tab/>
        <w:t>96 hodin</w:t>
      </w:r>
    </w:p>
    <w:p w14:paraId="7B752ACB" w14:textId="2BED2497" w:rsidR="004A61FD" w:rsidRPr="002B15C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Prasata (</w:t>
      </w:r>
      <w:proofErr w:type="spellStart"/>
      <w:proofErr w:type="gramStart"/>
      <w:r>
        <w:t>i.m</w:t>
      </w:r>
      <w:proofErr w:type="spellEnd"/>
      <w:r>
        <w:t>.</w:t>
      </w:r>
      <w:proofErr w:type="gramEnd"/>
      <w:r>
        <w:t>):</w:t>
      </w:r>
      <w:r w:rsidR="00757376">
        <w:t xml:space="preserve">        </w:t>
      </w:r>
      <w:r>
        <w:t>Maso:</w:t>
      </w:r>
      <w:r>
        <w:tab/>
      </w:r>
      <w:r w:rsidR="00757376">
        <w:t xml:space="preserve">          </w:t>
      </w:r>
      <w:r>
        <w:t>15 dnů</w:t>
      </w:r>
    </w:p>
    <w:p w14:paraId="58F7A2EF" w14:textId="77777777" w:rsidR="004A61FD" w:rsidRPr="002B15C5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3287F6" w14:textId="77777777" w:rsidR="004A61FD" w:rsidRPr="00474C50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klisen, jejichž mléko je určeno pro lidskou spotřebu.</w:t>
      </w:r>
    </w:p>
    <w:p w14:paraId="71606B89" w14:textId="77777777" w:rsidR="004A61FD" w:rsidRDefault="004A61FD" w:rsidP="004A61FD">
      <w:pPr>
        <w:pStyle w:val="TextkrperPartIB"/>
      </w:pPr>
    </w:p>
    <w:p w14:paraId="1B0A6BD8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11.</w:t>
      </w:r>
      <w:r w:rsidRPr="001E2853">
        <w:rPr>
          <w:b/>
          <w:szCs w:val="22"/>
        </w:rPr>
        <w:tab/>
        <w:t>ZVLÁŠTNÍ OPATŘENÍ PRO UCHOVÁVÁNÍ</w:t>
      </w:r>
    </w:p>
    <w:p w14:paraId="79D807B8" w14:textId="77777777" w:rsidR="004A61FD" w:rsidRDefault="004A61FD" w:rsidP="004A61FD">
      <w:pPr>
        <w:pStyle w:val="TextkrperPartIB"/>
      </w:pPr>
    </w:p>
    <w:p w14:paraId="6FAD1E45" w14:textId="77777777" w:rsidR="004A61FD" w:rsidRPr="00E04870" w:rsidRDefault="004A61FD" w:rsidP="004A61FD">
      <w:pPr>
        <w:pStyle w:val="TextkrperPartIB"/>
      </w:pPr>
      <w:r>
        <w:t>Uchovávat mimo dohled a dosah dětí.</w:t>
      </w:r>
    </w:p>
    <w:p w14:paraId="5F6F23CB" w14:textId="0122CCCC" w:rsidR="004A61FD" w:rsidRPr="006E2D4C" w:rsidRDefault="004A61FD" w:rsidP="004A61FD">
      <w:pPr>
        <w:pStyle w:val="TextkrperPartIB"/>
      </w:pPr>
      <w:r>
        <w:t>Nepoužívejte tento veterinární léčivý přípravek po uplynutí doby použitelnost uvedené na krabičce</w:t>
      </w:r>
      <w:r w:rsidR="00653C5D">
        <w:t xml:space="preserve"> po EXP</w:t>
      </w:r>
      <w:r>
        <w:t>. Doba použitelnosti končí posledním dnem v uvedeném měsíci.</w:t>
      </w:r>
    </w:p>
    <w:p w14:paraId="45BCFDC9" w14:textId="2F1770B9" w:rsidR="004A61FD" w:rsidRPr="00E04870" w:rsidRDefault="004A61FD" w:rsidP="004A61FD">
      <w:pPr>
        <w:pStyle w:val="TextkrperPartIB"/>
      </w:pPr>
      <w:r>
        <w:t>Doba použitelnosti po prvním otevření vnitřního obalu: 28 dnů</w:t>
      </w:r>
      <w:r w:rsidR="00653C5D">
        <w:t>.</w:t>
      </w:r>
    </w:p>
    <w:p w14:paraId="7E60D617" w14:textId="32D9EA8D" w:rsidR="004A61FD" w:rsidRPr="006E2D4C" w:rsidRDefault="004A61FD" w:rsidP="004A61FD">
      <w:pPr>
        <w:pStyle w:val="TextkrperPartIB"/>
      </w:pPr>
      <w:r>
        <w:t>Po prvním otevření vnitřního obalu stanovte datum likvidace zbylého množství přípravku v</w:t>
      </w:r>
      <w:r w:rsidR="00653C5D">
        <w:t xml:space="preserve"> tomto </w:t>
      </w:r>
      <w:r>
        <w:t>obalu a to na základě doby použitelnosti po prvním otevření uvedené v této příbalové informaci. Toto datum napište na místo k tomu určené na etiketě.</w:t>
      </w:r>
    </w:p>
    <w:p w14:paraId="64023AE5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při teplotě do 25 °C.</w:t>
      </w:r>
    </w:p>
    <w:p w14:paraId="449A5DD9" w14:textId="6467B8CC" w:rsidR="004A61FD" w:rsidRDefault="00653C5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i</w:t>
      </w:r>
      <w:r w:rsidR="004A61FD">
        <w:t>njekční lahvičku v krabičce, aby byla chráněna před světlem.</w:t>
      </w:r>
    </w:p>
    <w:p w14:paraId="710F34EE" w14:textId="77777777" w:rsidR="004A61FD" w:rsidRDefault="004A61FD" w:rsidP="004A61FD">
      <w:pPr>
        <w:tabs>
          <w:tab w:val="clear" w:pos="567"/>
        </w:tabs>
        <w:spacing w:line="240" w:lineRule="auto"/>
      </w:pPr>
      <w:r>
        <w:t>Chraňte před mrazem.</w:t>
      </w:r>
    </w:p>
    <w:p w14:paraId="6F6E8C43" w14:textId="77777777" w:rsidR="004A61FD" w:rsidRPr="00E04870" w:rsidRDefault="004A61FD" w:rsidP="004A61FD">
      <w:pPr>
        <w:pStyle w:val="TextkrperPartIB"/>
      </w:pPr>
    </w:p>
    <w:p w14:paraId="7F07E5A4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12.</w:t>
      </w:r>
      <w:r w:rsidRPr="001E2853">
        <w:rPr>
          <w:b/>
          <w:szCs w:val="22"/>
        </w:rPr>
        <w:tab/>
        <w:t>ZVLÁŠTNÍ UPOZORNĚNÍ</w:t>
      </w:r>
    </w:p>
    <w:p w14:paraId="6D01B5CB" w14:textId="77777777" w:rsidR="004A61FD" w:rsidRDefault="004A61FD" w:rsidP="004A61FD">
      <w:pPr>
        <w:pStyle w:val="TextkrperPartIB"/>
      </w:pPr>
    </w:p>
    <w:p w14:paraId="75A81844" w14:textId="77777777" w:rsidR="004A61FD" w:rsidRDefault="004A61FD" w:rsidP="004A61FD">
      <w:pPr>
        <w:keepNext/>
        <w:keepLines/>
        <w:tabs>
          <w:tab w:val="clear" w:pos="567"/>
        </w:tabs>
        <w:spacing w:line="240" w:lineRule="auto"/>
        <w:rPr>
          <w:u w:val="single"/>
        </w:rPr>
      </w:pPr>
      <w:r>
        <w:rPr>
          <w:szCs w:val="22"/>
          <w:u w:val="single"/>
        </w:rPr>
        <w:t>Zvláštní upozornění pro každý cílový druh:</w:t>
      </w:r>
    </w:p>
    <w:p w14:paraId="4CB7DBB8" w14:textId="77777777" w:rsidR="004A61FD" w:rsidRDefault="004A61FD" w:rsidP="004A61FD">
      <w:pPr>
        <w:pStyle w:val="TextkrperPartIB"/>
      </w:pPr>
      <w:r>
        <w:t>Nejsou</w:t>
      </w:r>
    </w:p>
    <w:p w14:paraId="4474F4CA" w14:textId="77777777" w:rsidR="004A61FD" w:rsidRPr="00A02B95" w:rsidRDefault="004A61FD" w:rsidP="004A61FD">
      <w:pPr>
        <w:pStyle w:val="TextkrperPartIB"/>
      </w:pPr>
    </w:p>
    <w:p w14:paraId="55DFC625" w14:textId="5C00C687" w:rsidR="004A61FD" w:rsidRPr="004242A0" w:rsidRDefault="004A61FD" w:rsidP="004A61FD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použití u zvířat</w:t>
      </w:r>
      <w:r w:rsidR="00CE0C73">
        <w:rPr>
          <w:szCs w:val="22"/>
          <w:u w:val="single"/>
        </w:rPr>
        <w:t>:</w:t>
      </w:r>
    </w:p>
    <w:p w14:paraId="5BF8553D" w14:textId="77777777" w:rsidR="0093405B" w:rsidRDefault="004A61FD" w:rsidP="0093405B">
      <w:pPr>
        <w:tabs>
          <w:tab w:val="clear" w:pos="567"/>
        </w:tabs>
        <w:spacing w:line="240" w:lineRule="auto"/>
        <w:jc w:val="both"/>
      </w:pPr>
      <w:r>
        <w:t xml:space="preserve">Vzhledem k riziku anafylaktického šoku by se měly roztoky obsahující </w:t>
      </w:r>
      <w:proofErr w:type="spellStart"/>
      <w:r>
        <w:t>metamizol</w:t>
      </w:r>
      <w:proofErr w:type="spellEnd"/>
      <w:r>
        <w:t xml:space="preserve"> </w:t>
      </w:r>
    </w:p>
    <w:p w14:paraId="2F01326D" w14:textId="77777777" w:rsidR="0093405B" w:rsidRDefault="0093405B" w:rsidP="0093405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podávat pomalu intravenózně.</w:t>
      </w:r>
    </w:p>
    <w:p w14:paraId="06E70B5E" w14:textId="77777777" w:rsidR="004A61FD" w:rsidRPr="004242A0" w:rsidRDefault="004A61FD" w:rsidP="0093405B">
      <w:pPr>
        <w:tabs>
          <w:tab w:val="clear" w:pos="567"/>
        </w:tabs>
        <w:spacing w:line="240" w:lineRule="auto"/>
        <w:jc w:val="both"/>
      </w:pPr>
    </w:p>
    <w:p w14:paraId="68ABCB9F" w14:textId="24CD0DAC" w:rsidR="004A61FD" w:rsidRPr="004242A0" w:rsidRDefault="004A61FD" w:rsidP="004A61FD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určené osobám, které podávají veterinární léčivý přípravek zvířatům</w:t>
      </w:r>
      <w:r w:rsidR="00CE0C73">
        <w:rPr>
          <w:szCs w:val="22"/>
          <w:u w:val="single"/>
        </w:rPr>
        <w:t>:</w:t>
      </w:r>
    </w:p>
    <w:p w14:paraId="21AF6EA0" w14:textId="0F19244C" w:rsidR="004A61FD" w:rsidRDefault="004A61FD" w:rsidP="004A61FD">
      <w:pPr>
        <w:jc w:val="both"/>
      </w:pPr>
      <w:r>
        <w:t xml:space="preserve">U velmi malého počtu lidí může </w:t>
      </w:r>
      <w:proofErr w:type="spellStart"/>
      <w:r>
        <w:t>metamizol</w:t>
      </w:r>
      <w:proofErr w:type="spellEnd"/>
      <w:r>
        <w:t xml:space="preserve"> způsobovat reverzibilní, ale potenciálně závažnou </w:t>
      </w:r>
      <w:proofErr w:type="spellStart"/>
      <w:r>
        <w:t>agranulocytózu</w:t>
      </w:r>
      <w:proofErr w:type="spellEnd"/>
      <w:r>
        <w:t xml:space="preserve"> a jiné reakce, jako je například kožní alergie.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 </w:t>
      </w:r>
      <w:r>
        <w:t xml:space="preserve">může potenciálně ovlivnit motilitu gastrointestinálního traktu a způsobit tachykardii. </w:t>
      </w:r>
      <w:r w:rsidR="00542FE9">
        <w:t xml:space="preserve">Zabraňte </w:t>
      </w:r>
      <w:r>
        <w:t xml:space="preserve">náhodnému </w:t>
      </w:r>
      <w:proofErr w:type="spellStart"/>
      <w:r>
        <w:t>samopodání</w:t>
      </w:r>
      <w:proofErr w:type="spellEnd"/>
      <w:r>
        <w:t xml:space="preserve"> injekce. V případě náhodného sebepoškození injekčně aplikovaným přípravkem vyhledejte ihned lékařskou pomoc a ukažte příbalovou informaci nebo etiketu praktickému lékaři.</w:t>
      </w:r>
    </w:p>
    <w:p w14:paraId="6233BE20" w14:textId="52921F65" w:rsidR="004A61FD" w:rsidRDefault="004A61FD" w:rsidP="004A61FD">
      <w:pPr>
        <w:jc w:val="both"/>
        <w:rPr>
          <w:iCs/>
        </w:rPr>
      </w:pPr>
      <w:r>
        <w:t xml:space="preserve">Lidé se známou přecitlivělostí na </w:t>
      </w:r>
      <w:proofErr w:type="spellStart"/>
      <w:r>
        <w:t>metamizol</w:t>
      </w:r>
      <w:proofErr w:type="spellEnd"/>
      <w:r>
        <w:t xml:space="preserve">,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 xml:space="preserve">-bromid </w:t>
      </w:r>
      <w:r>
        <w:t xml:space="preserve">nebo </w:t>
      </w:r>
      <w:proofErr w:type="spellStart"/>
      <w:r>
        <w:t>benzylalkohol</w:t>
      </w:r>
      <w:proofErr w:type="spellEnd"/>
      <w:r>
        <w:t xml:space="preserve"> by se měli vyhnout kontaktu s veterinárním léčivým přípravkem. Vyhýbejte se používání přípravku, pokud víte, že jste přecitlivělí na </w:t>
      </w:r>
      <w:proofErr w:type="spellStart"/>
      <w:r>
        <w:t>pyrazolony</w:t>
      </w:r>
      <w:proofErr w:type="spellEnd"/>
      <w:r>
        <w:t xml:space="preserve"> nebo kyselinu acetylsalicylovou.</w:t>
      </w:r>
    </w:p>
    <w:p w14:paraId="7611AED5" w14:textId="4CBC1818" w:rsidR="004A61FD" w:rsidRPr="00A63533" w:rsidRDefault="004A61FD" w:rsidP="004A61FD">
      <w:pPr>
        <w:jc w:val="both"/>
      </w:pPr>
      <w:r>
        <w:lastRenderedPageBreak/>
        <w:t>Tento veterinární léčivý přípravek může způsobit podráždění kůže a očí. Zamezte kontaktu s kůží a</w:t>
      </w:r>
      <w:r w:rsidR="00542FE9">
        <w:t> </w:t>
      </w:r>
      <w:r>
        <w:t xml:space="preserve">očima. V případě kontaktu s kůží, ihned omyjte vodou a mýdlem. Při zasažení očí přípravkem </w:t>
      </w:r>
      <w:r w:rsidR="00542FE9">
        <w:t xml:space="preserve">ihned </w:t>
      </w:r>
      <w:r>
        <w:t xml:space="preserve">vypláchněte </w:t>
      </w:r>
      <w:r w:rsidR="00542FE9">
        <w:t xml:space="preserve">velkým množstvím </w:t>
      </w:r>
      <w:r>
        <w:t>vod</w:t>
      </w:r>
      <w:r w:rsidR="00542FE9">
        <w:t>y</w:t>
      </w:r>
      <w:r>
        <w:t xml:space="preserve">. Přetrvává-li podráždění kůže nebo očí, vyhledejte lékařskou pomoc. U lidí byla sporadicky pozorována </w:t>
      </w:r>
      <w:proofErr w:type="spellStart"/>
      <w:r>
        <w:t>fetotoxicita</w:t>
      </w:r>
      <w:proofErr w:type="spellEnd"/>
      <w:r>
        <w:t xml:space="preserve"> po příjmu </w:t>
      </w:r>
      <w:proofErr w:type="spellStart"/>
      <w:r>
        <w:t>metamizolu</w:t>
      </w:r>
      <w:proofErr w:type="spellEnd"/>
      <w:r>
        <w:t xml:space="preserve"> ve třetím trimestru těhotenství. Kromě toho může být příjem </w:t>
      </w:r>
      <w:proofErr w:type="spellStart"/>
      <w:r>
        <w:t>metamizolu</w:t>
      </w:r>
      <w:proofErr w:type="spellEnd"/>
      <w:r>
        <w:t xml:space="preserve"> u kojících žen škodlivý pro jejich dítě. Proto by těhotné ženy ve třetím trimestru </w:t>
      </w:r>
      <w:r w:rsidR="00542FE9">
        <w:t xml:space="preserve">a kojící ženy </w:t>
      </w:r>
      <w:r>
        <w:t>neměly tento veterinární léčivý přípravek podávat.</w:t>
      </w:r>
    </w:p>
    <w:p w14:paraId="1F6D2016" w14:textId="77777777" w:rsidR="004A61FD" w:rsidRDefault="004A61FD" w:rsidP="004A61FD">
      <w:pPr>
        <w:pStyle w:val="TextkrperPartIB"/>
      </w:pPr>
    </w:p>
    <w:p w14:paraId="3874A577" w14:textId="69925726" w:rsidR="004A61FD" w:rsidRPr="00181B62" w:rsidRDefault="004A61FD" w:rsidP="004A61FD">
      <w:pPr>
        <w:keepNext/>
        <w:keepLines/>
        <w:tabs>
          <w:tab w:val="clear" w:pos="567"/>
        </w:tabs>
        <w:spacing w:line="240" w:lineRule="auto"/>
        <w:rPr>
          <w:bCs/>
          <w:u w:val="single"/>
        </w:rPr>
      </w:pPr>
      <w:r>
        <w:rPr>
          <w:bCs/>
          <w:u w:val="single"/>
        </w:rPr>
        <w:t>Použití v průběhu březosti, laktace nebo snášky</w:t>
      </w:r>
      <w:r w:rsidR="00CE0C73">
        <w:rPr>
          <w:bCs/>
          <w:u w:val="single"/>
        </w:rPr>
        <w:t>:</w:t>
      </w:r>
    </w:p>
    <w:p w14:paraId="6DFC85EB" w14:textId="1E27EEEF" w:rsidR="004A61FD" w:rsidRDefault="004A61FD" w:rsidP="004A61FD">
      <w:pPr>
        <w:pStyle w:val="TextkrperPartIB"/>
      </w:pPr>
      <w:r>
        <w:t xml:space="preserve">Studie s laboratorními zvířaty (králík, potkan) neprokázaly teratogenní účinek. O použití během březosti u cílových druhů nejsou k dispozici žádné informace. </w:t>
      </w:r>
      <w:proofErr w:type="spellStart"/>
      <w:r w:rsidR="0093405B">
        <w:rPr>
          <w:u w:val="single"/>
        </w:rPr>
        <w:t>Butylskopolaminium</w:t>
      </w:r>
      <w:proofErr w:type="spellEnd"/>
      <w:r w:rsidR="0093405B">
        <w:rPr>
          <w:u w:val="single"/>
        </w:rPr>
        <w:t>-bromid</w:t>
      </w:r>
      <w:r w:rsidR="0093405B" w:rsidDel="0093405B">
        <w:t xml:space="preserve"> </w:t>
      </w:r>
      <w:r>
        <w:t xml:space="preserve">však může mít účinky na hladké svalstvo </w:t>
      </w:r>
      <w:r w:rsidR="0093405B">
        <w:t>porodních cest.</w:t>
      </w:r>
      <w:bookmarkStart w:id="0" w:name="_GoBack"/>
      <w:bookmarkEnd w:id="0"/>
      <w:r>
        <w:t xml:space="preserve"> Metabolity </w:t>
      </w:r>
      <w:proofErr w:type="spellStart"/>
      <w:r>
        <w:t>metamizolu</w:t>
      </w:r>
      <w:proofErr w:type="spellEnd"/>
      <w:r>
        <w:t xml:space="preserve"> prochází placentární bariérou a pronikají do mléka. Proto by měl být tento přípravek používán pouze po zvážení poměru terapeutického prospěchu a rizika příslušným veterinárním lékařem.</w:t>
      </w:r>
    </w:p>
    <w:p w14:paraId="0BAA7159" w14:textId="77777777" w:rsidR="004A61FD" w:rsidRDefault="004A61FD" w:rsidP="004A61FD">
      <w:pPr>
        <w:pStyle w:val="TextkrperPartIB"/>
      </w:pPr>
    </w:p>
    <w:p w14:paraId="24CB293E" w14:textId="77777777" w:rsidR="004A61FD" w:rsidRPr="00E81014" w:rsidRDefault="004A61FD" w:rsidP="004A61FD">
      <w:pPr>
        <w:pStyle w:val="TextkrperPartIB"/>
        <w:rPr>
          <w:u w:val="single"/>
        </w:rPr>
      </w:pPr>
      <w:r>
        <w:rPr>
          <w:u w:val="single"/>
        </w:rPr>
        <w:t>Interakce s dalšími léčivými přípravky a další formy interakce:</w:t>
      </w:r>
    </w:p>
    <w:p w14:paraId="20F9F50F" w14:textId="0EAC2036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Účinky </w:t>
      </w:r>
      <w:proofErr w:type="spellStart"/>
      <w:r>
        <w:t>metamizolu</w:t>
      </w:r>
      <w:proofErr w:type="spellEnd"/>
      <w:r>
        <w:t xml:space="preserve"> nebo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>-bromidu</w:t>
      </w:r>
      <w:r w:rsidR="0093405B" w:rsidDel="0093405B">
        <w:t xml:space="preserve"> </w:t>
      </w:r>
      <w:r>
        <w:t>mohou být potencovány souběžným použitím jiných anticholinergních nebo analgetických přípravků.</w:t>
      </w:r>
    </w:p>
    <w:p w14:paraId="303B0981" w14:textId="7C5C64CC" w:rsidR="004A61FD" w:rsidRPr="00293902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Souběžné používání induktorů jaterních </w:t>
      </w:r>
      <w:proofErr w:type="spellStart"/>
      <w:r>
        <w:t>mikrosomálních</w:t>
      </w:r>
      <w:proofErr w:type="spellEnd"/>
      <w:r>
        <w:t xml:space="preserve"> enzymů (např. barbituráty, </w:t>
      </w:r>
      <w:proofErr w:type="spellStart"/>
      <w:r>
        <w:t>fenylbutazon</w:t>
      </w:r>
      <w:proofErr w:type="spellEnd"/>
      <w:r>
        <w:t xml:space="preserve">) snižuje dobu poločasu </w:t>
      </w:r>
      <w:r w:rsidR="0093405B">
        <w:t xml:space="preserve">eliminace </w:t>
      </w:r>
      <w:r>
        <w:t xml:space="preserve">a tím i dobu trvání účinku </w:t>
      </w:r>
      <w:proofErr w:type="spellStart"/>
      <w:r>
        <w:t>metamizolu</w:t>
      </w:r>
      <w:proofErr w:type="spellEnd"/>
      <w:r>
        <w:t xml:space="preserve">. Současné podávání neuroleptik, zvláště derivátů </w:t>
      </w:r>
      <w:proofErr w:type="spellStart"/>
      <w:r>
        <w:t>fenothiazinu</w:t>
      </w:r>
      <w:proofErr w:type="spellEnd"/>
      <w:r>
        <w:t xml:space="preserve">, může vést k závažné hypotermii. Navíc se zvyšuje riziko gastrointestinálního krvácení při souběžném podávání </w:t>
      </w:r>
      <w:proofErr w:type="spellStart"/>
      <w:r>
        <w:t>glukokortikosteroidů</w:t>
      </w:r>
      <w:proofErr w:type="spellEnd"/>
      <w:r>
        <w:t xml:space="preserve">. Diuretický účinek </w:t>
      </w:r>
      <w:proofErr w:type="spellStart"/>
      <w:r>
        <w:t>furosemidu</w:t>
      </w:r>
      <w:proofErr w:type="spellEnd"/>
      <w:r>
        <w:t xml:space="preserve"> je oslaben. Současné podávání jiných slabých analgetik zvyšuje účinky a nežádoucí účinky </w:t>
      </w:r>
      <w:proofErr w:type="spellStart"/>
      <w:r>
        <w:t>metamizolu</w:t>
      </w:r>
      <w:proofErr w:type="spellEnd"/>
      <w:r>
        <w:t>.</w:t>
      </w:r>
    </w:p>
    <w:p w14:paraId="63E87786" w14:textId="77777777" w:rsidR="004A61FD" w:rsidRPr="00E81014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Anticholinergní působení chinidinu a antihistaminik společně s </w:t>
      </w:r>
      <w:proofErr w:type="spellStart"/>
      <w:r>
        <w:t>tachykardickými</w:t>
      </w:r>
      <w:proofErr w:type="spellEnd"/>
      <w:r>
        <w:t xml:space="preserve"> účinky β-sympatomimetik může být tímto veterinárním léčivým přípravkem posíleno.</w:t>
      </w:r>
    </w:p>
    <w:p w14:paraId="683E2B77" w14:textId="77777777" w:rsidR="004A61FD" w:rsidRPr="0000580A" w:rsidRDefault="004A61FD" w:rsidP="004A61FD">
      <w:pPr>
        <w:pStyle w:val="TextkrperPartIB"/>
        <w:rPr>
          <w:u w:val="single"/>
        </w:rPr>
      </w:pPr>
    </w:p>
    <w:p w14:paraId="341661A0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</w:t>
      </w:r>
      <w:r>
        <w:t>:</w:t>
      </w:r>
    </w:p>
    <w:p w14:paraId="59AC1875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Akutní toxicita obou léčivých látek je velmi nízká. Ve studiích akutní toxicity se u potkanů dostavily nespecifické příznaky: ataxie, mydriáza, tachykardie, vyčerpání, křeče, bezvědomí a respirační příznaky.</w:t>
      </w:r>
    </w:p>
    <w:p w14:paraId="3A331878" w14:textId="65429C0D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případě předávkování je nutno léčbu </w:t>
      </w:r>
      <w:r w:rsidR="0093405B">
        <w:t>ukončit</w:t>
      </w:r>
      <w:r>
        <w:t xml:space="preserve">. </w:t>
      </w:r>
      <w:proofErr w:type="spellStart"/>
      <w:r>
        <w:t>Fysostigmin</w:t>
      </w:r>
      <w:proofErr w:type="spellEnd"/>
      <w:r>
        <w:t xml:space="preserve"> je doporučené </w:t>
      </w:r>
      <w:proofErr w:type="spellStart"/>
      <w:r>
        <w:t>antidotum</w:t>
      </w:r>
      <w:proofErr w:type="spellEnd"/>
      <w:r>
        <w:t xml:space="preserve"> pro </w:t>
      </w:r>
      <w:proofErr w:type="spellStart"/>
      <w:r w:rsidR="0093405B">
        <w:rPr>
          <w:szCs w:val="22"/>
          <w:u w:val="single"/>
        </w:rPr>
        <w:t>butylskopolaminium</w:t>
      </w:r>
      <w:proofErr w:type="spellEnd"/>
      <w:r w:rsidR="0093405B">
        <w:rPr>
          <w:szCs w:val="22"/>
          <w:u w:val="single"/>
        </w:rPr>
        <w:t>-bromid</w:t>
      </w:r>
      <w:r>
        <w:t xml:space="preserve">. Specifické </w:t>
      </w:r>
      <w:proofErr w:type="spellStart"/>
      <w:r>
        <w:t>antidotum</w:t>
      </w:r>
      <w:proofErr w:type="spellEnd"/>
      <w:r>
        <w:t xml:space="preserve"> pro </w:t>
      </w:r>
      <w:proofErr w:type="spellStart"/>
      <w:r>
        <w:t>monohydrát</w:t>
      </w:r>
      <w:proofErr w:type="spellEnd"/>
      <w:r>
        <w:t xml:space="preserve"> sodné soli </w:t>
      </w:r>
      <w:proofErr w:type="spellStart"/>
      <w:r>
        <w:t>metamizolu</w:t>
      </w:r>
      <w:proofErr w:type="spellEnd"/>
      <w:r>
        <w:t xml:space="preserve"> není k dispozici. Proto je nutno v případě předávkování zahájit symptomatickou léčbu.</w:t>
      </w:r>
    </w:p>
    <w:p w14:paraId="553E96DF" w14:textId="77777777" w:rsidR="004A61FD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2EDCB3" w14:textId="35A76DF3" w:rsidR="004A61FD" w:rsidRDefault="004A61FD" w:rsidP="004A61FD">
      <w:pPr>
        <w:pStyle w:val="TextkrperPartIB"/>
      </w:pPr>
      <w:r>
        <w:t xml:space="preserve">Kvůli </w:t>
      </w:r>
      <w:proofErr w:type="spellStart"/>
      <w:r>
        <w:t>parasympatolytickému</w:t>
      </w:r>
      <w:proofErr w:type="spellEnd"/>
      <w:r>
        <w:t xml:space="preserve"> působení </w:t>
      </w:r>
      <w:proofErr w:type="spellStart"/>
      <w:r w:rsidR="0093405B">
        <w:rPr>
          <w:u w:val="single"/>
        </w:rPr>
        <w:t>butylskopolaminium</w:t>
      </w:r>
      <w:proofErr w:type="spellEnd"/>
      <w:r w:rsidR="0093405B">
        <w:rPr>
          <w:u w:val="single"/>
        </w:rPr>
        <w:t xml:space="preserve">-bromidu </w:t>
      </w:r>
      <w:r>
        <w:t>bylo v některých případech u koní a skotu pozorováno slabé zvýšení srdečního tepu po podání dvoj</w:t>
      </w:r>
      <w:r w:rsidR="0093405B">
        <w:t>násobné</w:t>
      </w:r>
      <w:r>
        <w:t xml:space="preserve"> terapeutické dávky.</w:t>
      </w:r>
    </w:p>
    <w:p w14:paraId="69D5AA3F" w14:textId="77777777" w:rsidR="004A61FD" w:rsidRDefault="004A61FD" w:rsidP="004A61FD">
      <w:pPr>
        <w:pStyle w:val="TextkrperPartIB"/>
      </w:pPr>
    </w:p>
    <w:p w14:paraId="44F13051" w14:textId="77777777" w:rsidR="004A61FD" w:rsidRPr="00E81014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rPr>
          <w:szCs w:val="22"/>
          <w:u w:val="single"/>
        </w:rPr>
        <w:t>Inkompatibility</w:t>
      </w:r>
      <w:r>
        <w:t>:</w:t>
      </w:r>
    </w:p>
    <w:p w14:paraId="73D76FCF" w14:textId="77777777" w:rsidR="004A61FD" w:rsidRPr="00E81014" w:rsidRDefault="004A61FD" w:rsidP="004A61F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2AE956FB" w14:textId="77777777" w:rsidR="004A61FD" w:rsidRPr="00E81014" w:rsidRDefault="004A61FD" w:rsidP="004A61FD">
      <w:pPr>
        <w:pStyle w:val="TextkrperPartIB"/>
      </w:pPr>
    </w:p>
    <w:p w14:paraId="54BA9B8C" w14:textId="77777777" w:rsidR="004A61FD" w:rsidRPr="001E2853" w:rsidRDefault="004A61FD" w:rsidP="004A61FD">
      <w:pPr>
        <w:tabs>
          <w:tab w:val="clear" w:pos="567"/>
        </w:tabs>
        <w:spacing w:line="240" w:lineRule="auto"/>
        <w:ind w:left="709" w:hanging="709"/>
        <w:rPr>
          <w:b/>
          <w:szCs w:val="22"/>
        </w:rPr>
      </w:pPr>
      <w:r w:rsidRPr="001E2853">
        <w:rPr>
          <w:b/>
          <w:szCs w:val="22"/>
        </w:rPr>
        <w:t>13.</w:t>
      </w:r>
      <w:r w:rsidRPr="001E2853">
        <w:rPr>
          <w:b/>
          <w:szCs w:val="22"/>
        </w:rPr>
        <w:tab/>
        <w:t>ZVLÁŠTNÍ OPATŘENÍ PRO ZNEŠKODŇOVÁNÍ NEPOUŽITÝCH PŘÍPRAVKŮ NEBO ODPADU, POKUD JE JICH TŘEBA</w:t>
      </w:r>
    </w:p>
    <w:p w14:paraId="15EE24D3" w14:textId="77777777" w:rsidR="004A61FD" w:rsidRDefault="004A61FD" w:rsidP="004A61FD">
      <w:pPr>
        <w:pStyle w:val="TextkrperPartIB"/>
      </w:pPr>
    </w:p>
    <w:p w14:paraId="6C0779C2" w14:textId="7331D060" w:rsidR="004A61FD" w:rsidRDefault="004A61FD" w:rsidP="004A61FD">
      <w:pPr>
        <w:pStyle w:val="TextkrperPartIB"/>
      </w:pPr>
      <w:r>
        <w:t xml:space="preserve">Léčivé přípravky se nesmí likvidovat prostřednictvím odpadní vody či domovního odpadu. </w:t>
      </w:r>
      <w:r w:rsidR="00CE0C73">
        <w:t>O </w:t>
      </w:r>
      <w:r>
        <w:t>možnostech likvidace nepotřebných léčivých přípravků se poraďte s vaším veterinárním lékařem nebo lékárníkem. Tato opatření napomáhají chránit životní prostředí.</w:t>
      </w:r>
    </w:p>
    <w:p w14:paraId="75D6EFC6" w14:textId="77777777" w:rsidR="004A61FD" w:rsidRDefault="004A61FD" w:rsidP="004A61FD">
      <w:pPr>
        <w:pStyle w:val="TextkrperPartIB"/>
      </w:pPr>
    </w:p>
    <w:p w14:paraId="51B97923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14.</w:t>
      </w:r>
      <w:r w:rsidRPr="001E2853">
        <w:rPr>
          <w:b/>
          <w:szCs w:val="22"/>
        </w:rPr>
        <w:tab/>
        <w:t>DATUM POSLEDNÍ REVIZE PŘÍBALOVÉ INFORMACE</w:t>
      </w:r>
    </w:p>
    <w:p w14:paraId="53691772" w14:textId="77777777" w:rsidR="004A61FD" w:rsidRDefault="004A61FD" w:rsidP="004A61FD">
      <w:pPr>
        <w:pStyle w:val="TextkrperPartIB"/>
      </w:pPr>
    </w:p>
    <w:p w14:paraId="01B54131" w14:textId="3A71D4C7" w:rsidR="004A61FD" w:rsidRDefault="00E76FFC" w:rsidP="004A61FD">
      <w:pPr>
        <w:pStyle w:val="TextkrperPartIB"/>
      </w:pPr>
      <w:r>
        <w:t>Květen 2020</w:t>
      </w:r>
    </w:p>
    <w:p w14:paraId="792FD100" w14:textId="77777777" w:rsidR="00E76FFC" w:rsidRDefault="00E76FFC" w:rsidP="004A61FD">
      <w:pPr>
        <w:pStyle w:val="TextkrperPartIB"/>
      </w:pPr>
    </w:p>
    <w:p w14:paraId="2192A0F0" w14:textId="77777777" w:rsidR="004A61FD" w:rsidRPr="001E2853" w:rsidRDefault="004A61FD" w:rsidP="004A61FD">
      <w:p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1E2853">
        <w:rPr>
          <w:b/>
          <w:szCs w:val="22"/>
        </w:rPr>
        <w:t>15.</w:t>
      </w:r>
      <w:r w:rsidRPr="001E2853">
        <w:rPr>
          <w:b/>
          <w:szCs w:val="22"/>
        </w:rPr>
        <w:tab/>
        <w:t>DALŠÍ INFORMACE</w:t>
      </w:r>
    </w:p>
    <w:p w14:paraId="315CFA88" w14:textId="77777777" w:rsidR="0093405B" w:rsidRDefault="0093405B" w:rsidP="0093405B"/>
    <w:p w14:paraId="570404A1" w14:textId="416431A3" w:rsidR="0093405B" w:rsidRDefault="0093405B" w:rsidP="0093405B">
      <w:r>
        <w:t>Pouze pro zvířata.</w:t>
      </w:r>
    </w:p>
    <w:p w14:paraId="3929E4EA" w14:textId="6743A309" w:rsidR="0093405B" w:rsidRDefault="0093405B" w:rsidP="0093405B">
      <w:pPr>
        <w:ind w:right="566"/>
      </w:pPr>
      <w:r>
        <w:t>Veterinární léčivý přípravek je vydáván bez předpisu.</w:t>
      </w:r>
    </w:p>
    <w:p w14:paraId="173FAE84" w14:textId="77777777" w:rsidR="0093405B" w:rsidRDefault="0093405B" w:rsidP="004A61FD">
      <w:pPr>
        <w:pStyle w:val="TextkrperPartIB"/>
      </w:pPr>
    </w:p>
    <w:p w14:paraId="313BA557" w14:textId="5913EF8E" w:rsidR="004A61FD" w:rsidRDefault="004A61FD" w:rsidP="004A61FD">
      <w:pPr>
        <w:pStyle w:val="TextkrperPartIB"/>
      </w:pPr>
      <w:r>
        <w:lastRenderedPageBreak/>
        <w:t xml:space="preserve">1 injekční lahvička </w:t>
      </w:r>
      <w:r w:rsidR="00653C5D">
        <w:t xml:space="preserve">o objemu </w:t>
      </w:r>
      <w:r>
        <w:t>10 ml v papírové krabičce.</w:t>
      </w:r>
    </w:p>
    <w:p w14:paraId="5842C169" w14:textId="6CD9FE03" w:rsidR="004A61FD" w:rsidRDefault="004A61FD" w:rsidP="004A61FD">
      <w:pPr>
        <w:pStyle w:val="TextkrperPartIB"/>
        <w:rPr>
          <w:rFonts w:cs="Arial"/>
        </w:rPr>
      </w:pPr>
      <w:r>
        <w:t xml:space="preserve">1 injekční lahvička </w:t>
      </w:r>
      <w:r w:rsidR="00653C5D">
        <w:t xml:space="preserve">o objemu </w:t>
      </w:r>
      <w:r>
        <w:t>100 ml v papírové krabičce.</w:t>
      </w:r>
    </w:p>
    <w:p w14:paraId="1402CBF0" w14:textId="77777777" w:rsidR="004A61FD" w:rsidRDefault="004A61FD" w:rsidP="004A61FD">
      <w:pPr>
        <w:pStyle w:val="TextkrperPartIB"/>
        <w:rPr>
          <w:rFonts w:cs="Arial"/>
        </w:rPr>
      </w:pPr>
    </w:p>
    <w:p w14:paraId="4A567427" w14:textId="77777777" w:rsidR="004A61FD" w:rsidRDefault="004A61FD" w:rsidP="004A61FD">
      <w:pPr>
        <w:pStyle w:val="TextkrperPartIB"/>
        <w:rPr>
          <w:rFonts w:cs="Arial"/>
        </w:rPr>
      </w:pPr>
      <w:r>
        <w:t>Na trhu nemusí být všechny velikosti balení.</w:t>
      </w:r>
    </w:p>
    <w:p w14:paraId="71B2DE52" w14:textId="77777777" w:rsidR="004A61FD" w:rsidRDefault="004A61FD" w:rsidP="004A61FD">
      <w:pPr>
        <w:pStyle w:val="TextkrperPartIB"/>
        <w:rPr>
          <w:rFonts w:cs="Arial"/>
        </w:rPr>
      </w:pPr>
    </w:p>
    <w:p w14:paraId="7607EE0A" w14:textId="77777777" w:rsidR="004A61FD" w:rsidRPr="00474C50" w:rsidRDefault="004A61FD" w:rsidP="004A61FD">
      <w:pPr>
        <w:tabs>
          <w:tab w:val="clear" w:pos="567"/>
        </w:tabs>
        <w:spacing w:line="240" w:lineRule="auto"/>
        <w:rPr>
          <w:szCs w:val="22"/>
        </w:rPr>
      </w:pPr>
    </w:p>
    <w:p w14:paraId="2943F862" w14:textId="77777777" w:rsidR="004A61FD" w:rsidRDefault="004A61FD" w:rsidP="004A61FD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5AD1263" w14:textId="77777777" w:rsidR="001E2853" w:rsidRPr="004A61FD" w:rsidRDefault="001E2853" w:rsidP="004A61FD"/>
    <w:sectPr w:rsidR="001E2853" w:rsidRPr="004A61FD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440B2" w14:textId="77777777" w:rsidR="009742DE" w:rsidRDefault="009742DE">
      <w:r>
        <w:separator/>
      </w:r>
    </w:p>
  </w:endnote>
  <w:endnote w:type="continuationSeparator" w:id="0">
    <w:p w14:paraId="5DC3C198" w14:textId="77777777" w:rsidR="009742DE" w:rsidRDefault="009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D64F3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9643BD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AF5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9B31" w14:textId="77777777" w:rsidR="009742DE" w:rsidRDefault="009742DE">
      <w:r>
        <w:separator/>
      </w:r>
    </w:p>
  </w:footnote>
  <w:footnote w:type="continuationSeparator" w:id="0">
    <w:p w14:paraId="7F956D32" w14:textId="77777777" w:rsidR="009742DE" w:rsidRDefault="0097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73B0" w14:textId="126835D6" w:rsidR="004F6F64" w:rsidRDefault="00FB4371">
    <w:pPr>
      <w:pStyle w:val="Zhlav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34988"/>
    <w:multiLevelType w:val="multilevel"/>
    <w:tmpl w:val="0A7A54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>
    <w:nsid w:val="0A760215"/>
    <w:multiLevelType w:val="multilevel"/>
    <w:tmpl w:val="0A7A54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70B1929"/>
    <w:multiLevelType w:val="hybridMultilevel"/>
    <w:tmpl w:val="D2DCE8E6"/>
    <w:lvl w:ilvl="0" w:tplc="3B64EF3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461976"/>
    <w:multiLevelType w:val="hybridMultilevel"/>
    <w:tmpl w:val="DB248BEC"/>
    <w:lvl w:ilvl="0" w:tplc="C9E4B5B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344DA"/>
    <w:multiLevelType w:val="hybridMultilevel"/>
    <w:tmpl w:val="A65ECEF0"/>
    <w:lvl w:ilvl="0" w:tplc="C4B61F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8F95B52"/>
    <w:multiLevelType w:val="hybridMultilevel"/>
    <w:tmpl w:val="BA9A2C70"/>
    <w:lvl w:ilvl="0" w:tplc="469AD5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>
    <w:nsid w:val="5A3F65D8"/>
    <w:multiLevelType w:val="multilevel"/>
    <w:tmpl w:val="A02E932A"/>
    <w:numStyleLink w:val="BulletsAgency"/>
  </w:abstractNum>
  <w:abstractNum w:abstractNumId="31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>
    <w:nsid w:val="5E23399C"/>
    <w:multiLevelType w:val="hybridMultilevel"/>
    <w:tmpl w:val="A27E2926"/>
    <w:lvl w:ilvl="0" w:tplc="C9E4B5B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2547A4"/>
    <w:multiLevelType w:val="multilevel"/>
    <w:tmpl w:val="0A7A54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>
    <w:nsid w:val="68000D34"/>
    <w:multiLevelType w:val="hybridMultilevel"/>
    <w:tmpl w:val="DE5273EE"/>
    <w:lvl w:ilvl="0" w:tplc="67E66388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>
    <w:nsid w:val="690A7993"/>
    <w:multiLevelType w:val="hybridMultilevel"/>
    <w:tmpl w:val="9808E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>
    <w:nsid w:val="6D8C757E"/>
    <w:multiLevelType w:val="hybridMultilevel"/>
    <w:tmpl w:val="5DC81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2"/>
  </w:num>
  <w:num w:numId="4">
    <w:abstractNumId w:val="40"/>
  </w:num>
  <w:num w:numId="5">
    <w:abstractNumId w:val="18"/>
  </w:num>
  <w:num w:numId="6">
    <w:abstractNumId w:val="29"/>
  </w:num>
  <w:num w:numId="7">
    <w:abstractNumId w:val="24"/>
  </w:num>
  <w:num w:numId="8">
    <w:abstractNumId w:val="11"/>
  </w:num>
  <w:num w:numId="9">
    <w:abstractNumId w:val="37"/>
  </w:num>
  <w:num w:numId="10">
    <w:abstractNumId w:val="39"/>
  </w:num>
  <w:num w:numId="11">
    <w:abstractNumId w:val="20"/>
  </w:num>
  <w:num w:numId="12">
    <w:abstractNumId w:val="19"/>
  </w:num>
  <w:num w:numId="13">
    <w:abstractNumId w:val="4"/>
  </w:num>
  <w:num w:numId="14">
    <w:abstractNumId w:val="35"/>
  </w:num>
  <w:num w:numId="15">
    <w:abstractNumId w:val="23"/>
  </w:num>
  <w:num w:numId="16">
    <w:abstractNumId w:val="43"/>
  </w:num>
  <w:num w:numId="17">
    <w:abstractNumId w:val="12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31"/>
  </w:num>
  <w:num w:numId="23">
    <w:abstractNumId w:val="44"/>
  </w:num>
  <w:num w:numId="24">
    <w:abstractNumId w:val="26"/>
  </w:num>
  <w:num w:numId="25">
    <w:abstractNumId w:val="13"/>
  </w:num>
  <w:num w:numId="26">
    <w:abstractNumId w:val="16"/>
  </w:num>
  <w:num w:numId="27">
    <w:abstractNumId w:val="8"/>
  </w:num>
  <w:num w:numId="28">
    <w:abstractNumId w:val="9"/>
  </w:num>
  <w:num w:numId="29">
    <w:abstractNumId w:val="27"/>
  </w:num>
  <w:num w:numId="30">
    <w:abstractNumId w:val="45"/>
  </w:num>
  <w:num w:numId="31">
    <w:abstractNumId w:val="46"/>
  </w:num>
  <w:num w:numId="32">
    <w:abstractNumId w:val="25"/>
  </w:num>
  <w:num w:numId="33">
    <w:abstractNumId w:val="34"/>
  </w:num>
  <w:num w:numId="34">
    <w:abstractNumId w:val="28"/>
  </w:num>
  <w:num w:numId="35">
    <w:abstractNumId w:val="3"/>
  </w:num>
  <w:num w:numId="36">
    <w:abstractNumId w:val="6"/>
  </w:num>
  <w:num w:numId="37">
    <w:abstractNumId w:val="30"/>
  </w:num>
  <w:num w:numId="38">
    <w:abstractNumId w:val="38"/>
  </w:num>
  <w:num w:numId="39">
    <w:abstractNumId w:val="1"/>
  </w:num>
  <w:num w:numId="40">
    <w:abstractNumId w:val="33"/>
  </w:num>
  <w:num w:numId="41">
    <w:abstractNumId w:val="41"/>
  </w:num>
  <w:num w:numId="42">
    <w:abstractNumId w:val="32"/>
  </w:num>
  <w:num w:numId="43">
    <w:abstractNumId w:val="15"/>
  </w:num>
  <w:num w:numId="44">
    <w:abstractNumId w:val="7"/>
  </w:num>
  <w:num w:numId="45">
    <w:abstractNumId w:val="22"/>
  </w:num>
  <w:num w:numId="46">
    <w:abstractNumId w:val="36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580A"/>
    <w:rsid w:val="00021B82"/>
    <w:rsid w:val="00024777"/>
    <w:rsid w:val="00024E21"/>
    <w:rsid w:val="00036C50"/>
    <w:rsid w:val="00052D2B"/>
    <w:rsid w:val="00054F55"/>
    <w:rsid w:val="00055076"/>
    <w:rsid w:val="00060C75"/>
    <w:rsid w:val="00062945"/>
    <w:rsid w:val="0006713E"/>
    <w:rsid w:val="000752AC"/>
    <w:rsid w:val="00080453"/>
    <w:rsid w:val="0008059A"/>
    <w:rsid w:val="0008169A"/>
    <w:rsid w:val="00084D1F"/>
    <w:rsid w:val="000860CE"/>
    <w:rsid w:val="00092A37"/>
    <w:rsid w:val="000930A0"/>
    <w:rsid w:val="000938A6"/>
    <w:rsid w:val="00095779"/>
    <w:rsid w:val="00097C1E"/>
    <w:rsid w:val="000A1054"/>
    <w:rsid w:val="000A1DF5"/>
    <w:rsid w:val="000B1E60"/>
    <w:rsid w:val="000B59A0"/>
    <w:rsid w:val="000B7873"/>
    <w:rsid w:val="000C02A1"/>
    <w:rsid w:val="000C1D4F"/>
    <w:rsid w:val="000C687A"/>
    <w:rsid w:val="000D67D0"/>
    <w:rsid w:val="000E195C"/>
    <w:rsid w:val="000E3602"/>
    <w:rsid w:val="000F38DA"/>
    <w:rsid w:val="000F5822"/>
    <w:rsid w:val="000F796B"/>
    <w:rsid w:val="0010031E"/>
    <w:rsid w:val="001012EB"/>
    <w:rsid w:val="00106E96"/>
    <w:rsid w:val="001078D1"/>
    <w:rsid w:val="00115782"/>
    <w:rsid w:val="00124F36"/>
    <w:rsid w:val="00125666"/>
    <w:rsid w:val="00125C80"/>
    <w:rsid w:val="0013799F"/>
    <w:rsid w:val="00140DF6"/>
    <w:rsid w:val="00142E2A"/>
    <w:rsid w:val="00144423"/>
    <w:rsid w:val="00145C3F"/>
    <w:rsid w:val="00145D34"/>
    <w:rsid w:val="00146284"/>
    <w:rsid w:val="0014690F"/>
    <w:rsid w:val="0015098E"/>
    <w:rsid w:val="00150C87"/>
    <w:rsid w:val="00153162"/>
    <w:rsid w:val="00153208"/>
    <w:rsid w:val="00154A82"/>
    <w:rsid w:val="00163D1A"/>
    <w:rsid w:val="001674D3"/>
    <w:rsid w:val="00175264"/>
    <w:rsid w:val="001803D2"/>
    <w:rsid w:val="0018228B"/>
    <w:rsid w:val="00185B50"/>
    <w:rsid w:val="0018625C"/>
    <w:rsid w:val="00187DE7"/>
    <w:rsid w:val="00187E62"/>
    <w:rsid w:val="00190214"/>
    <w:rsid w:val="00190AE0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B1C77"/>
    <w:rsid w:val="001B6F4A"/>
    <w:rsid w:val="001C5288"/>
    <w:rsid w:val="001C5B03"/>
    <w:rsid w:val="001C5C78"/>
    <w:rsid w:val="001D6D96"/>
    <w:rsid w:val="001D7847"/>
    <w:rsid w:val="001E2853"/>
    <w:rsid w:val="001E52E8"/>
    <w:rsid w:val="001E5621"/>
    <w:rsid w:val="001F3EF9"/>
    <w:rsid w:val="001F5306"/>
    <w:rsid w:val="001F627D"/>
    <w:rsid w:val="001F6622"/>
    <w:rsid w:val="0020126C"/>
    <w:rsid w:val="00202A10"/>
    <w:rsid w:val="002066EF"/>
    <w:rsid w:val="002100FC"/>
    <w:rsid w:val="00213890"/>
    <w:rsid w:val="00214E52"/>
    <w:rsid w:val="002207C0"/>
    <w:rsid w:val="00224B93"/>
    <w:rsid w:val="0023676E"/>
    <w:rsid w:val="00240AAB"/>
    <w:rsid w:val="002414B6"/>
    <w:rsid w:val="002422EB"/>
    <w:rsid w:val="00242397"/>
    <w:rsid w:val="00245D3A"/>
    <w:rsid w:val="00250DD1"/>
    <w:rsid w:val="00251183"/>
    <w:rsid w:val="00251689"/>
    <w:rsid w:val="0025267C"/>
    <w:rsid w:val="00253B6B"/>
    <w:rsid w:val="00254937"/>
    <w:rsid w:val="0025789B"/>
    <w:rsid w:val="00265656"/>
    <w:rsid w:val="00265E77"/>
    <w:rsid w:val="00266155"/>
    <w:rsid w:val="0027270B"/>
    <w:rsid w:val="00273CB2"/>
    <w:rsid w:val="002744B2"/>
    <w:rsid w:val="002838C8"/>
    <w:rsid w:val="002845A0"/>
    <w:rsid w:val="00290805"/>
    <w:rsid w:val="00290C2A"/>
    <w:rsid w:val="002931DD"/>
    <w:rsid w:val="00293902"/>
    <w:rsid w:val="002941FA"/>
    <w:rsid w:val="002A0E7C"/>
    <w:rsid w:val="002A21ED"/>
    <w:rsid w:val="002A3F88"/>
    <w:rsid w:val="002B0F11"/>
    <w:rsid w:val="002B15C5"/>
    <w:rsid w:val="002B6F7C"/>
    <w:rsid w:val="002C55FF"/>
    <w:rsid w:val="002C5706"/>
    <w:rsid w:val="002C592B"/>
    <w:rsid w:val="002E3A90"/>
    <w:rsid w:val="002E46CC"/>
    <w:rsid w:val="002E4F48"/>
    <w:rsid w:val="002E62CB"/>
    <w:rsid w:val="002E6DF1"/>
    <w:rsid w:val="002E6ED9"/>
    <w:rsid w:val="002E754F"/>
    <w:rsid w:val="002F0957"/>
    <w:rsid w:val="002F3086"/>
    <w:rsid w:val="002F41AD"/>
    <w:rsid w:val="002F43F6"/>
    <w:rsid w:val="002F71D5"/>
    <w:rsid w:val="002F7E53"/>
    <w:rsid w:val="003020BB"/>
    <w:rsid w:val="00304393"/>
    <w:rsid w:val="00305AB2"/>
    <w:rsid w:val="00305AC6"/>
    <w:rsid w:val="0031032B"/>
    <w:rsid w:val="00316E87"/>
    <w:rsid w:val="0032453E"/>
    <w:rsid w:val="00325053"/>
    <w:rsid w:val="003256AC"/>
    <w:rsid w:val="00330848"/>
    <w:rsid w:val="0033129D"/>
    <w:rsid w:val="00331D51"/>
    <w:rsid w:val="003320ED"/>
    <w:rsid w:val="0033480E"/>
    <w:rsid w:val="00337123"/>
    <w:rsid w:val="00337FC0"/>
    <w:rsid w:val="00341866"/>
    <w:rsid w:val="003430E1"/>
    <w:rsid w:val="003535E0"/>
    <w:rsid w:val="00357E33"/>
    <w:rsid w:val="00366F56"/>
    <w:rsid w:val="003737C8"/>
    <w:rsid w:val="0037589D"/>
    <w:rsid w:val="00376ADA"/>
    <w:rsid w:val="00376BB1"/>
    <w:rsid w:val="00377E23"/>
    <w:rsid w:val="00381459"/>
    <w:rsid w:val="0038277C"/>
    <w:rsid w:val="003909E0"/>
    <w:rsid w:val="00393E09"/>
    <w:rsid w:val="00395B15"/>
    <w:rsid w:val="00396026"/>
    <w:rsid w:val="003A3E2F"/>
    <w:rsid w:val="003A6CCB"/>
    <w:rsid w:val="003B10C4"/>
    <w:rsid w:val="003B48EB"/>
    <w:rsid w:val="003C1CF7"/>
    <w:rsid w:val="003C33FF"/>
    <w:rsid w:val="003C64A5"/>
    <w:rsid w:val="003D03CC"/>
    <w:rsid w:val="003D241B"/>
    <w:rsid w:val="003D378C"/>
    <w:rsid w:val="003D4BB7"/>
    <w:rsid w:val="003E0116"/>
    <w:rsid w:val="003E26C3"/>
    <w:rsid w:val="003F0D6C"/>
    <w:rsid w:val="003F0F26"/>
    <w:rsid w:val="003F12D9"/>
    <w:rsid w:val="003F1B4C"/>
    <w:rsid w:val="004008F6"/>
    <w:rsid w:val="0040220E"/>
    <w:rsid w:val="00412BBE"/>
    <w:rsid w:val="00414B20"/>
    <w:rsid w:val="00417DE3"/>
    <w:rsid w:val="00420850"/>
    <w:rsid w:val="00420FD5"/>
    <w:rsid w:val="00423968"/>
    <w:rsid w:val="00427054"/>
    <w:rsid w:val="004304B1"/>
    <w:rsid w:val="0043320A"/>
    <w:rsid w:val="004332E3"/>
    <w:rsid w:val="004428B9"/>
    <w:rsid w:val="00444B34"/>
    <w:rsid w:val="00446960"/>
    <w:rsid w:val="004518A6"/>
    <w:rsid w:val="00453E1D"/>
    <w:rsid w:val="00454589"/>
    <w:rsid w:val="00456ED0"/>
    <w:rsid w:val="00457550"/>
    <w:rsid w:val="0046215B"/>
    <w:rsid w:val="004726E4"/>
    <w:rsid w:val="00474C50"/>
    <w:rsid w:val="004771F9"/>
    <w:rsid w:val="00486006"/>
    <w:rsid w:val="00486BAD"/>
    <w:rsid w:val="00486BBE"/>
    <w:rsid w:val="00487123"/>
    <w:rsid w:val="004952A3"/>
    <w:rsid w:val="00495CAE"/>
    <w:rsid w:val="004A1BD5"/>
    <w:rsid w:val="004A2314"/>
    <w:rsid w:val="004A5127"/>
    <w:rsid w:val="004A61E1"/>
    <w:rsid w:val="004A61FD"/>
    <w:rsid w:val="004B2344"/>
    <w:rsid w:val="004B5DDC"/>
    <w:rsid w:val="004B798E"/>
    <w:rsid w:val="004C0CB0"/>
    <w:rsid w:val="004C2ABD"/>
    <w:rsid w:val="004D3E58"/>
    <w:rsid w:val="004D6746"/>
    <w:rsid w:val="004D767B"/>
    <w:rsid w:val="004E0F32"/>
    <w:rsid w:val="004E23A1"/>
    <w:rsid w:val="004E7092"/>
    <w:rsid w:val="004E7ECE"/>
    <w:rsid w:val="004F22BB"/>
    <w:rsid w:val="004F6F64"/>
    <w:rsid w:val="005004EC"/>
    <w:rsid w:val="00514FEA"/>
    <w:rsid w:val="00517756"/>
    <w:rsid w:val="005202C6"/>
    <w:rsid w:val="0052319E"/>
    <w:rsid w:val="00523C53"/>
    <w:rsid w:val="00527B8F"/>
    <w:rsid w:val="00542012"/>
    <w:rsid w:val="00542FE9"/>
    <w:rsid w:val="00543DF5"/>
    <w:rsid w:val="0055260D"/>
    <w:rsid w:val="00555422"/>
    <w:rsid w:val="00555810"/>
    <w:rsid w:val="005620AD"/>
    <w:rsid w:val="00562DCA"/>
    <w:rsid w:val="0056568F"/>
    <w:rsid w:val="00575917"/>
    <w:rsid w:val="00582578"/>
    <w:rsid w:val="00591F75"/>
    <w:rsid w:val="00597D6A"/>
    <w:rsid w:val="005B04A8"/>
    <w:rsid w:val="005B28AD"/>
    <w:rsid w:val="005B328D"/>
    <w:rsid w:val="005B3503"/>
    <w:rsid w:val="005B3EE7"/>
    <w:rsid w:val="005B4DCD"/>
    <w:rsid w:val="005B4FAD"/>
    <w:rsid w:val="005B71A6"/>
    <w:rsid w:val="005C45EE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2387A"/>
    <w:rsid w:val="00632B62"/>
    <w:rsid w:val="0063377D"/>
    <w:rsid w:val="006344BE"/>
    <w:rsid w:val="00634A66"/>
    <w:rsid w:val="00640336"/>
    <w:rsid w:val="00640FC9"/>
    <w:rsid w:val="006432F2"/>
    <w:rsid w:val="0065320F"/>
    <w:rsid w:val="00653C5D"/>
    <w:rsid w:val="00653D64"/>
    <w:rsid w:val="00654E13"/>
    <w:rsid w:val="00667489"/>
    <w:rsid w:val="00670D44"/>
    <w:rsid w:val="00676AFC"/>
    <w:rsid w:val="006807CD"/>
    <w:rsid w:val="00682D43"/>
    <w:rsid w:val="00685BAF"/>
    <w:rsid w:val="00693001"/>
    <w:rsid w:val="006A0D03"/>
    <w:rsid w:val="006A41E9"/>
    <w:rsid w:val="006B01B5"/>
    <w:rsid w:val="006B12CB"/>
    <w:rsid w:val="006B5916"/>
    <w:rsid w:val="006C4775"/>
    <w:rsid w:val="006C4F4A"/>
    <w:rsid w:val="006C5E80"/>
    <w:rsid w:val="006C79EB"/>
    <w:rsid w:val="006C7CEE"/>
    <w:rsid w:val="006D0693"/>
    <w:rsid w:val="006D075E"/>
    <w:rsid w:val="006D55AC"/>
    <w:rsid w:val="006D7C6E"/>
    <w:rsid w:val="006E2D4C"/>
    <w:rsid w:val="006E2F95"/>
    <w:rsid w:val="00702C94"/>
    <w:rsid w:val="00703C78"/>
    <w:rsid w:val="00705EAF"/>
    <w:rsid w:val="007101CC"/>
    <w:rsid w:val="007243DF"/>
    <w:rsid w:val="00724E3B"/>
    <w:rsid w:val="00725EEA"/>
    <w:rsid w:val="00730CE9"/>
    <w:rsid w:val="0073373D"/>
    <w:rsid w:val="007439DB"/>
    <w:rsid w:val="007568D8"/>
    <w:rsid w:val="00757376"/>
    <w:rsid w:val="00757723"/>
    <w:rsid w:val="00765316"/>
    <w:rsid w:val="00767F14"/>
    <w:rsid w:val="007708C8"/>
    <w:rsid w:val="0077719D"/>
    <w:rsid w:val="007806D7"/>
    <w:rsid w:val="00780DF0"/>
    <w:rsid w:val="00782F0F"/>
    <w:rsid w:val="00787482"/>
    <w:rsid w:val="00794C89"/>
    <w:rsid w:val="007A1822"/>
    <w:rsid w:val="007A286D"/>
    <w:rsid w:val="007A38DF"/>
    <w:rsid w:val="007A4BBB"/>
    <w:rsid w:val="007A5B9D"/>
    <w:rsid w:val="007B20CF"/>
    <w:rsid w:val="007B2499"/>
    <w:rsid w:val="007B72E1"/>
    <w:rsid w:val="007B783A"/>
    <w:rsid w:val="007C1B95"/>
    <w:rsid w:val="007C66B3"/>
    <w:rsid w:val="007D73FB"/>
    <w:rsid w:val="007E2F2D"/>
    <w:rsid w:val="007F1433"/>
    <w:rsid w:val="007F1491"/>
    <w:rsid w:val="007F2F03"/>
    <w:rsid w:val="007F3D62"/>
    <w:rsid w:val="007F79A8"/>
    <w:rsid w:val="00800FE0"/>
    <w:rsid w:val="00805DCB"/>
    <w:rsid w:val="008066AD"/>
    <w:rsid w:val="00814AF1"/>
    <w:rsid w:val="0081517F"/>
    <w:rsid w:val="00815370"/>
    <w:rsid w:val="0082153D"/>
    <w:rsid w:val="00824F1E"/>
    <w:rsid w:val="008255AA"/>
    <w:rsid w:val="00830FF3"/>
    <w:rsid w:val="008334BF"/>
    <w:rsid w:val="00836B8C"/>
    <w:rsid w:val="00840062"/>
    <w:rsid w:val="008410C5"/>
    <w:rsid w:val="00846C08"/>
    <w:rsid w:val="00852F72"/>
    <w:rsid w:val="008530E7"/>
    <w:rsid w:val="00856BDB"/>
    <w:rsid w:val="00857675"/>
    <w:rsid w:val="00861CF8"/>
    <w:rsid w:val="00861FB8"/>
    <w:rsid w:val="0086446D"/>
    <w:rsid w:val="0087046F"/>
    <w:rsid w:val="00875EC3"/>
    <w:rsid w:val="008763E7"/>
    <w:rsid w:val="008776F9"/>
    <w:rsid w:val="0087783D"/>
    <w:rsid w:val="008802AB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A727A"/>
    <w:rsid w:val="008B021D"/>
    <w:rsid w:val="008B24A8"/>
    <w:rsid w:val="008B25E4"/>
    <w:rsid w:val="008B2DE5"/>
    <w:rsid w:val="008B3D78"/>
    <w:rsid w:val="008B5163"/>
    <w:rsid w:val="008C0F01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4DEF"/>
    <w:rsid w:val="008F5983"/>
    <w:rsid w:val="00903D0D"/>
    <w:rsid w:val="009048E1"/>
    <w:rsid w:val="0090598C"/>
    <w:rsid w:val="009071BB"/>
    <w:rsid w:val="00913557"/>
    <w:rsid w:val="00913885"/>
    <w:rsid w:val="009155C3"/>
    <w:rsid w:val="009167F7"/>
    <w:rsid w:val="00920E9D"/>
    <w:rsid w:val="00931D41"/>
    <w:rsid w:val="009338ED"/>
    <w:rsid w:val="00933D18"/>
    <w:rsid w:val="0093405B"/>
    <w:rsid w:val="00941A7F"/>
    <w:rsid w:val="00942221"/>
    <w:rsid w:val="00945938"/>
    <w:rsid w:val="00950FBB"/>
    <w:rsid w:val="0095122F"/>
    <w:rsid w:val="00953349"/>
    <w:rsid w:val="00953A9A"/>
    <w:rsid w:val="00954E0C"/>
    <w:rsid w:val="009571A5"/>
    <w:rsid w:val="00961156"/>
    <w:rsid w:val="009643BD"/>
    <w:rsid w:val="00964F03"/>
    <w:rsid w:val="00966F1F"/>
    <w:rsid w:val="00967D9F"/>
    <w:rsid w:val="009742DE"/>
    <w:rsid w:val="00975676"/>
    <w:rsid w:val="00976467"/>
    <w:rsid w:val="00976D32"/>
    <w:rsid w:val="009844F7"/>
    <w:rsid w:val="00991F1C"/>
    <w:rsid w:val="009938F7"/>
    <w:rsid w:val="009A05AA"/>
    <w:rsid w:val="009A2D5A"/>
    <w:rsid w:val="009B2C7E"/>
    <w:rsid w:val="009B6DBD"/>
    <w:rsid w:val="009C108A"/>
    <w:rsid w:val="009C2513"/>
    <w:rsid w:val="009C2E47"/>
    <w:rsid w:val="009C6BFB"/>
    <w:rsid w:val="009C6C03"/>
    <w:rsid w:val="009D0C05"/>
    <w:rsid w:val="009D6CC3"/>
    <w:rsid w:val="009E2C00"/>
    <w:rsid w:val="009E49AD"/>
    <w:rsid w:val="009E685D"/>
    <w:rsid w:val="009E70F4"/>
    <w:rsid w:val="009E766C"/>
    <w:rsid w:val="009F1AD2"/>
    <w:rsid w:val="00A0479E"/>
    <w:rsid w:val="00A07979"/>
    <w:rsid w:val="00A11755"/>
    <w:rsid w:val="00A11833"/>
    <w:rsid w:val="00A207FB"/>
    <w:rsid w:val="00A24016"/>
    <w:rsid w:val="00A263B1"/>
    <w:rsid w:val="00A265BF"/>
    <w:rsid w:val="00A26F44"/>
    <w:rsid w:val="00A34FAB"/>
    <w:rsid w:val="00A4313D"/>
    <w:rsid w:val="00A50120"/>
    <w:rsid w:val="00A5169E"/>
    <w:rsid w:val="00A60351"/>
    <w:rsid w:val="00A61C6D"/>
    <w:rsid w:val="00A63015"/>
    <w:rsid w:val="00A63533"/>
    <w:rsid w:val="00A66254"/>
    <w:rsid w:val="00A678B4"/>
    <w:rsid w:val="00A704A3"/>
    <w:rsid w:val="00A70A3A"/>
    <w:rsid w:val="00A75E23"/>
    <w:rsid w:val="00A76191"/>
    <w:rsid w:val="00A8151B"/>
    <w:rsid w:val="00A82AA0"/>
    <w:rsid w:val="00A82F8A"/>
    <w:rsid w:val="00A84BF0"/>
    <w:rsid w:val="00A9006C"/>
    <w:rsid w:val="00A9226B"/>
    <w:rsid w:val="00A9575C"/>
    <w:rsid w:val="00A95B56"/>
    <w:rsid w:val="00A969AF"/>
    <w:rsid w:val="00AA1394"/>
    <w:rsid w:val="00AA6BBB"/>
    <w:rsid w:val="00AB1A2E"/>
    <w:rsid w:val="00AB328A"/>
    <w:rsid w:val="00AB4918"/>
    <w:rsid w:val="00AB4BC8"/>
    <w:rsid w:val="00AB6BA7"/>
    <w:rsid w:val="00AB7BE8"/>
    <w:rsid w:val="00AC7C4F"/>
    <w:rsid w:val="00AD0710"/>
    <w:rsid w:val="00AD4602"/>
    <w:rsid w:val="00AD4DB9"/>
    <w:rsid w:val="00AD63C0"/>
    <w:rsid w:val="00AD7A8E"/>
    <w:rsid w:val="00AE07C4"/>
    <w:rsid w:val="00AE19C6"/>
    <w:rsid w:val="00AE35B2"/>
    <w:rsid w:val="00AE6AA0"/>
    <w:rsid w:val="00AF6B17"/>
    <w:rsid w:val="00B119A2"/>
    <w:rsid w:val="00B177F2"/>
    <w:rsid w:val="00B201F1"/>
    <w:rsid w:val="00B2157A"/>
    <w:rsid w:val="00B304E7"/>
    <w:rsid w:val="00B318B6"/>
    <w:rsid w:val="00B409A9"/>
    <w:rsid w:val="00B41F47"/>
    <w:rsid w:val="00B60AC9"/>
    <w:rsid w:val="00B60ED0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1C35"/>
    <w:rsid w:val="00B93E4C"/>
    <w:rsid w:val="00B94A1B"/>
    <w:rsid w:val="00BA5C89"/>
    <w:rsid w:val="00BB4CE2"/>
    <w:rsid w:val="00BB5EF0"/>
    <w:rsid w:val="00BB6724"/>
    <w:rsid w:val="00BC0EFB"/>
    <w:rsid w:val="00BC2E39"/>
    <w:rsid w:val="00BC6F74"/>
    <w:rsid w:val="00BD0138"/>
    <w:rsid w:val="00BD2364"/>
    <w:rsid w:val="00BD28E3"/>
    <w:rsid w:val="00BD3EEE"/>
    <w:rsid w:val="00BE3261"/>
    <w:rsid w:val="00BF58FC"/>
    <w:rsid w:val="00BF679D"/>
    <w:rsid w:val="00C01F77"/>
    <w:rsid w:val="00C01FFC"/>
    <w:rsid w:val="00C05556"/>
    <w:rsid w:val="00C06AE4"/>
    <w:rsid w:val="00C114FF"/>
    <w:rsid w:val="00C11BAC"/>
    <w:rsid w:val="00C1644B"/>
    <w:rsid w:val="00C171A1"/>
    <w:rsid w:val="00C171A4"/>
    <w:rsid w:val="00C17F12"/>
    <w:rsid w:val="00C21C1A"/>
    <w:rsid w:val="00C237E9"/>
    <w:rsid w:val="00C32989"/>
    <w:rsid w:val="00C34D7D"/>
    <w:rsid w:val="00C36883"/>
    <w:rsid w:val="00C40928"/>
    <w:rsid w:val="00C42697"/>
    <w:rsid w:val="00C43F01"/>
    <w:rsid w:val="00C47552"/>
    <w:rsid w:val="00C476B4"/>
    <w:rsid w:val="00C529AA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C1E65"/>
    <w:rsid w:val="00CC567A"/>
    <w:rsid w:val="00CD3212"/>
    <w:rsid w:val="00CD4007"/>
    <w:rsid w:val="00CD4059"/>
    <w:rsid w:val="00CD4E5A"/>
    <w:rsid w:val="00CE03CE"/>
    <w:rsid w:val="00CE0C73"/>
    <w:rsid w:val="00CF0DFF"/>
    <w:rsid w:val="00D028A9"/>
    <w:rsid w:val="00D0359D"/>
    <w:rsid w:val="00D04DED"/>
    <w:rsid w:val="00D1089A"/>
    <w:rsid w:val="00D116BD"/>
    <w:rsid w:val="00D17F46"/>
    <w:rsid w:val="00D2001A"/>
    <w:rsid w:val="00D20684"/>
    <w:rsid w:val="00D26B62"/>
    <w:rsid w:val="00D3691A"/>
    <w:rsid w:val="00D375F4"/>
    <w:rsid w:val="00D377E2"/>
    <w:rsid w:val="00D40B27"/>
    <w:rsid w:val="00D42DCB"/>
    <w:rsid w:val="00D45482"/>
    <w:rsid w:val="00D46DF2"/>
    <w:rsid w:val="00D47674"/>
    <w:rsid w:val="00D5338C"/>
    <w:rsid w:val="00D5646F"/>
    <w:rsid w:val="00D606B2"/>
    <w:rsid w:val="00D625A7"/>
    <w:rsid w:val="00D64074"/>
    <w:rsid w:val="00D65777"/>
    <w:rsid w:val="00D728A0"/>
    <w:rsid w:val="00D74892"/>
    <w:rsid w:val="00D82994"/>
    <w:rsid w:val="00D83661"/>
    <w:rsid w:val="00D95587"/>
    <w:rsid w:val="00D97E7D"/>
    <w:rsid w:val="00DA0DF9"/>
    <w:rsid w:val="00DB3439"/>
    <w:rsid w:val="00DB3618"/>
    <w:rsid w:val="00DB4A3D"/>
    <w:rsid w:val="00DB6868"/>
    <w:rsid w:val="00DC2946"/>
    <w:rsid w:val="00DC550F"/>
    <w:rsid w:val="00DC64FD"/>
    <w:rsid w:val="00DC68BD"/>
    <w:rsid w:val="00DD53C3"/>
    <w:rsid w:val="00DE127F"/>
    <w:rsid w:val="00DE424A"/>
    <w:rsid w:val="00DE4419"/>
    <w:rsid w:val="00DE47C2"/>
    <w:rsid w:val="00DF0ACA"/>
    <w:rsid w:val="00DF2245"/>
    <w:rsid w:val="00DF77CF"/>
    <w:rsid w:val="00E01F67"/>
    <w:rsid w:val="00E026E8"/>
    <w:rsid w:val="00E060F7"/>
    <w:rsid w:val="00E1380E"/>
    <w:rsid w:val="00E14C47"/>
    <w:rsid w:val="00E22698"/>
    <w:rsid w:val="00E24E3A"/>
    <w:rsid w:val="00E25B7C"/>
    <w:rsid w:val="00E3076B"/>
    <w:rsid w:val="00E3725B"/>
    <w:rsid w:val="00E434D1"/>
    <w:rsid w:val="00E43C86"/>
    <w:rsid w:val="00E567C2"/>
    <w:rsid w:val="00E56CBB"/>
    <w:rsid w:val="00E61950"/>
    <w:rsid w:val="00E61E51"/>
    <w:rsid w:val="00E6552A"/>
    <w:rsid w:val="00E65A75"/>
    <w:rsid w:val="00E6707D"/>
    <w:rsid w:val="00E70E7C"/>
    <w:rsid w:val="00E71313"/>
    <w:rsid w:val="00E72606"/>
    <w:rsid w:val="00E73C3E"/>
    <w:rsid w:val="00E76FFC"/>
    <w:rsid w:val="00E77E92"/>
    <w:rsid w:val="00E81014"/>
    <w:rsid w:val="00E82496"/>
    <w:rsid w:val="00E834CD"/>
    <w:rsid w:val="00E84E9D"/>
    <w:rsid w:val="00E86CEE"/>
    <w:rsid w:val="00E90E15"/>
    <w:rsid w:val="00E935AF"/>
    <w:rsid w:val="00EA0FFC"/>
    <w:rsid w:val="00EA2CE5"/>
    <w:rsid w:val="00EA5DF6"/>
    <w:rsid w:val="00EA7557"/>
    <w:rsid w:val="00EB0E20"/>
    <w:rsid w:val="00EB1A80"/>
    <w:rsid w:val="00EB457B"/>
    <w:rsid w:val="00EC4B26"/>
    <w:rsid w:val="00EC4F3A"/>
    <w:rsid w:val="00EC5E74"/>
    <w:rsid w:val="00ED247F"/>
    <w:rsid w:val="00ED594D"/>
    <w:rsid w:val="00EE36E1"/>
    <w:rsid w:val="00EE4221"/>
    <w:rsid w:val="00EE7B3F"/>
    <w:rsid w:val="00F0054D"/>
    <w:rsid w:val="00F02467"/>
    <w:rsid w:val="00F029D4"/>
    <w:rsid w:val="00F04D0E"/>
    <w:rsid w:val="00F12214"/>
    <w:rsid w:val="00F12565"/>
    <w:rsid w:val="00F14ACA"/>
    <w:rsid w:val="00F17A0C"/>
    <w:rsid w:val="00F23927"/>
    <w:rsid w:val="00F246E1"/>
    <w:rsid w:val="00F26A05"/>
    <w:rsid w:val="00F307CE"/>
    <w:rsid w:val="00F308CA"/>
    <w:rsid w:val="00F37108"/>
    <w:rsid w:val="00F47BAA"/>
    <w:rsid w:val="00F52EAB"/>
    <w:rsid w:val="00F61726"/>
    <w:rsid w:val="00F61A31"/>
    <w:rsid w:val="00F67A2D"/>
    <w:rsid w:val="00F70A1B"/>
    <w:rsid w:val="00F72FDF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B207A"/>
    <w:rsid w:val="00FB2886"/>
    <w:rsid w:val="00FB4371"/>
    <w:rsid w:val="00FB466E"/>
    <w:rsid w:val="00FC752C"/>
    <w:rsid w:val="00FD0492"/>
    <w:rsid w:val="00FD13EC"/>
    <w:rsid w:val="00FD1B28"/>
    <w:rsid w:val="00FD4DA8"/>
    <w:rsid w:val="00FD4EEF"/>
    <w:rsid w:val="00FD5461"/>
    <w:rsid w:val="00FD6BDB"/>
    <w:rsid w:val="00FD6F00"/>
    <w:rsid w:val="00FD7B98"/>
    <w:rsid w:val="00FF18D2"/>
    <w:rsid w:val="00FF1FD8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36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extkrperPartIB">
    <w:name w:val="Textkörper Part IB"/>
    <w:basedOn w:val="Normln"/>
    <w:qFormat/>
    <w:rsid w:val="007806D7"/>
    <w:pPr>
      <w:tabs>
        <w:tab w:val="clear" w:pos="567"/>
      </w:tabs>
      <w:spacing w:line="240" w:lineRule="auto"/>
    </w:pPr>
    <w:rPr>
      <w:szCs w:val="22"/>
    </w:rPr>
  </w:style>
  <w:style w:type="character" w:customStyle="1" w:styleId="Formatvorlage12PtFett">
    <w:name w:val="Formatvorlage 12 Pt. Fett"/>
    <w:rsid w:val="007806D7"/>
    <w:rPr>
      <w:b/>
      <w:bCs/>
      <w:sz w:val="22"/>
    </w:rPr>
  </w:style>
  <w:style w:type="character" w:customStyle="1" w:styleId="ZhlavChar">
    <w:name w:val="Záhlaví Char"/>
    <w:link w:val="Zhlav"/>
    <w:rsid w:val="002941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87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extkrperPartIB">
    <w:name w:val="Textkörper Part IB"/>
    <w:basedOn w:val="Normln"/>
    <w:qFormat/>
    <w:rsid w:val="007806D7"/>
    <w:pPr>
      <w:tabs>
        <w:tab w:val="clear" w:pos="567"/>
      </w:tabs>
      <w:spacing w:line="240" w:lineRule="auto"/>
    </w:pPr>
    <w:rPr>
      <w:szCs w:val="22"/>
    </w:rPr>
  </w:style>
  <w:style w:type="character" w:customStyle="1" w:styleId="Formatvorlage12PtFett">
    <w:name w:val="Formatvorlage 12 Pt. Fett"/>
    <w:rsid w:val="007806D7"/>
    <w:rPr>
      <w:b/>
      <w:bCs/>
      <w:sz w:val="22"/>
    </w:rPr>
  </w:style>
  <w:style w:type="character" w:customStyle="1" w:styleId="ZhlavChar">
    <w:name w:val="Záhlaví Char"/>
    <w:link w:val="Zhlav"/>
    <w:rsid w:val="002941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87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7EE8-E029-43D8-9646-DCEF7696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1474</Words>
  <Characters>8699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Dušek Daniel</cp:lastModifiedBy>
  <cp:revision>16</cp:revision>
  <cp:lastPrinted>2018-10-30T10:07:00Z</cp:lastPrinted>
  <dcterms:created xsi:type="dcterms:W3CDTF">2020-04-15T09:41:00Z</dcterms:created>
  <dcterms:modified xsi:type="dcterms:W3CDTF">2020-05-07T11:55:00Z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</Properties>
</file>