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7D" w:rsidRPr="003D5E7D" w:rsidRDefault="003D5E7D" w:rsidP="003D5E7D">
      <w:pPr>
        <w:spacing w:after="0" w:line="360" w:lineRule="atLeast"/>
        <w:outlineLvl w:val="0"/>
        <w:rPr>
          <w:rFonts w:eastAsia="Times New Roman" w:cstheme="minorHAnsi"/>
          <w:kern w:val="36"/>
          <w:u w:val="single"/>
          <w:lang w:eastAsia="cs-CZ"/>
        </w:rPr>
      </w:pPr>
      <w:r w:rsidRPr="003D5E7D">
        <w:rPr>
          <w:rFonts w:eastAsia="Times New Roman" w:cstheme="minorHAnsi"/>
          <w:kern w:val="36"/>
          <w:u w:val="single"/>
          <w:lang w:eastAsia="cs-CZ"/>
        </w:rPr>
        <w:t>Text na etiketu</w:t>
      </w: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</w:p>
    <w:p w:rsidR="003D5E7D" w:rsidRPr="003D5E7D" w:rsidRDefault="00C16E0E" w:rsidP="003D5E7D">
      <w:pPr>
        <w:spacing w:after="0" w:line="360" w:lineRule="atLeast"/>
        <w:jc w:val="center"/>
        <w:outlineLvl w:val="0"/>
        <w:rPr>
          <w:rFonts w:eastAsia="Times New Roman" w:cstheme="minorHAnsi"/>
          <w:b/>
          <w:kern w:val="36"/>
          <w:sz w:val="28"/>
          <w:szCs w:val="28"/>
          <w:lang w:eastAsia="cs-CZ"/>
        </w:rPr>
      </w:pPr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SNAP </w:t>
      </w:r>
      <w:proofErr w:type="spellStart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>Feline</w:t>
      </w:r>
      <w:proofErr w:type="spellEnd"/>
      <w:r>
        <w:rPr>
          <w:rFonts w:eastAsia="Times New Roman" w:cstheme="minorHAnsi"/>
          <w:b/>
          <w:kern w:val="36"/>
          <w:sz w:val="28"/>
          <w:szCs w:val="28"/>
          <w:lang w:eastAsia="cs-CZ"/>
        </w:rPr>
        <w:t xml:space="preserve"> pro BPN</w:t>
      </w:r>
    </w:p>
    <w:p w:rsidR="003D5E7D" w:rsidRDefault="003D5E7D" w:rsidP="003D5E7D">
      <w:pPr>
        <w:spacing w:after="0" w:line="360" w:lineRule="atLeast"/>
        <w:jc w:val="center"/>
        <w:outlineLvl w:val="0"/>
        <w:rPr>
          <w:rFonts w:eastAsia="Times New Roman" w:cstheme="minorHAnsi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kern w:val="36"/>
          <w:sz w:val="32"/>
          <w:szCs w:val="32"/>
          <w:lang w:eastAsia="cs-CZ"/>
        </w:rPr>
        <w:t xml:space="preserve"> </w:t>
      </w:r>
    </w:p>
    <w:p w:rsidR="00936902" w:rsidRDefault="00936902" w:rsidP="00936902">
      <w:pPr>
        <w:pStyle w:val="Default"/>
      </w:pPr>
    </w:p>
    <w:p w:rsidR="003D5E7D" w:rsidRPr="00936902" w:rsidRDefault="00936902" w:rsidP="00936902">
      <w:pPr>
        <w:spacing w:after="0" w:line="240" w:lineRule="auto"/>
        <w:jc w:val="center"/>
        <w:rPr>
          <w:rFonts w:eastAsia="Yu Gothic UI" w:cstheme="minorHAnsi"/>
          <w:b/>
        </w:rPr>
      </w:pPr>
      <w:r w:rsidRPr="00936902">
        <w:rPr>
          <w:b/>
        </w:rPr>
        <w:t xml:space="preserve"> </w:t>
      </w:r>
      <w:r w:rsidRPr="00936902">
        <w:rPr>
          <w:rFonts w:cs="Myriad Pro"/>
          <w:b/>
          <w:color w:val="000000"/>
        </w:rPr>
        <w:t xml:space="preserve">Test in vitro pro měření cirkulujícího </w:t>
      </w:r>
      <w:proofErr w:type="spellStart"/>
      <w:r w:rsidRPr="00936902">
        <w:rPr>
          <w:rFonts w:cs="Myriad Pro"/>
          <w:b/>
          <w:color w:val="000000"/>
        </w:rPr>
        <w:t>NTproBNP</w:t>
      </w:r>
      <w:proofErr w:type="spellEnd"/>
      <w:r w:rsidRPr="00936902">
        <w:rPr>
          <w:rFonts w:cs="Myriad Pro"/>
          <w:b/>
          <w:color w:val="000000"/>
        </w:rPr>
        <w:t xml:space="preserve"> v kočičím séru nebo plazmě</w:t>
      </w:r>
      <w:r>
        <w:rPr>
          <w:rFonts w:cs="Myriad Pro"/>
          <w:b/>
          <w:color w:val="000000"/>
        </w:rPr>
        <w:t xml:space="preserve"> s EDTA</w:t>
      </w:r>
    </w:p>
    <w:p w:rsidR="003D5E7D" w:rsidRDefault="003D5E7D" w:rsidP="003D5E7D">
      <w:pPr>
        <w:spacing w:after="0" w:line="240" w:lineRule="auto"/>
        <w:rPr>
          <w:rFonts w:eastAsia="Yu Gothic UI" w:cstheme="minorHAnsi"/>
        </w:rPr>
      </w:pPr>
    </w:p>
    <w:p w:rsidR="003D5E7D" w:rsidRDefault="003D5E7D" w:rsidP="003D5E7D">
      <w:pPr>
        <w:rPr>
          <w:rFonts w:cstheme="minorHAnsi"/>
        </w:rPr>
      </w:pPr>
      <w:r>
        <w:rPr>
          <w:rFonts w:cstheme="minorHAnsi"/>
        </w:rPr>
        <w:t>Balení: 5 testů (10 testů)</w:t>
      </w:r>
    </w:p>
    <w:p w:rsidR="003D5E7D" w:rsidRDefault="003D5E7D" w:rsidP="003D5E7D">
      <w:pPr>
        <w:rPr>
          <w:rFonts w:cstheme="minorHAnsi"/>
        </w:rPr>
      </w:pPr>
      <w:r>
        <w:rPr>
          <w:rFonts w:cstheme="minorHAnsi"/>
        </w:rPr>
        <w:t xml:space="preserve">Uchovávejte při teplotě  2°C - 8°C </w:t>
      </w:r>
    </w:p>
    <w:p w:rsidR="003C7EC8" w:rsidRDefault="003C7EC8" w:rsidP="003C7EC8">
      <w:pPr>
        <w:rPr>
          <w:rFonts w:cstheme="minorHAnsi"/>
        </w:rPr>
      </w:pPr>
      <w:r>
        <w:rPr>
          <w:rFonts w:cstheme="minorHAnsi"/>
        </w:rPr>
        <w:t xml:space="preserve">Držitel rozhodnutí o schválení : IDEXX </w:t>
      </w:r>
      <w:proofErr w:type="spellStart"/>
      <w:proofErr w:type="gram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</w:t>
      </w:r>
      <w:proofErr w:type="spellStart"/>
      <w:r>
        <w:rPr>
          <w:rFonts w:cstheme="minorHAnsi"/>
        </w:rPr>
        <w:t>Scorpius</w:t>
      </w:r>
      <w:proofErr w:type="spellEnd"/>
      <w:proofErr w:type="gramEnd"/>
      <w:r>
        <w:rPr>
          <w:rFonts w:cstheme="minorHAnsi"/>
        </w:rPr>
        <w:t xml:space="preserve"> 60, 2132 LR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Nizozemí</w:t>
      </w:r>
    </w:p>
    <w:p w:rsidR="003D5E7D" w:rsidRDefault="00333E82" w:rsidP="003D5E7D">
      <w:pPr>
        <w:rPr>
          <w:rFonts w:cstheme="minorHAnsi"/>
        </w:rPr>
      </w:pPr>
      <w:r>
        <w:rPr>
          <w:rFonts w:cstheme="minorHAnsi"/>
        </w:rPr>
        <w:t>Číslo schválení: 031</w:t>
      </w:r>
      <w:r w:rsidR="00C16E0E">
        <w:rPr>
          <w:rFonts w:cstheme="minorHAnsi"/>
        </w:rPr>
        <w:t>-19</w:t>
      </w:r>
      <w:r w:rsidR="003D5E7D">
        <w:rPr>
          <w:rFonts w:cstheme="minorHAnsi"/>
        </w:rPr>
        <w:t>/C</w:t>
      </w:r>
    </w:p>
    <w:p w:rsidR="00335CCE" w:rsidRDefault="00335CCE">
      <w:bookmarkStart w:id="0" w:name="_GoBack"/>
      <w:bookmarkEnd w:id="0"/>
    </w:p>
    <w:sectPr w:rsidR="0033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D"/>
    <w:rsid w:val="0019607E"/>
    <w:rsid w:val="00333E82"/>
    <w:rsid w:val="00335CCE"/>
    <w:rsid w:val="003C7EC8"/>
    <w:rsid w:val="003D5E7D"/>
    <w:rsid w:val="00936902"/>
    <w:rsid w:val="00C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E7D"/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90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E7D"/>
    <w:rPr>
      <w:rFonts w:asciiTheme="minorHAnsi" w:eastAsia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90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2018-04-09T15:49:00Z</dcterms:created>
  <dcterms:modified xsi:type="dcterms:W3CDTF">2019-02-20T11:27:00Z</dcterms:modified>
</cp:coreProperties>
</file>