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F0DB7" w14:textId="363D1D34" w:rsidR="00CD2AC0" w:rsidRDefault="00537A9A" w:rsidP="00CD2AC0">
      <w:pPr>
        <w:pStyle w:val="Bezmezer"/>
        <w:spacing w:line="360" w:lineRule="auto"/>
        <w:jc w:val="both"/>
        <w:rPr>
          <w:rFonts w:asciiTheme="majorHAnsi" w:hAnsiTheme="majorHAnsi" w:cs="Times New Roman"/>
          <w:u w:val="single"/>
        </w:rPr>
      </w:pPr>
      <w:r w:rsidRPr="00537A9A">
        <w:rPr>
          <w:rFonts w:asciiTheme="majorHAnsi" w:hAnsiTheme="majorHAnsi" w:cs="Times New Roman"/>
          <w:u w:val="single"/>
        </w:rPr>
        <w:t>Text na etiketu</w:t>
      </w:r>
    </w:p>
    <w:p w14:paraId="35F0A777" w14:textId="77777777" w:rsidR="00787406" w:rsidRPr="00537A9A" w:rsidRDefault="00787406" w:rsidP="00CD2AC0">
      <w:pPr>
        <w:pStyle w:val="Bezmezer"/>
        <w:spacing w:line="360" w:lineRule="auto"/>
        <w:jc w:val="both"/>
        <w:rPr>
          <w:rFonts w:asciiTheme="majorHAnsi" w:hAnsiTheme="majorHAnsi" w:cs="Times New Roman"/>
          <w:u w:val="single"/>
        </w:rPr>
      </w:pPr>
    </w:p>
    <w:p w14:paraId="33BE1859" w14:textId="77777777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  <w:b/>
        </w:rPr>
      </w:pPr>
      <w:r w:rsidRPr="00537A9A">
        <w:rPr>
          <w:rFonts w:asciiTheme="majorHAnsi" w:hAnsiTheme="majorHAnsi" w:cs="Times New Roman"/>
          <w:b/>
        </w:rPr>
        <w:t xml:space="preserve">KLOUBY+ </w:t>
      </w:r>
    </w:p>
    <w:p w14:paraId="1EB8D345" w14:textId="77777777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  <w:b/>
        </w:rPr>
      </w:pPr>
    </w:p>
    <w:p w14:paraId="338DB5BD" w14:textId="77777777" w:rsidR="00CD2AC0" w:rsidRPr="00787406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787406">
        <w:rPr>
          <w:rFonts w:asciiTheme="majorHAnsi" w:hAnsiTheme="majorHAnsi" w:cs="Times New Roman"/>
        </w:rPr>
        <w:t>Veterinární přípravek - Kloubní výživa pro psy</w:t>
      </w:r>
    </w:p>
    <w:p w14:paraId="5E81EBED" w14:textId="77777777" w:rsidR="00CD2AC0" w:rsidRPr="00787406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787406">
        <w:rPr>
          <w:rFonts w:asciiTheme="majorHAnsi" w:hAnsiTheme="majorHAnsi" w:cs="Times New Roman"/>
        </w:rPr>
        <w:t>Pro aktivní pohyb bez bolesti</w:t>
      </w:r>
    </w:p>
    <w:p w14:paraId="3944BBE3" w14:textId="77777777" w:rsidR="00CD2AC0" w:rsidRPr="00787406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p w14:paraId="1CE8D6AC" w14:textId="77777777" w:rsidR="00CD2AC0" w:rsidRPr="00787406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787406">
        <w:rPr>
          <w:rFonts w:asciiTheme="majorHAnsi" w:hAnsiTheme="majorHAnsi" w:cs="Times New Roman"/>
        </w:rPr>
        <w:t xml:space="preserve">Originální receptura vyvinutá na základě nejnovějších poznatků současné vědy a moderní </w:t>
      </w:r>
      <w:proofErr w:type="spellStart"/>
      <w:r w:rsidRPr="00787406">
        <w:rPr>
          <w:rFonts w:asciiTheme="majorHAnsi" w:hAnsiTheme="majorHAnsi" w:cs="Times New Roman"/>
        </w:rPr>
        <w:t>fytofarmacie</w:t>
      </w:r>
      <w:proofErr w:type="spellEnd"/>
      <w:r w:rsidRPr="00787406">
        <w:rPr>
          <w:rFonts w:asciiTheme="majorHAnsi" w:hAnsiTheme="majorHAnsi" w:cs="Times New Roman"/>
        </w:rPr>
        <w:t xml:space="preserve">. </w:t>
      </w:r>
    </w:p>
    <w:p w14:paraId="2B804AD8" w14:textId="77777777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p w14:paraId="73C40972" w14:textId="5CBFB138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537A9A">
        <w:rPr>
          <w:rFonts w:asciiTheme="majorHAnsi" w:hAnsiTheme="majorHAnsi" w:cs="Times New Roman"/>
        </w:rPr>
        <w:t xml:space="preserve">Originální receptura spojuje </w:t>
      </w:r>
      <w:proofErr w:type="spellStart"/>
      <w:r w:rsidRPr="00537A9A">
        <w:rPr>
          <w:rFonts w:asciiTheme="majorHAnsi" w:hAnsiTheme="majorHAnsi" w:cs="Times New Roman"/>
        </w:rPr>
        <w:t>chondroprotektivní</w:t>
      </w:r>
      <w:proofErr w:type="spellEnd"/>
      <w:r w:rsidRPr="00537A9A">
        <w:rPr>
          <w:rFonts w:asciiTheme="majorHAnsi" w:hAnsiTheme="majorHAnsi" w:cs="Times New Roman"/>
        </w:rPr>
        <w:t xml:space="preserve"> stavební látky (glukosamin sulfát, chondroitin sulfát) a unikátní bylinný komplex (šišák bajkalský, bršlice kozí noha, přeslička rolní nať, rdesno nať). </w:t>
      </w:r>
      <w:r w:rsidR="00252999">
        <w:rPr>
          <w:rFonts w:asciiTheme="majorHAnsi" w:hAnsiTheme="majorHAnsi" w:cs="Times New Roman"/>
        </w:rPr>
        <w:t>Uvedené komponenty</w:t>
      </w:r>
      <w:r w:rsidR="00252999" w:rsidRPr="00537A9A">
        <w:rPr>
          <w:rFonts w:asciiTheme="majorHAnsi" w:hAnsiTheme="majorHAnsi" w:cs="Times New Roman"/>
        </w:rPr>
        <w:t xml:space="preserve"> </w:t>
      </w:r>
      <w:r w:rsidRPr="00537A9A">
        <w:rPr>
          <w:rFonts w:asciiTheme="majorHAnsi" w:hAnsiTheme="majorHAnsi" w:cs="Times New Roman"/>
        </w:rPr>
        <w:t>jsou vhodné k</w:t>
      </w:r>
      <w:r w:rsidR="00252999">
        <w:rPr>
          <w:rFonts w:asciiTheme="majorHAnsi" w:hAnsiTheme="majorHAnsi" w:cs="Times New Roman"/>
        </w:rPr>
        <w:t> </w:t>
      </w:r>
      <w:r w:rsidRPr="00537A9A">
        <w:rPr>
          <w:rFonts w:asciiTheme="majorHAnsi" w:hAnsiTheme="majorHAnsi" w:cs="Times New Roman"/>
        </w:rPr>
        <w:t>preventivnímu</w:t>
      </w:r>
      <w:r w:rsidR="00252999">
        <w:rPr>
          <w:rFonts w:asciiTheme="majorHAnsi" w:hAnsiTheme="majorHAnsi" w:cs="Times New Roman"/>
        </w:rPr>
        <w:t xml:space="preserve"> a</w:t>
      </w:r>
      <w:r w:rsidRPr="00537A9A">
        <w:rPr>
          <w:rFonts w:asciiTheme="majorHAnsi" w:hAnsiTheme="majorHAnsi" w:cs="Times New Roman"/>
        </w:rPr>
        <w:t xml:space="preserve"> regeneračnímu použití u psů všech věkových kategorií. </w:t>
      </w:r>
    </w:p>
    <w:p w14:paraId="42AB5778" w14:textId="40FEA568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537A9A">
        <w:rPr>
          <w:rFonts w:asciiTheme="majorHAnsi" w:hAnsiTheme="majorHAnsi" w:cs="Times New Roman"/>
        </w:rPr>
        <w:t xml:space="preserve">Přípravek KLOUBY+ přispívá ke snížení bolestivosti poškozených kloubů a může příznivě ovlivnit hybnost a výkonnost zvířete. Doporučujeme užívat </w:t>
      </w:r>
      <w:r w:rsidR="00252999">
        <w:rPr>
          <w:rFonts w:asciiTheme="majorHAnsi" w:hAnsiTheme="majorHAnsi" w:cs="Times New Roman"/>
        </w:rPr>
        <w:t>i</w:t>
      </w:r>
      <w:r w:rsidRPr="00537A9A">
        <w:rPr>
          <w:rFonts w:asciiTheme="majorHAnsi" w:hAnsiTheme="majorHAnsi" w:cs="Times New Roman"/>
        </w:rPr>
        <w:t xml:space="preserve"> jako podporu léčby psů s poškozenými klouby. Tekutá forma s</w:t>
      </w:r>
      <w:r w:rsidR="00787406">
        <w:rPr>
          <w:rFonts w:asciiTheme="majorHAnsi" w:hAnsiTheme="majorHAnsi" w:cs="Times New Roman"/>
        </w:rPr>
        <w:t>e velmi dobře aplikuje spolu s krmivem</w:t>
      </w:r>
      <w:r w:rsidRPr="00537A9A">
        <w:rPr>
          <w:rFonts w:asciiTheme="majorHAnsi" w:hAnsiTheme="majorHAnsi" w:cs="Times New Roman"/>
        </w:rPr>
        <w:t>.</w:t>
      </w:r>
    </w:p>
    <w:p w14:paraId="42477694" w14:textId="77777777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p w14:paraId="4A9CD964" w14:textId="77796829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537A9A">
        <w:rPr>
          <w:rFonts w:asciiTheme="majorHAnsi" w:hAnsiTheme="majorHAnsi" w:cs="Times New Roman"/>
          <w:b/>
        </w:rPr>
        <w:t xml:space="preserve">Návod k použití: </w:t>
      </w:r>
      <w:r w:rsidR="00787406">
        <w:rPr>
          <w:rFonts w:asciiTheme="majorHAnsi" w:hAnsiTheme="majorHAnsi" w:cs="Times New Roman"/>
        </w:rPr>
        <w:t>P</w:t>
      </w:r>
      <w:r w:rsidRPr="00537A9A">
        <w:rPr>
          <w:rFonts w:asciiTheme="majorHAnsi" w:hAnsiTheme="majorHAnsi" w:cs="Times New Roman"/>
        </w:rPr>
        <w:t>od</w:t>
      </w:r>
      <w:r w:rsidR="00787406">
        <w:rPr>
          <w:rFonts w:asciiTheme="majorHAnsi" w:hAnsiTheme="majorHAnsi" w:cs="Times New Roman"/>
        </w:rPr>
        <w:t>ávejte denně</w:t>
      </w:r>
      <w:r w:rsidRPr="00537A9A">
        <w:rPr>
          <w:rFonts w:asciiTheme="majorHAnsi" w:hAnsiTheme="majorHAnsi" w:cs="Times New Roman"/>
        </w:rPr>
        <w:t xml:space="preserve"> 5</w:t>
      </w:r>
      <w:r w:rsidR="00787406">
        <w:rPr>
          <w:rFonts w:asciiTheme="majorHAnsi" w:hAnsiTheme="majorHAnsi" w:cs="Times New Roman"/>
        </w:rPr>
        <w:t xml:space="preserve"> ml na 10 kg hmotnosti psa</w:t>
      </w:r>
      <w:r w:rsidRPr="00537A9A">
        <w:rPr>
          <w:rFonts w:asciiTheme="majorHAnsi" w:hAnsiTheme="majorHAnsi" w:cs="Times New Roman"/>
        </w:rPr>
        <w:t xml:space="preserve">. Podávejte po dobu 2 – 3 měsíců. Následně vysaďte na 3 měsíce a dle potřeby případně kúru opakujte. </w:t>
      </w:r>
    </w:p>
    <w:p w14:paraId="7E4CB20F" w14:textId="77777777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p w14:paraId="5F57D665" w14:textId="57C70E29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537A9A">
        <w:rPr>
          <w:rFonts w:asciiTheme="majorHAnsi" w:hAnsiTheme="majorHAnsi" w:cs="Times New Roman"/>
          <w:b/>
        </w:rPr>
        <w:t xml:space="preserve">Složení: </w:t>
      </w:r>
      <w:r w:rsidRPr="00537A9A">
        <w:rPr>
          <w:rFonts w:asciiTheme="majorHAnsi" w:hAnsiTheme="majorHAnsi" w:cs="Times New Roman"/>
        </w:rPr>
        <w:t xml:space="preserve">Invertní fruktózový sirup, Glukosamin sulfát, Voda, Chondroitin sulfát, MSM, Líh, Kyselina </w:t>
      </w:r>
      <w:proofErr w:type="spellStart"/>
      <w:r w:rsidRPr="00537A9A">
        <w:rPr>
          <w:rFonts w:asciiTheme="majorHAnsi" w:hAnsiTheme="majorHAnsi" w:cs="Times New Roman"/>
        </w:rPr>
        <w:t>hyaluronová</w:t>
      </w:r>
      <w:proofErr w:type="spellEnd"/>
      <w:r w:rsidRPr="00537A9A">
        <w:rPr>
          <w:rFonts w:asciiTheme="majorHAnsi" w:hAnsiTheme="majorHAnsi" w:cs="Times New Roman"/>
        </w:rPr>
        <w:t xml:space="preserve">, Šišák bajkalský standardizovaný extrakt, Vitamín C, Bršlice kozí noha nať, Přeslička rolní nať, Rdesno ptačí nať, </w:t>
      </w:r>
      <w:proofErr w:type="spellStart"/>
      <w:r w:rsidRPr="00537A9A">
        <w:rPr>
          <w:rFonts w:asciiTheme="majorHAnsi" w:hAnsiTheme="majorHAnsi" w:cs="Times New Roman"/>
        </w:rPr>
        <w:t>Aescin</w:t>
      </w:r>
      <w:proofErr w:type="spellEnd"/>
      <w:r w:rsidRPr="00537A9A">
        <w:rPr>
          <w:rFonts w:asciiTheme="majorHAnsi" w:hAnsiTheme="majorHAnsi" w:cs="Times New Roman"/>
        </w:rPr>
        <w:t xml:space="preserve"> (kaštanový extr</w:t>
      </w:r>
      <w:r w:rsidR="00C91DD6">
        <w:rPr>
          <w:rFonts w:asciiTheme="majorHAnsi" w:hAnsiTheme="majorHAnsi" w:cs="Times New Roman"/>
        </w:rPr>
        <w:t xml:space="preserve">akt 20 % </w:t>
      </w:r>
      <w:proofErr w:type="spellStart"/>
      <w:r w:rsidR="00C91DD6">
        <w:rPr>
          <w:rFonts w:asciiTheme="majorHAnsi" w:hAnsiTheme="majorHAnsi" w:cs="Times New Roman"/>
        </w:rPr>
        <w:t>aescinu</w:t>
      </w:r>
      <w:proofErr w:type="spellEnd"/>
      <w:r w:rsidR="00C91DD6">
        <w:rPr>
          <w:rFonts w:asciiTheme="majorHAnsi" w:hAnsiTheme="majorHAnsi" w:cs="Times New Roman"/>
        </w:rPr>
        <w:t xml:space="preserve">), Kurkuma </w:t>
      </w:r>
      <w:r w:rsidRPr="00537A9A">
        <w:rPr>
          <w:rFonts w:asciiTheme="majorHAnsi" w:hAnsiTheme="majorHAnsi" w:cs="Times New Roman"/>
        </w:rPr>
        <w:t xml:space="preserve">standardizovaný extrakt, Piperin, </w:t>
      </w:r>
      <w:proofErr w:type="spellStart"/>
      <w:r w:rsidRPr="00537A9A">
        <w:rPr>
          <w:rFonts w:asciiTheme="majorHAnsi" w:hAnsiTheme="majorHAnsi" w:cs="Times New Roman"/>
        </w:rPr>
        <w:t>Boswe</w:t>
      </w:r>
      <w:r w:rsidR="009A456A">
        <w:rPr>
          <w:rFonts w:asciiTheme="majorHAnsi" w:hAnsiTheme="majorHAnsi" w:cs="Times New Roman"/>
        </w:rPr>
        <w:t>l</w:t>
      </w:r>
      <w:r w:rsidRPr="00537A9A">
        <w:rPr>
          <w:rFonts w:asciiTheme="majorHAnsi" w:hAnsiTheme="majorHAnsi" w:cs="Times New Roman"/>
        </w:rPr>
        <w:t>lia</w:t>
      </w:r>
      <w:proofErr w:type="spellEnd"/>
      <w:r w:rsidRPr="00537A9A">
        <w:rPr>
          <w:rFonts w:asciiTheme="majorHAnsi" w:hAnsiTheme="majorHAnsi" w:cs="Times New Roman"/>
        </w:rPr>
        <w:t xml:space="preserve"> </w:t>
      </w:r>
      <w:proofErr w:type="spellStart"/>
      <w:r w:rsidRPr="00537A9A">
        <w:rPr>
          <w:rFonts w:asciiTheme="majorHAnsi" w:hAnsiTheme="majorHAnsi" w:cs="Times New Roman"/>
        </w:rPr>
        <w:t>serrata</w:t>
      </w:r>
      <w:proofErr w:type="spellEnd"/>
      <w:r w:rsidRPr="00537A9A">
        <w:rPr>
          <w:rFonts w:asciiTheme="majorHAnsi" w:hAnsiTheme="majorHAnsi" w:cs="Times New Roman"/>
        </w:rPr>
        <w:t xml:space="preserve"> standardizovaný extrakt</w:t>
      </w:r>
    </w:p>
    <w:p w14:paraId="47C8BEBA" w14:textId="77777777" w:rsidR="00CD2AC0" w:rsidRPr="00537A9A" w:rsidRDefault="00CD2AC0" w:rsidP="00CD2AC0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tbl>
      <w:tblPr>
        <w:tblW w:w="14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  <w:gridCol w:w="1680"/>
        <w:gridCol w:w="1505"/>
        <w:gridCol w:w="2740"/>
      </w:tblGrid>
      <w:tr w:rsidR="00787406" w:rsidRPr="006D5CF1" w14:paraId="038C531A" w14:textId="77777777" w:rsidTr="002F08FA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FC2CD" w14:textId="77777777" w:rsidR="00787406" w:rsidRPr="006D5CF1" w:rsidRDefault="00787406" w:rsidP="002F08FA">
            <w:pPr>
              <w:spacing w:line="36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F5788C">
              <w:rPr>
                <w:rFonts w:asciiTheme="majorHAnsi" w:eastAsia="Times New Roman" w:hAnsiTheme="majorHAnsi" w:cs="Times New Roman"/>
                <w:b/>
                <w:lang w:eastAsia="cs-CZ"/>
              </w:rPr>
              <w:t>Obsah:</w:t>
            </w:r>
            <w:r w:rsidRPr="006D5CF1">
              <w:rPr>
                <w:rFonts w:asciiTheme="majorHAnsi" w:eastAsia="Times New Roman" w:hAnsiTheme="majorHAnsi" w:cs="Times New Roman"/>
                <w:lang w:eastAsia="cs-CZ"/>
              </w:rPr>
              <w:t xml:space="preserve"> 500 ml 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10FFC" w14:textId="77777777" w:rsidR="00787406" w:rsidRPr="006D5CF1" w:rsidRDefault="00787406" w:rsidP="002F08FA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F0466" w14:textId="77777777" w:rsidR="00787406" w:rsidRPr="006D5CF1" w:rsidRDefault="00787406" w:rsidP="002F08FA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8C53" w14:textId="77777777" w:rsidR="00787406" w:rsidRPr="006D5CF1" w:rsidRDefault="00787406" w:rsidP="002F08FA">
            <w:pPr>
              <w:spacing w:line="360" w:lineRule="auto"/>
              <w:ind w:left="-498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395CC52B" w14:textId="77777777" w:rsidR="00787406" w:rsidRPr="006D5CF1" w:rsidRDefault="00787406" w:rsidP="00787406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t>Upozornění:</w:t>
      </w:r>
      <w:r w:rsidRPr="006D5CF1">
        <w:rPr>
          <w:rFonts w:asciiTheme="majorHAnsi" w:hAnsiTheme="majorHAnsi" w:cs="Times New Roman"/>
        </w:rPr>
        <w:t xml:space="preserve"> Používejte dle návodu k použití. Pouze pro zvířata. </w:t>
      </w:r>
    </w:p>
    <w:p w14:paraId="3704C95B" w14:textId="77777777" w:rsidR="00787406" w:rsidRDefault="00787406" w:rsidP="00787406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t>Skladování:</w:t>
      </w:r>
      <w:r w:rsidRPr="006D5CF1">
        <w:rPr>
          <w:rFonts w:asciiTheme="majorHAnsi" w:hAnsiTheme="majorHAnsi" w:cs="Times New Roman"/>
        </w:rPr>
        <w:t xml:space="preserve"> Skladujte v suchu při pokojové teplotě. Chraňte před přímým slunečním zářením a mrazem. Uchovávejte mimo dosah dětí a nepoučených osob. </w:t>
      </w:r>
    </w:p>
    <w:p w14:paraId="4DAD6D84" w14:textId="77777777" w:rsidR="00787406" w:rsidRPr="006D5CF1" w:rsidRDefault="00787406" w:rsidP="00787406">
      <w:pPr>
        <w:pStyle w:val="Bezmezer"/>
        <w:spacing w:line="360" w:lineRule="auto"/>
        <w:jc w:val="both"/>
        <w:rPr>
          <w:rFonts w:asciiTheme="majorHAnsi" w:hAnsiTheme="majorHAnsi" w:cs="Times New Roman"/>
        </w:rPr>
      </w:pPr>
    </w:p>
    <w:p w14:paraId="114F4968" w14:textId="77777777" w:rsidR="00787406" w:rsidRPr="006D5CF1" w:rsidRDefault="00787406" w:rsidP="00787406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 xml:space="preserve">Výrobce a držitel rozhodnutí o schválení: </w:t>
      </w:r>
    </w:p>
    <w:p w14:paraId="29BFD633" w14:textId="77777777" w:rsidR="00787406" w:rsidRPr="00F5788C" w:rsidRDefault="00787406" w:rsidP="00787406">
      <w:pPr>
        <w:pStyle w:val="Bezmezer"/>
        <w:spacing w:line="360" w:lineRule="auto"/>
        <w:ind w:left="-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ab/>
      </w:r>
      <w:r w:rsidRPr="00F5788C">
        <w:rPr>
          <w:rFonts w:asciiTheme="majorHAnsi" w:hAnsiTheme="majorHAnsi" w:cs="Times New Roman"/>
        </w:rPr>
        <w:t>MVDr. Jiří Pantůček</w:t>
      </w:r>
    </w:p>
    <w:p w14:paraId="3F893DF1" w14:textId="77777777" w:rsidR="00787406" w:rsidRPr="00F5788C" w:rsidRDefault="00787406" w:rsidP="00787406">
      <w:pPr>
        <w:pStyle w:val="Bezmezer"/>
        <w:spacing w:line="360" w:lineRule="auto"/>
        <w:ind w:left="-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F5788C">
        <w:rPr>
          <w:rFonts w:asciiTheme="majorHAnsi" w:hAnsiTheme="majorHAnsi" w:cs="Times New Roman"/>
        </w:rPr>
        <w:t>Brno, Vodova 40, 61200, ČR</w:t>
      </w:r>
    </w:p>
    <w:p w14:paraId="0F1A111C" w14:textId="77777777" w:rsidR="00787406" w:rsidRPr="00F5788C" w:rsidRDefault="00787406" w:rsidP="00787406">
      <w:pPr>
        <w:pStyle w:val="Bezmezer"/>
        <w:spacing w:line="360" w:lineRule="auto"/>
        <w:ind w:left="-567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lastRenderedPageBreak/>
        <w:tab/>
      </w:r>
      <w:r w:rsidRPr="00F5788C">
        <w:rPr>
          <w:rFonts w:asciiTheme="majorHAnsi" w:hAnsiTheme="majorHAnsi" w:cs="Times New Roman"/>
        </w:rPr>
        <w:t>WWW.GUMPTONEVZDA.CZ</w:t>
      </w:r>
      <w:r w:rsidRPr="00F5788C">
        <w:rPr>
          <w:rFonts w:asciiTheme="majorHAnsi" w:hAnsiTheme="majorHAnsi" w:cs="Times New Roman"/>
        </w:rPr>
        <w:tab/>
      </w:r>
    </w:p>
    <w:p w14:paraId="760F0861" w14:textId="77777777" w:rsidR="00787406" w:rsidRDefault="00787406" w:rsidP="00787406">
      <w:pPr>
        <w:pStyle w:val="Bezmezer"/>
        <w:spacing w:line="360" w:lineRule="auto"/>
        <w:ind w:left="-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ab/>
      </w:r>
    </w:p>
    <w:p w14:paraId="39C16DB2" w14:textId="67C260E8" w:rsidR="00787406" w:rsidRPr="00E53F30" w:rsidRDefault="00787406" w:rsidP="00787406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</w:rPr>
      </w:pPr>
      <w:r w:rsidRPr="006D5CF1">
        <w:rPr>
          <w:rFonts w:asciiTheme="majorHAnsi" w:hAnsiTheme="majorHAnsi" w:cs="Times New Roman"/>
          <w:b/>
        </w:rPr>
        <w:t xml:space="preserve">Číslo schválení: </w:t>
      </w:r>
      <w:r w:rsidR="00E53F30" w:rsidRPr="00E53F30">
        <w:rPr>
          <w:rFonts w:asciiTheme="majorHAnsi" w:hAnsiTheme="majorHAnsi" w:cs="Times New Roman"/>
        </w:rPr>
        <w:t>079</w:t>
      </w:r>
      <w:r w:rsidRPr="00E53F30">
        <w:rPr>
          <w:rFonts w:asciiTheme="majorHAnsi" w:hAnsiTheme="majorHAnsi" w:cs="Times New Roman"/>
        </w:rPr>
        <w:t>-19/C</w:t>
      </w:r>
    </w:p>
    <w:p w14:paraId="4C9A1443" w14:textId="77777777" w:rsidR="00787406" w:rsidRDefault="00787406" w:rsidP="00787406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</w:p>
    <w:p w14:paraId="4E083CEF" w14:textId="77777777" w:rsidR="00787406" w:rsidRPr="006D5CF1" w:rsidRDefault="00787406" w:rsidP="00787406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>Doba použitelnosti:</w:t>
      </w:r>
      <w:r w:rsidRPr="006D5CF1">
        <w:rPr>
          <w:rFonts w:asciiTheme="majorHAnsi" w:hAnsiTheme="majorHAnsi" w:cs="Times New Roman"/>
        </w:rPr>
        <w:t xml:space="preserve"> 30 měsíců od data výroby</w:t>
      </w:r>
    </w:p>
    <w:p w14:paraId="2D167A90" w14:textId="77777777" w:rsidR="00787406" w:rsidRPr="006D5CF1" w:rsidRDefault="00787406" w:rsidP="00787406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>Datum výroby:</w:t>
      </w:r>
    </w:p>
    <w:p w14:paraId="5268A2B4" w14:textId="77777777" w:rsidR="00787406" w:rsidRDefault="00787406" w:rsidP="00787406">
      <w:pPr>
        <w:pStyle w:val="Bezmezer"/>
        <w:spacing w:line="360" w:lineRule="auto"/>
        <w:ind w:left="-567" w:firstLine="567"/>
        <w:jc w:val="both"/>
        <w:rPr>
          <w:rFonts w:asciiTheme="majorHAnsi" w:hAnsiTheme="majorHAnsi" w:cs="Times New Roman"/>
          <w:b/>
        </w:rPr>
      </w:pPr>
      <w:r w:rsidRPr="006D5CF1">
        <w:rPr>
          <w:rFonts w:asciiTheme="majorHAnsi" w:hAnsiTheme="majorHAnsi" w:cs="Times New Roman"/>
          <w:b/>
        </w:rPr>
        <w:t>Číslo šarže:</w:t>
      </w:r>
    </w:p>
    <w:p w14:paraId="1336BCAB" w14:textId="77777777" w:rsidR="00787406" w:rsidRPr="006D5CF1" w:rsidRDefault="00787406" w:rsidP="00787406">
      <w:pPr>
        <w:rPr>
          <w:rFonts w:asciiTheme="majorHAnsi" w:hAnsiTheme="majorHAnsi"/>
        </w:rPr>
      </w:pPr>
      <w:r w:rsidRPr="006D5CF1">
        <w:rPr>
          <w:rFonts w:asciiTheme="majorHAnsi" w:hAnsiTheme="majorHAnsi" w:cs="Times New Roman"/>
          <w:b/>
        </w:rPr>
        <w:t>EAN:</w:t>
      </w:r>
    </w:p>
    <w:p w14:paraId="1B559FAB" w14:textId="77777777" w:rsidR="000B590E" w:rsidRPr="00537A9A" w:rsidRDefault="000B590E" w:rsidP="00CD2AC0">
      <w:pPr>
        <w:spacing w:line="360" w:lineRule="auto"/>
        <w:rPr>
          <w:rFonts w:asciiTheme="majorHAnsi" w:hAnsiTheme="majorHAnsi" w:cs="Times New Roman"/>
        </w:rPr>
      </w:pPr>
    </w:p>
    <w:sectPr w:rsidR="000B590E" w:rsidRPr="00537A9A" w:rsidSect="0055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C0"/>
    <w:rsid w:val="00037F3E"/>
    <w:rsid w:val="000B590E"/>
    <w:rsid w:val="00252999"/>
    <w:rsid w:val="00537A9A"/>
    <w:rsid w:val="00655004"/>
    <w:rsid w:val="00787406"/>
    <w:rsid w:val="009A456A"/>
    <w:rsid w:val="00B114E7"/>
    <w:rsid w:val="00B522F4"/>
    <w:rsid w:val="00B94759"/>
    <w:rsid w:val="00C91DD6"/>
    <w:rsid w:val="00CD2AC0"/>
    <w:rsid w:val="00E53F30"/>
    <w:rsid w:val="00F3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7C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AC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2AC0"/>
    <w:rPr>
      <w:rFonts w:eastAsiaTheme="minorHAns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D2AC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AC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AC0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AC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AC0"/>
    <w:rPr>
      <w:rFonts w:ascii="Lucida Grande CE" w:eastAsiaTheme="minorHAnsi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AC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2AC0"/>
    <w:rPr>
      <w:rFonts w:eastAsiaTheme="minorHAns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D2AC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AC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AC0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AC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AC0"/>
    <w:rPr>
      <w:rFonts w:ascii="Lucida Grande CE" w:eastAsiaTheme="minorHAns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Formánková Marie</cp:lastModifiedBy>
  <cp:revision>8</cp:revision>
  <dcterms:created xsi:type="dcterms:W3CDTF">2019-06-19T13:57:00Z</dcterms:created>
  <dcterms:modified xsi:type="dcterms:W3CDTF">2019-06-24T15:07:00Z</dcterms:modified>
</cp:coreProperties>
</file>