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FB" w:rsidRDefault="00705DFB" w:rsidP="00705DFB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7668E2">
        <w:rPr>
          <w:rFonts w:asciiTheme="minorHAnsi" w:hAnsiTheme="minorHAnsi" w:cs="Arial"/>
          <w:b/>
          <w:bCs/>
          <w:sz w:val="22"/>
          <w:szCs w:val="22"/>
          <w:u w:val="single"/>
        </w:rPr>
        <w:t>Příbalový leták</w:t>
      </w:r>
    </w:p>
    <w:p w:rsidR="00705DFB" w:rsidRDefault="00705DFB" w:rsidP="00705DFB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05DFB" w:rsidRPr="007668E2" w:rsidRDefault="00705DFB" w:rsidP="00705DFB">
      <w:pPr>
        <w:rPr>
          <w:rFonts w:asciiTheme="minorHAnsi" w:hAnsiTheme="minorHAnsi" w:cs="Arial"/>
          <w:bCs/>
          <w:sz w:val="22"/>
          <w:szCs w:val="22"/>
        </w:rPr>
      </w:pPr>
      <w:r w:rsidRPr="007668E2">
        <w:rPr>
          <w:rFonts w:asciiTheme="minorHAnsi" w:hAnsiTheme="minorHAnsi" w:cs="Arial"/>
          <w:bCs/>
          <w:sz w:val="22"/>
          <w:szCs w:val="22"/>
        </w:rPr>
        <w:t xml:space="preserve">LOGO </w:t>
      </w:r>
      <w:proofErr w:type="spellStart"/>
      <w:r w:rsidRPr="007668E2">
        <w:rPr>
          <w:rFonts w:asciiTheme="minorHAnsi" w:hAnsiTheme="minorHAnsi" w:cs="Arial"/>
          <w:bCs/>
          <w:sz w:val="22"/>
          <w:szCs w:val="22"/>
        </w:rPr>
        <w:t>Pet</w:t>
      </w:r>
      <w:proofErr w:type="spellEnd"/>
      <w:r w:rsidRPr="007668E2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7668E2">
        <w:rPr>
          <w:rFonts w:asciiTheme="minorHAnsi" w:hAnsiTheme="minorHAnsi" w:cs="Arial"/>
          <w:bCs/>
          <w:sz w:val="22"/>
          <w:szCs w:val="22"/>
        </w:rPr>
        <w:t>Health</w:t>
      </w:r>
      <w:proofErr w:type="spellEnd"/>
      <w:r w:rsidRPr="007668E2">
        <w:rPr>
          <w:rFonts w:asciiTheme="minorHAnsi" w:hAnsiTheme="minorHAnsi" w:cs="Arial"/>
          <w:bCs/>
          <w:sz w:val="22"/>
          <w:szCs w:val="22"/>
        </w:rPr>
        <w:t xml:space="preserve"> Care</w:t>
      </w:r>
    </w:p>
    <w:p w:rsidR="00705DFB" w:rsidRDefault="00705DFB" w:rsidP="00705DFB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05DFB" w:rsidRDefault="00177325" w:rsidP="00705DFB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Péče o oči</w:t>
      </w:r>
    </w:p>
    <w:p w:rsidR="00705DFB" w:rsidRDefault="00705DFB" w:rsidP="00705DFB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05DFB" w:rsidRDefault="00705DFB" w:rsidP="00705DFB">
      <w:pPr>
        <w:rPr>
          <w:rFonts w:asciiTheme="minorHAnsi" w:hAnsiTheme="minorHAnsi" w:cs="Arial"/>
          <w:bCs/>
          <w:sz w:val="22"/>
          <w:szCs w:val="22"/>
        </w:rPr>
      </w:pPr>
      <w:r w:rsidRPr="007668E2">
        <w:rPr>
          <w:rFonts w:asciiTheme="minorHAnsi" w:hAnsiTheme="minorHAnsi" w:cs="Arial"/>
          <w:bCs/>
          <w:sz w:val="22"/>
          <w:szCs w:val="22"/>
        </w:rPr>
        <w:t>Roztok 100 ml</w:t>
      </w:r>
    </w:p>
    <w:p w:rsidR="00705DFB" w:rsidRDefault="00705DFB" w:rsidP="00705DFB">
      <w:pPr>
        <w:rPr>
          <w:rFonts w:asciiTheme="minorHAnsi" w:hAnsiTheme="minorHAnsi" w:cs="Arial"/>
          <w:bCs/>
          <w:sz w:val="22"/>
          <w:szCs w:val="22"/>
        </w:rPr>
      </w:pPr>
    </w:p>
    <w:p w:rsidR="00705DFB" w:rsidRDefault="00177325" w:rsidP="00705DF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Co je péče o oči</w:t>
      </w:r>
      <w:r w:rsidR="00705DFB">
        <w:rPr>
          <w:rFonts w:asciiTheme="minorHAnsi" w:hAnsiTheme="minorHAnsi" w:cs="Arial"/>
          <w:bCs/>
          <w:sz w:val="22"/>
          <w:szCs w:val="22"/>
        </w:rPr>
        <w:t xml:space="preserve"> a proč ji používat?</w:t>
      </w:r>
    </w:p>
    <w:p w:rsidR="00705DFB" w:rsidRDefault="00177325" w:rsidP="00705DF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Veterinární přípravek Péče o oč</w:t>
      </w:r>
      <w:r w:rsidR="00705DFB">
        <w:rPr>
          <w:rFonts w:asciiTheme="minorHAnsi" w:hAnsiTheme="minorHAnsi" w:cs="Arial"/>
          <w:bCs/>
          <w:sz w:val="22"/>
          <w:szCs w:val="22"/>
        </w:rPr>
        <w:t xml:space="preserve">i je určen pro </w:t>
      </w:r>
      <w:r>
        <w:rPr>
          <w:rFonts w:asciiTheme="minorHAnsi" w:hAnsiTheme="minorHAnsi" w:cs="Arial"/>
          <w:bCs/>
          <w:sz w:val="22"/>
          <w:szCs w:val="22"/>
        </w:rPr>
        <w:t>šetrné odstranění hlenu z okolí očí psa a kočky. Pravidelnou kontrolou očí a šetrnou péčí lze předejít tvorbě hlenu, bakteriální infekci a zhoršení kvality zraku.</w:t>
      </w:r>
    </w:p>
    <w:p w:rsidR="00705DFB" w:rsidRDefault="00705DFB" w:rsidP="00705DFB">
      <w:pPr>
        <w:rPr>
          <w:rFonts w:asciiTheme="minorHAnsi" w:hAnsiTheme="minorHAnsi" w:cs="Arial"/>
          <w:bCs/>
          <w:sz w:val="22"/>
          <w:szCs w:val="22"/>
        </w:rPr>
      </w:pPr>
    </w:p>
    <w:p w:rsidR="00705DFB" w:rsidRDefault="00705DFB" w:rsidP="00705DF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Jaké účinné látky obsahuje?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1701"/>
      </w:tblGrid>
      <w:tr w:rsidR="00705DFB" w:rsidTr="00705DFB">
        <w:tc>
          <w:tcPr>
            <w:tcW w:w="3070" w:type="dxa"/>
          </w:tcPr>
          <w:p w:rsidR="00705DFB" w:rsidRDefault="00705DFB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Aktivní látky</w:t>
            </w:r>
          </w:p>
          <w:p w:rsidR="00705DFB" w:rsidRDefault="00705DFB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16" w:type="dxa"/>
          </w:tcPr>
          <w:p w:rsidR="00705DFB" w:rsidRDefault="00705DFB" w:rsidP="00705DFB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Koncentrace</w:t>
            </w:r>
          </w:p>
        </w:tc>
        <w:tc>
          <w:tcPr>
            <w:tcW w:w="1701" w:type="dxa"/>
          </w:tcPr>
          <w:p w:rsidR="00705DFB" w:rsidRDefault="00705DFB" w:rsidP="00705DFB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mg / balení</w:t>
            </w:r>
          </w:p>
        </w:tc>
      </w:tr>
      <w:tr w:rsidR="00705DFB" w:rsidTr="00705DFB">
        <w:tc>
          <w:tcPr>
            <w:tcW w:w="3070" w:type="dxa"/>
          </w:tcPr>
          <w:p w:rsidR="00705DFB" w:rsidRDefault="00177325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Kyselina boritá</w:t>
            </w:r>
          </w:p>
        </w:tc>
        <w:tc>
          <w:tcPr>
            <w:tcW w:w="1716" w:type="dxa"/>
          </w:tcPr>
          <w:p w:rsidR="00705DFB" w:rsidRDefault="00177325" w:rsidP="00705DFB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  <w:r w:rsidR="00705DFB">
              <w:rPr>
                <w:rFonts w:asciiTheme="minorHAnsi" w:hAnsiTheme="minorHAnsi" w:cs="Arial"/>
                <w:bCs/>
                <w:sz w:val="22"/>
                <w:szCs w:val="22"/>
              </w:rPr>
              <w:t>,00%</w:t>
            </w:r>
          </w:p>
        </w:tc>
        <w:tc>
          <w:tcPr>
            <w:tcW w:w="1701" w:type="dxa"/>
          </w:tcPr>
          <w:p w:rsidR="00705DFB" w:rsidRDefault="00177325" w:rsidP="00705DFB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  <w:r w:rsidR="00705DFB">
              <w:rPr>
                <w:rFonts w:asciiTheme="minorHAnsi" w:hAnsiTheme="minorHAnsi" w:cs="Arial"/>
                <w:bCs/>
                <w:sz w:val="22"/>
                <w:szCs w:val="22"/>
              </w:rPr>
              <w:t> 000,00</w:t>
            </w:r>
          </w:p>
        </w:tc>
      </w:tr>
      <w:tr w:rsidR="00705DFB" w:rsidTr="00705DFB">
        <w:tc>
          <w:tcPr>
            <w:tcW w:w="3070" w:type="dxa"/>
          </w:tcPr>
          <w:p w:rsidR="00705DFB" w:rsidRDefault="00177325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Světlík lékařský (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Eupharsia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rostkoviana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>), extrakt 4:1</w:t>
            </w:r>
          </w:p>
        </w:tc>
        <w:tc>
          <w:tcPr>
            <w:tcW w:w="1716" w:type="dxa"/>
          </w:tcPr>
          <w:p w:rsidR="00705DFB" w:rsidRDefault="00177325" w:rsidP="00705DFB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1,0</w:t>
            </w:r>
            <w:r w:rsidR="00705DFB">
              <w:rPr>
                <w:rFonts w:asciiTheme="minorHAnsi" w:hAnsiTheme="minorHAnsi" w:cs="Arial"/>
                <w:bCs/>
                <w:sz w:val="22"/>
                <w:szCs w:val="22"/>
              </w:rPr>
              <w:t>0%</w:t>
            </w:r>
          </w:p>
        </w:tc>
        <w:tc>
          <w:tcPr>
            <w:tcW w:w="1701" w:type="dxa"/>
          </w:tcPr>
          <w:p w:rsidR="00705DFB" w:rsidRDefault="00177325" w:rsidP="00705DFB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1 0</w:t>
            </w:r>
            <w:r w:rsidR="00705DFB">
              <w:rPr>
                <w:rFonts w:asciiTheme="minorHAnsi" w:hAnsiTheme="minorHAnsi" w:cs="Arial"/>
                <w:bCs/>
                <w:sz w:val="22"/>
                <w:szCs w:val="22"/>
              </w:rPr>
              <w:t>00,00</w:t>
            </w:r>
          </w:p>
        </w:tc>
      </w:tr>
    </w:tbl>
    <w:p w:rsidR="00705DFB" w:rsidRDefault="00705DFB" w:rsidP="00705DFB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1716"/>
        <w:gridCol w:w="1701"/>
      </w:tblGrid>
      <w:tr w:rsidR="00705DFB" w:rsidTr="00705DFB">
        <w:tc>
          <w:tcPr>
            <w:tcW w:w="3070" w:type="dxa"/>
          </w:tcPr>
          <w:p w:rsidR="00705DFB" w:rsidRDefault="00705DFB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Pomocné látky</w:t>
            </w:r>
          </w:p>
          <w:p w:rsidR="00705DFB" w:rsidRDefault="00705DFB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16" w:type="dxa"/>
          </w:tcPr>
          <w:p w:rsidR="00705DFB" w:rsidRDefault="00705DFB" w:rsidP="00BD241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Koncentrace</w:t>
            </w:r>
          </w:p>
        </w:tc>
        <w:tc>
          <w:tcPr>
            <w:tcW w:w="1701" w:type="dxa"/>
          </w:tcPr>
          <w:p w:rsidR="00705DFB" w:rsidRDefault="00705DFB" w:rsidP="00BD241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mg / balení</w:t>
            </w:r>
          </w:p>
        </w:tc>
      </w:tr>
      <w:tr w:rsidR="00705DFB" w:rsidTr="00705DFB">
        <w:tc>
          <w:tcPr>
            <w:tcW w:w="3070" w:type="dxa"/>
          </w:tcPr>
          <w:p w:rsidR="00705DFB" w:rsidRPr="00705DFB" w:rsidRDefault="00705DFB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705DFB">
              <w:rPr>
                <w:rFonts w:asciiTheme="minorHAnsi" w:hAnsiTheme="minorHAnsi" w:cs="Arial"/>
                <w:sz w:val="22"/>
                <w:szCs w:val="22"/>
              </w:rPr>
              <w:t>Polysorbate</w:t>
            </w:r>
            <w:proofErr w:type="spellEnd"/>
            <w:r w:rsidRPr="00705DFB">
              <w:rPr>
                <w:rFonts w:asciiTheme="minorHAnsi" w:hAnsiTheme="minorHAnsi" w:cs="Arial"/>
                <w:sz w:val="22"/>
                <w:szCs w:val="22"/>
              </w:rPr>
              <w:t xml:space="preserve"> 80 (</w:t>
            </w:r>
            <w:proofErr w:type="spellStart"/>
            <w:r w:rsidRPr="00705DFB">
              <w:rPr>
                <w:rFonts w:asciiTheme="minorHAnsi" w:hAnsiTheme="minorHAnsi" w:cs="Arial"/>
                <w:sz w:val="22"/>
                <w:szCs w:val="22"/>
              </w:rPr>
              <w:t>Ercasorb</w:t>
            </w:r>
            <w:proofErr w:type="spellEnd"/>
            <w:r w:rsidRPr="00705DFB">
              <w:rPr>
                <w:rFonts w:asciiTheme="minorHAnsi" w:hAnsiTheme="minorHAnsi" w:cs="Arial"/>
                <w:sz w:val="22"/>
                <w:szCs w:val="22"/>
              </w:rPr>
              <w:t xml:space="preserve"> 2080) 100%</w:t>
            </w:r>
          </w:p>
        </w:tc>
        <w:tc>
          <w:tcPr>
            <w:tcW w:w="1716" w:type="dxa"/>
          </w:tcPr>
          <w:p w:rsidR="00705DFB" w:rsidRDefault="00BD241A" w:rsidP="00BD241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1,00%</w:t>
            </w:r>
          </w:p>
        </w:tc>
        <w:tc>
          <w:tcPr>
            <w:tcW w:w="1701" w:type="dxa"/>
          </w:tcPr>
          <w:p w:rsidR="00705DFB" w:rsidRDefault="00BD241A" w:rsidP="00BD241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1 000,00</w:t>
            </w:r>
          </w:p>
        </w:tc>
      </w:tr>
      <w:tr w:rsidR="00705DFB" w:rsidTr="00705DFB">
        <w:tc>
          <w:tcPr>
            <w:tcW w:w="3070" w:type="dxa"/>
          </w:tcPr>
          <w:p w:rsidR="00705DFB" w:rsidRDefault="00BD241A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Voda </w:t>
            </w:r>
          </w:p>
        </w:tc>
        <w:tc>
          <w:tcPr>
            <w:tcW w:w="1716" w:type="dxa"/>
          </w:tcPr>
          <w:p w:rsidR="00705DFB" w:rsidRDefault="00BD241A" w:rsidP="00BD241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ad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05DFB" w:rsidRDefault="00BD241A" w:rsidP="00BD241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100 000,00</w:t>
            </w:r>
          </w:p>
        </w:tc>
      </w:tr>
    </w:tbl>
    <w:p w:rsidR="00705DFB" w:rsidRDefault="00705DFB" w:rsidP="00705DFB">
      <w:pPr>
        <w:rPr>
          <w:rFonts w:asciiTheme="minorHAnsi" w:hAnsiTheme="minorHAnsi" w:cs="Arial"/>
          <w:bCs/>
          <w:sz w:val="22"/>
          <w:szCs w:val="22"/>
        </w:rPr>
      </w:pPr>
    </w:p>
    <w:p w:rsidR="00705DFB" w:rsidRDefault="00BD241A" w:rsidP="00705DF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Jaká je doporučená aplikace přípravku?</w:t>
      </w:r>
    </w:p>
    <w:p w:rsidR="00BD241A" w:rsidRDefault="00BD241A" w:rsidP="00705DF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Roztok je určen k zevnímu u</w:t>
      </w:r>
      <w:r w:rsidR="00177325">
        <w:rPr>
          <w:rFonts w:asciiTheme="minorHAnsi" w:hAnsiTheme="minorHAnsi" w:cs="Arial"/>
          <w:bCs/>
          <w:sz w:val="22"/>
          <w:szCs w:val="22"/>
        </w:rPr>
        <w:t>žití. Okolí očí šetrně otřít tamponem s naneseným roztokem.</w:t>
      </w:r>
    </w:p>
    <w:p w:rsidR="00BD241A" w:rsidRDefault="00BD241A" w:rsidP="00705DFB">
      <w:pPr>
        <w:rPr>
          <w:rFonts w:asciiTheme="minorHAnsi" w:hAnsiTheme="minorHAnsi" w:cs="Arial"/>
          <w:bCs/>
          <w:sz w:val="22"/>
          <w:szCs w:val="22"/>
        </w:rPr>
      </w:pPr>
    </w:p>
    <w:p w:rsidR="00BD241A" w:rsidRDefault="00BD241A" w:rsidP="00705DF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Jak často přípravek použít?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165"/>
      </w:tblGrid>
      <w:tr w:rsidR="00BD241A" w:rsidTr="00BD241A">
        <w:tc>
          <w:tcPr>
            <w:tcW w:w="4606" w:type="dxa"/>
          </w:tcPr>
          <w:p w:rsidR="00BD241A" w:rsidRDefault="00BD241A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BD241A" w:rsidRDefault="00BD241A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Pes, kočka</w:t>
            </w:r>
          </w:p>
        </w:tc>
        <w:tc>
          <w:tcPr>
            <w:tcW w:w="2165" w:type="dxa"/>
          </w:tcPr>
          <w:p w:rsidR="00BD241A" w:rsidRDefault="00BD241A" w:rsidP="00BD241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Minimálně za 1 měsíc</w:t>
            </w:r>
          </w:p>
        </w:tc>
      </w:tr>
      <w:tr w:rsidR="00BD241A" w:rsidTr="00BD241A">
        <w:tc>
          <w:tcPr>
            <w:tcW w:w="4606" w:type="dxa"/>
          </w:tcPr>
          <w:p w:rsidR="00BD241A" w:rsidRDefault="00177325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Psi s povislými víčky</w:t>
            </w:r>
          </w:p>
          <w:p w:rsidR="00BD241A" w:rsidRDefault="00BD241A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:rsidR="00BD241A" w:rsidRDefault="00BD241A" w:rsidP="00BD241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4 x</w:t>
            </w:r>
          </w:p>
        </w:tc>
      </w:tr>
      <w:tr w:rsidR="00BD241A" w:rsidTr="00BD241A">
        <w:tc>
          <w:tcPr>
            <w:tcW w:w="4606" w:type="dxa"/>
          </w:tcPr>
          <w:p w:rsidR="00BD241A" w:rsidRDefault="00177325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Psi s běžnými víčky</w:t>
            </w:r>
          </w:p>
          <w:p w:rsidR="00BD241A" w:rsidRDefault="00BD241A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:rsidR="00BD241A" w:rsidRDefault="00BD241A" w:rsidP="00BD241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 x</w:t>
            </w:r>
          </w:p>
        </w:tc>
      </w:tr>
      <w:tr w:rsidR="00BD241A" w:rsidTr="00BD241A">
        <w:tc>
          <w:tcPr>
            <w:tcW w:w="4606" w:type="dxa"/>
          </w:tcPr>
          <w:p w:rsidR="00BD241A" w:rsidRDefault="00BD241A" w:rsidP="00705DFB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Kočky</w:t>
            </w:r>
          </w:p>
        </w:tc>
        <w:tc>
          <w:tcPr>
            <w:tcW w:w="2165" w:type="dxa"/>
          </w:tcPr>
          <w:p w:rsidR="00BD241A" w:rsidRDefault="00BD241A" w:rsidP="00BD241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1 x</w:t>
            </w:r>
          </w:p>
        </w:tc>
      </w:tr>
    </w:tbl>
    <w:p w:rsidR="00BD241A" w:rsidRDefault="00BD241A" w:rsidP="00705DFB">
      <w:pPr>
        <w:rPr>
          <w:rFonts w:asciiTheme="minorHAnsi" w:hAnsiTheme="minorHAnsi" w:cs="Arial"/>
          <w:bCs/>
          <w:sz w:val="22"/>
          <w:szCs w:val="22"/>
        </w:rPr>
      </w:pPr>
    </w:p>
    <w:p w:rsidR="00BD241A" w:rsidRDefault="00BD241A" w:rsidP="00705DF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Co ještě je dobré vědět?</w:t>
      </w:r>
    </w:p>
    <w:p w:rsidR="00BD241A" w:rsidRDefault="00BD241A" w:rsidP="00705DF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Přípravek je schválen ÚSKVBL a je volně prodejný.</w:t>
      </w:r>
    </w:p>
    <w:p w:rsidR="00BD241A" w:rsidRDefault="00DA5507" w:rsidP="00705DF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Skladujte v suchu při teplotě 15-30°C. Chraňte před mrazem.</w:t>
      </w:r>
    </w:p>
    <w:p w:rsidR="00DA5507" w:rsidRDefault="00DA5507" w:rsidP="00705DFB">
      <w:pPr>
        <w:rPr>
          <w:rFonts w:asciiTheme="minorHAnsi" w:hAnsiTheme="minorHAnsi" w:cs="Arial"/>
          <w:bCs/>
          <w:sz w:val="22"/>
          <w:szCs w:val="22"/>
        </w:rPr>
      </w:pPr>
    </w:p>
    <w:p w:rsidR="00DA5507" w:rsidRDefault="00DA5507" w:rsidP="00705DF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Podrobné informace o účinných látkách a dalších vhodných veterinárních přípravcích najdete 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 xml:space="preserve">na : </w:t>
      </w:r>
      <w:hyperlink r:id="rId5" w:history="1">
        <w:r w:rsidRPr="00FD1496">
          <w:rPr>
            <w:rStyle w:val="Hypertextovodkaz"/>
            <w:rFonts w:asciiTheme="minorHAnsi" w:hAnsiTheme="minorHAnsi" w:cs="Arial"/>
            <w:bCs/>
            <w:sz w:val="22"/>
            <w:szCs w:val="22"/>
          </w:rPr>
          <w:t>www</w:t>
        </w:r>
        <w:proofErr w:type="gramEnd"/>
        <w:r w:rsidRPr="00FD1496">
          <w:rPr>
            <w:rStyle w:val="Hypertextovodkaz"/>
            <w:rFonts w:asciiTheme="minorHAnsi" w:hAnsiTheme="minorHAnsi" w:cs="Arial"/>
            <w:bCs/>
            <w:sz w:val="22"/>
            <w:szCs w:val="22"/>
          </w:rPr>
          <w:t>.pethealthcare.cz</w:t>
        </w:r>
      </w:hyperlink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DA5507" w:rsidRDefault="00DA5507" w:rsidP="00705DFB">
      <w:pPr>
        <w:rPr>
          <w:rFonts w:asciiTheme="minorHAnsi" w:hAnsiTheme="minorHAnsi" w:cs="Arial"/>
          <w:bCs/>
          <w:sz w:val="22"/>
          <w:szCs w:val="22"/>
        </w:rPr>
      </w:pPr>
    </w:p>
    <w:p w:rsidR="00DA5507" w:rsidRDefault="00DA5507" w:rsidP="00705DFB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FARMACIA CARE s.r.o.</w:t>
      </w:r>
    </w:p>
    <w:p w:rsidR="00DA5507" w:rsidRDefault="00DA5507" w:rsidP="00705DFB">
      <w:pPr>
        <w:rPr>
          <w:rFonts w:asciiTheme="minorHAnsi" w:hAnsiTheme="minorHAnsi" w:cs="Arial"/>
          <w:bCs/>
          <w:sz w:val="22"/>
          <w:szCs w:val="22"/>
        </w:rPr>
      </w:pPr>
      <w:proofErr w:type="spellStart"/>
      <w:r>
        <w:rPr>
          <w:rFonts w:asciiTheme="minorHAnsi" w:hAnsiTheme="minorHAnsi" w:cs="Arial"/>
          <w:bCs/>
          <w:sz w:val="22"/>
          <w:szCs w:val="22"/>
        </w:rPr>
        <w:t>Míšovická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458/3, 155 21 Praha 5</w:t>
      </w:r>
    </w:p>
    <w:p w:rsidR="00BD241A" w:rsidRDefault="00BD241A" w:rsidP="00705DFB">
      <w:pPr>
        <w:rPr>
          <w:rFonts w:asciiTheme="minorHAnsi" w:hAnsiTheme="minorHAnsi" w:cs="Arial"/>
          <w:bCs/>
          <w:sz w:val="22"/>
          <w:szCs w:val="22"/>
        </w:rPr>
      </w:pPr>
    </w:p>
    <w:p w:rsidR="00177325" w:rsidRDefault="00177325" w:rsidP="00705DFB">
      <w:pPr>
        <w:rPr>
          <w:rFonts w:asciiTheme="minorHAnsi" w:hAnsiTheme="minorHAnsi" w:cs="Arial"/>
          <w:bCs/>
          <w:sz w:val="22"/>
          <w:szCs w:val="22"/>
        </w:rPr>
      </w:pPr>
    </w:p>
    <w:p w:rsidR="00177325" w:rsidRDefault="00177325" w:rsidP="00705DFB">
      <w:pPr>
        <w:rPr>
          <w:rFonts w:asciiTheme="minorHAnsi" w:hAnsiTheme="minorHAnsi" w:cs="Arial"/>
          <w:bCs/>
          <w:sz w:val="22"/>
          <w:szCs w:val="22"/>
        </w:rPr>
      </w:pPr>
    </w:p>
    <w:p w:rsidR="00177325" w:rsidRDefault="00177325" w:rsidP="00705DFB">
      <w:pPr>
        <w:rPr>
          <w:rFonts w:asciiTheme="minorHAnsi" w:hAnsiTheme="minorHAnsi" w:cs="Arial"/>
          <w:bCs/>
          <w:sz w:val="22"/>
          <w:szCs w:val="22"/>
        </w:rPr>
      </w:pPr>
    </w:p>
    <w:p w:rsidR="00FF5E5E" w:rsidRPr="00FF5E5E" w:rsidRDefault="00FF5E5E" w:rsidP="00FF5E5E">
      <w:pPr>
        <w:rPr>
          <w:rFonts w:asciiTheme="minorHAnsi" w:hAnsiTheme="minorHAnsi"/>
          <w:sz w:val="22"/>
          <w:szCs w:val="22"/>
        </w:rPr>
      </w:pPr>
      <w:r w:rsidRPr="00FF5E5E">
        <w:rPr>
          <w:rFonts w:asciiTheme="minorHAnsi" w:hAnsiTheme="minorHAnsi"/>
          <w:sz w:val="22"/>
          <w:szCs w:val="22"/>
        </w:rPr>
        <w:lastRenderedPageBreak/>
        <w:t>Literární citace k látkám obsaženým v přípravku</w:t>
      </w:r>
    </w:p>
    <w:p w:rsidR="00FF5E5E" w:rsidRPr="00FF5E5E" w:rsidRDefault="00FF5E5E" w:rsidP="00FF5E5E">
      <w:pPr>
        <w:rPr>
          <w:rFonts w:asciiTheme="minorHAnsi" w:hAnsiTheme="minorHAnsi"/>
          <w:sz w:val="22"/>
          <w:szCs w:val="22"/>
        </w:rPr>
      </w:pPr>
    </w:p>
    <w:p w:rsidR="00FF5E5E" w:rsidRPr="00FF5E5E" w:rsidRDefault="00FF5E5E" w:rsidP="00FF5E5E">
      <w:pPr>
        <w:rPr>
          <w:rFonts w:asciiTheme="minorHAnsi" w:hAnsiTheme="minorHAnsi"/>
          <w:sz w:val="22"/>
          <w:szCs w:val="22"/>
        </w:rPr>
      </w:pPr>
      <w:r w:rsidRPr="00FF5E5E">
        <w:rPr>
          <w:rFonts w:asciiTheme="minorHAnsi" w:hAnsiTheme="minorHAnsi"/>
          <w:sz w:val="22"/>
          <w:szCs w:val="22"/>
        </w:rPr>
        <w:t xml:space="preserve">1. Kyselina boritá, </w:t>
      </w:r>
      <w:proofErr w:type="spellStart"/>
      <w:r w:rsidRPr="00FF5E5E">
        <w:rPr>
          <w:rFonts w:asciiTheme="minorHAnsi" w:hAnsiTheme="minorHAnsi"/>
          <w:sz w:val="22"/>
          <w:szCs w:val="22"/>
        </w:rPr>
        <w:t>Acidum</w:t>
      </w:r>
      <w:proofErr w:type="spellEnd"/>
      <w:r w:rsidRPr="00FF5E5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5E5E">
        <w:rPr>
          <w:rFonts w:asciiTheme="minorHAnsi" w:hAnsiTheme="minorHAnsi"/>
          <w:sz w:val="22"/>
          <w:szCs w:val="22"/>
        </w:rPr>
        <w:t>boricum</w:t>
      </w:r>
      <w:proofErr w:type="spellEnd"/>
      <w:r w:rsidRPr="00FF5E5E">
        <w:rPr>
          <w:rFonts w:asciiTheme="minorHAnsi" w:hAnsiTheme="minorHAnsi"/>
          <w:sz w:val="22"/>
          <w:szCs w:val="22"/>
        </w:rPr>
        <w:t xml:space="preserve"> </w:t>
      </w:r>
    </w:p>
    <w:p w:rsidR="00FF5E5E" w:rsidRPr="00FF5E5E" w:rsidRDefault="00FF5E5E" w:rsidP="00FF5E5E">
      <w:pPr>
        <w:pStyle w:val="Normlnweb"/>
        <w:rPr>
          <w:rFonts w:asciiTheme="minorHAnsi" w:hAnsiTheme="minorHAnsi"/>
          <w:sz w:val="22"/>
          <w:szCs w:val="22"/>
        </w:rPr>
      </w:pPr>
      <w:r w:rsidRPr="00FF5E5E">
        <w:rPr>
          <w:rFonts w:asciiTheme="minorHAnsi" w:hAnsiTheme="minorHAnsi"/>
          <w:sz w:val="22"/>
          <w:szCs w:val="22"/>
        </w:rPr>
        <w:t xml:space="preserve">Některé anorganické kyseliny se používají pro </w:t>
      </w:r>
      <w:proofErr w:type="spellStart"/>
      <w:r w:rsidRPr="00FF5E5E">
        <w:rPr>
          <w:rFonts w:asciiTheme="minorHAnsi" w:hAnsiTheme="minorHAnsi"/>
          <w:sz w:val="22"/>
          <w:szCs w:val="22"/>
        </w:rPr>
        <w:t>kauterzaci</w:t>
      </w:r>
      <w:proofErr w:type="spellEnd"/>
      <w:r w:rsidRPr="00FF5E5E">
        <w:rPr>
          <w:rFonts w:asciiTheme="minorHAnsi" w:hAnsiTheme="minorHAnsi"/>
          <w:sz w:val="22"/>
          <w:szCs w:val="22"/>
        </w:rPr>
        <w:t xml:space="preserve"> tkání. Ačkoliv jsou účinnými antimikrobiálními látkami, destrukce tkáně, kterou způsobují, zabraňuje jejich používání. Na různé kožní léze je možné jako antimikrobiálně působící látku aplikovat kyselinu boritou (</w:t>
      </w:r>
      <w:proofErr w:type="spellStart"/>
      <w:r w:rsidRPr="00FF5E5E">
        <w:rPr>
          <w:rFonts w:asciiTheme="minorHAnsi" w:hAnsiTheme="minorHAnsi"/>
          <w:sz w:val="22"/>
          <w:szCs w:val="22"/>
        </w:rPr>
        <w:t>acidum</w:t>
      </w:r>
      <w:proofErr w:type="spellEnd"/>
      <w:r w:rsidRPr="00FF5E5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5E5E">
        <w:rPr>
          <w:rFonts w:asciiTheme="minorHAnsi" w:hAnsiTheme="minorHAnsi"/>
          <w:sz w:val="22"/>
          <w:szCs w:val="22"/>
        </w:rPr>
        <w:t>boricum</w:t>
      </w:r>
      <w:proofErr w:type="spellEnd"/>
      <w:r w:rsidRPr="00FF5E5E">
        <w:rPr>
          <w:rFonts w:asciiTheme="minorHAnsi" w:hAnsiTheme="minorHAnsi"/>
          <w:sz w:val="22"/>
          <w:szCs w:val="22"/>
        </w:rPr>
        <w:t>).</w:t>
      </w:r>
    </w:p>
    <w:p w:rsidR="00FF5E5E" w:rsidRPr="00FF5E5E" w:rsidRDefault="00FF5E5E" w:rsidP="00FF5E5E">
      <w:pPr>
        <w:pStyle w:val="Normlnweb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FF5E5E">
        <w:rPr>
          <w:rFonts w:asciiTheme="minorHAnsi" w:hAnsiTheme="minorHAnsi"/>
          <w:sz w:val="22"/>
          <w:szCs w:val="22"/>
        </w:rPr>
        <w:t>Katzung</w:t>
      </w:r>
      <w:proofErr w:type="spellEnd"/>
      <w:r w:rsidRPr="00FF5E5E">
        <w:rPr>
          <w:rFonts w:asciiTheme="minorHAnsi" w:hAnsiTheme="minorHAnsi"/>
          <w:sz w:val="22"/>
          <w:szCs w:val="22"/>
        </w:rPr>
        <w:t xml:space="preserve"> B : Základní</w:t>
      </w:r>
      <w:proofErr w:type="gramEnd"/>
      <w:r w:rsidRPr="00FF5E5E">
        <w:rPr>
          <w:rFonts w:asciiTheme="minorHAnsi" w:hAnsiTheme="minorHAnsi"/>
          <w:sz w:val="22"/>
          <w:szCs w:val="22"/>
        </w:rPr>
        <w:t xml:space="preserve"> a klinická farmakologie, 1992, s. 728</w:t>
      </w:r>
    </w:p>
    <w:p w:rsidR="00FF5E5E" w:rsidRDefault="00FF5E5E" w:rsidP="00FF5E5E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Borová voda je velmi mocným pomocníkem při jakékoliv infekci očí. Užívá se i jako prevence. Borovou vodou je oko možné otírat, oplachovat i prokapávat. Borová voda zde působí antisepticky, dezinfekčně, </w:t>
      </w:r>
      <w:proofErr w:type="spellStart"/>
      <w:r>
        <w:rPr>
          <w:rFonts w:asciiTheme="minorHAnsi" w:hAnsiTheme="minorHAnsi"/>
          <w:sz w:val="22"/>
          <w:szCs w:val="22"/>
        </w:rPr>
        <w:t>antimykoticky</w:t>
      </w:r>
      <w:proofErr w:type="spellEnd"/>
      <w:r>
        <w:rPr>
          <w:rFonts w:asciiTheme="minorHAnsi" w:hAnsiTheme="minorHAnsi"/>
          <w:sz w:val="22"/>
          <w:szCs w:val="22"/>
        </w:rPr>
        <w:t>, antibioticky i antibakteriálně. Borovou vodu je možno užít k očistě oka, k jeho zklidnění i k léčbě. Pomůže vám zbavit se nejen hnisu a infekčního sekretu, ale i chloru, smogu a jiných chemických látek.</w:t>
      </w:r>
    </w:p>
    <w:p w:rsidR="00FF5E5E" w:rsidRPr="00FF5E5E" w:rsidRDefault="00FF5E5E" w:rsidP="00FF5E5E">
      <w:pPr>
        <w:pStyle w:val="Normlnweb"/>
        <w:rPr>
          <w:rFonts w:asciiTheme="minorHAnsi" w:hAnsiTheme="minorHAnsi"/>
          <w:sz w:val="22"/>
          <w:szCs w:val="22"/>
        </w:rPr>
      </w:pPr>
      <w:hyperlink r:id="rId6" w:history="1">
        <w:r w:rsidRPr="00D42B8C">
          <w:rPr>
            <w:rStyle w:val="Hypertextovodkaz"/>
            <w:rFonts w:asciiTheme="minorHAnsi" w:hAnsiTheme="minorHAnsi"/>
            <w:sz w:val="22"/>
            <w:szCs w:val="22"/>
          </w:rPr>
          <w:t>http://www.vadyzraku.cz/borova-voda</w:t>
        </w:r>
      </w:hyperlink>
      <w:r>
        <w:rPr>
          <w:rFonts w:asciiTheme="minorHAnsi" w:hAnsiTheme="minorHAnsi"/>
          <w:sz w:val="22"/>
          <w:szCs w:val="22"/>
        </w:rPr>
        <w:t xml:space="preserve"> přihlášení </w:t>
      </w:r>
      <w:proofErr w:type="gramStart"/>
      <w:r>
        <w:rPr>
          <w:rFonts w:asciiTheme="minorHAnsi" w:hAnsiTheme="minorHAnsi"/>
          <w:sz w:val="22"/>
          <w:szCs w:val="22"/>
        </w:rPr>
        <w:t>12.10.2017</w:t>
      </w:r>
      <w:proofErr w:type="gramEnd"/>
    </w:p>
    <w:p w:rsidR="00FF5E5E" w:rsidRDefault="00FF5E5E" w:rsidP="00FF5E5E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Světlík lékařský (</w:t>
      </w:r>
      <w:proofErr w:type="spellStart"/>
      <w:r>
        <w:rPr>
          <w:rFonts w:asciiTheme="minorHAnsi" w:hAnsiTheme="minorHAnsi"/>
          <w:sz w:val="22"/>
          <w:szCs w:val="22"/>
        </w:rPr>
        <w:t>Eupharsia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rostkoviana</w:t>
      </w:r>
      <w:proofErr w:type="spellEnd"/>
      <w:r>
        <w:rPr>
          <w:rFonts w:asciiTheme="minorHAnsi" w:hAnsiTheme="minorHAnsi"/>
          <w:sz w:val="22"/>
          <w:szCs w:val="22"/>
        </w:rPr>
        <w:t>)</w:t>
      </w:r>
    </w:p>
    <w:p w:rsidR="00BF2D22" w:rsidRPr="00FF5E5E" w:rsidRDefault="00BF2D22" w:rsidP="00FF5E5E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Světlík jako léčivá rostlina byl dobře znám již ve starověku. Používal se zejména u očních onemocnění. Nať (</w:t>
      </w:r>
      <w:proofErr w:type="spellStart"/>
      <w:r>
        <w:rPr>
          <w:rFonts w:asciiTheme="minorHAnsi" w:hAnsiTheme="minorHAnsi"/>
          <w:sz w:val="22"/>
          <w:szCs w:val="22"/>
        </w:rPr>
        <w:t>Herba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euphrasie</w:t>
      </w:r>
      <w:proofErr w:type="spellEnd"/>
      <w:r>
        <w:rPr>
          <w:rFonts w:asciiTheme="minorHAnsi" w:hAnsiTheme="minorHAnsi"/>
          <w:sz w:val="22"/>
          <w:szCs w:val="22"/>
        </w:rPr>
        <w:t xml:space="preserve">) obsahuje glykosid </w:t>
      </w:r>
      <w:proofErr w:type="spellStart"/>
      <w:r>
        <w:rPr>
          <w:rFonts w:asciiTheme="minorHAnsi" w:hAnsiTheme="minorHAnsi"/>
          <w:sz w:val="22"/>
          <w:szCs w:val="22"/>
        </w:rPr>
        <w:t>aukubin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rinantin</w:t>
      </w:r>
      <w:proofErr w:type="spellEnd"/>
      <w:r>
        <w:rPr>
          <w:rFonts w:asciiTheme="minorHAnsi" w:hAnsiTheme="minorHAnsi"/>
          <w:sz w:val="22"/>
          <w:szCs w:val="22"/>
        </w:rPr>
        <w:t>). Světlík je oblíbeným prostředkem u očních zánětů a slabostí, přičemž slouží k výplachům anebo obkladům, při zánětech spojivek, řas, slzného vaku, duhovky apod., které se projevují slzením, světloplachostí a únavou (kombinuje se obvykle s borovou vodou).</w:t>
      </w:r>
    </w:p>
    <w:p w:rsidR="00FF5E5E" w:rsidRPr="00FF5E5E" w:rsidRDefault="00FF5E5E" w:rsidP="00FF5E5E">
      <w:pPr>
        <w:pStyle w:val="Normlnweb"/>
        <w:rPr>
          <w:rFonts w:asciiTheme="minorHAnsi" w:hAnsiTheme="minorHAnsi"/>
          <w:sz w:val="22"/>
          <w:szCs w:val="22"/>
        </w:rPr>
      </w:pPr>
      <w:r w:rsidRPr="00FF5E5E">
        <w:rPr>
          <w:rFonts w:asciiTheme="minorHAnsi" w:hAnsiTheme="minorHAnsi"/>
          <w:sz w:val="22"/>
          <w:szCs w:val="22"/>
        </w:rPr>
        <w:t xml:space="preserve">Kresánek J, Krejča J: Atlas </w:t>
      </w:r>
      <w:proofErr w:type="spellStart"/>
      <w:r w:rsidRPr="00FF5E5E">
        <w:rPr>
          <w:rFonts w:asciiTheme="minorHAnsi" w:hAnsiTheme="minorHAnsi"/>
          <w:sz w:val="22"/>
          <w:szCs w:val="22"/>
        </w:rPr>
        <w:t>liečivých</w:t>
      </w:r>
      <w:proofErr w:type="spellEnd"/>
      <w:r w:rsidRPr="00FF5E5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F5E5E">
        <w:rPr>
          <w:rFonts w:asciiTheme="minorHAnsi" w:hAnsiTheme="minorHAnsi"/>
          <w:sz w:val="22"/>
          <w:szCs w:val="22"/>
        </w:rPr>
        <w:t>rastlín</w:t>
      </w:r>
      <w:proofErr w:type="spellEnd"/>
      <w:r w:rsidRPr="00FF5E5E">
        <w:rPr>
          <w:rFonts w:asciiTheme="minorHAnsi" w:hAnsiTheme="minorHAnsi"/>
          <w:sz w:val="22"/>
          <w:szCs w:val="22"/>
        </w:rPr>
        <w:t xml:space="preserve"> a lesných </w:t>
      </w:r>
      <w:proofErr w:type="spellStart"/>
      <w:r w:rsidRPr="00FF5E5E">
        <w:rPr>
          <w:rFonts w:asciiTheme="minorHAnsi" w:hAnsiTheme="minorHAnsi"/>
          <w:sz w:val="22"/>
          <w:szCs w:val="22"/>
        </w:rPr>
        <w:t>plodov</w:t>
      </w:r>
      <w:proofErr w:type="spellEnd"/>
      <w:r w:rsidRPr="00FF5E5E">
        <w:rPr>
          <w:rFonts w:asciiTheme="minorHAnsi" w:hAnsiTheme="minorHAnsi"/>
          <w:sz w:val="22"/>
          <w:szCs w:val="22"/>
        </w:rPr>
        <w:t>, 1977, s. 526</w:t>
      </w:r>
    </w:p>
    <w:p w:rsidR="00FF5E5E" w:rsidRPr="00FF5E5E" w:rsidRDefault="00FF5E5E" w:rsidP="00FF5E5E">
      <w:pPr>
        <w:rPr>
          <w:rFonts w:asciiTheme="minorHAnsi" w:hAnsiTheme="minorHAnsi"/>
          <w:sz w:val="22"/>
          <w:szCs w:val="22"/>
        </w:rPr>
      </w:pPr>
    </w:p>
    <w:p w:rsidR="00FF5E5E" w:rsidRPr="00FF5E5E" w:rsidRDefault="00FF5E5E" w:rsidP="00FF5E5E">
      <w:pPr>
        <w:rPr>
          <w:rFonts w:asciiTheme="minorHAnsi" w:hAnsiTheme="minorHAnsi"/>
          <w:sz w:val="22"/>
          <w:szCs w:val="22"/>
        </w:rPr>
      </w:pPr>
      <w:proofErr w:type="spellStart"/>
      <w:r w:rsidRPr="00FF5E5E">
        <w:rPr>
          <w:rFonts w:asciiTheme="minorHAnsi" w:hAnsiTheme="minorHAnsi"/>
          <w:sz w:val="22"/>
          <w:szCs w:val="22"/>
        </w:rPr>
        <w:t>Polysorbát</w:t>
      </w:r>
      <w:proofErr w:type="spellEnd"/>
      <w:r w:rsidRPr="00FF5E5E">
        <w:rPr>
          <w:rFonts w:asciiTheme="minorHAnsi" w:hAnsiTheme="minorHAnsi"/>
          <w:sz w:val="22"/>
          <w:szCs w:val="22"/>
        </w:rPr>
        <w:t xml:space="preserve"> 80 (</w:t>
      </w:r>
      <w:proofErr w:type="spellStart"/>
      <w:r w:rsidRPr="00FF5E5E">
        <w:rPr>
          <w:rFonts w:asciiTheme="minorHAnsi" w:hAnsiTheme="minorHAnsi"/>
          <w:sz w:val="22"/>
          <w:szCs w:val="22"/>
        </w:rPr>
        <w:t>Ercasorb</w:t>
      </w:r>
      <w:proofErr w:type="spellEnd"/>
      <w:r w:rsidRPr="00FF5E5E">
        <w:rPr>
          <w:rFonts w:asciiTheme="minorHAnsi" w:hAnsiTheme="minorHAnsi"/>
          <w:sz w:val="22"/>
          <w:szCs w:val="22"/>
        </w:rPr>
        <w:t>) a voda jsou pomocné látky</w:t>
      </w:r>
      <w:r>
        <w:rPr>
          <w:rFonts w:asciiTheme="minorHAnsi" w:hAnsiTheme="minorHAnsi"/>
          <w:sz w:val="22"/>
          <w:szCs w:val="22"/>
        </w:rPr>
        <w:t>.</w:t>
      </w:r>
    </w:p>
    <w:p w:rsidR="00FF5E5E" w:rsidRPr="00FF5E5E" w:rsidRDefault="00FF5E5E" w:rsidP="00FF5E5E">
      <w:pPr>
        <w:rPr>
          <w:rFonts w:asciiTheme="minorHAnsi" w:hAnsiTheme="minorHAnsi"/>
          <w:sz w:val="22"/>
          <w:szCs w:val="22"/>
        </w:rPr>
      </w:pPr>
    </w:p>
    <w:p w:rsidR="00177325" w:rsidRPr="00FF5E5E" w:rsidRDefault="00177325" w:rsidP="00705DFB">
      <w:pPr>
        <w:rPr>
          <w:rFonts w:asciiTheme="minorHAnsi" w:hAnsiTheme="minorHAnsi" w:cs="Arial"/>
          <w:bCs/>
          <w:sz w:val="22"/>
          <w:szCs w:val="22"/>
        </w:rPr>
      </w:pPr>
      <w:bookmarkStart w:id="0" w:name="_GoBack"/>
      <w:bookmarkEnd w:id="0"/>
    </w:p>
    <w:sectPr w:rsidR="00177325" w:rsidRPr="00FF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FB"/>
    <w:rsid w:val="00177325"/>
    <w:rsid w:val="00335CCE"/>
    <w:rsid w:val="00391A03"/>
    <w:rsid w:val="00705DFB"/>
    <w:rsid w:val="00BD241A"/>
    <w:rsid w:val="00BF2D22"/>
    <w:rsid w:val="00DA5507"/>
    <w:rsid w:val="00DE2A60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D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5DFB"/>
    <w:rPr>
      <w:color w:val="0000FF"/>
      <w:u w:val="single"/>
    </w:rPr>
  </w:style>
  <w:style w:type="paragraph" w:styleId="Normlnweb">
    <w:name w:val="Normal (Web)"/>
    <w:basedOn w:val="Normln"/>
    <w:rsid w:val="00705DFB"/>
    <w:pPr>
      <w:spacing w:before="100" w:beforeAutospacing="1" w:after="100" w:afterAutospacing="1"/>
    </w:pPr>
  </w:style>
  <w:style w:type="character" w:styleId="CittHTML">
    <w:name w:val="HTML Cite"/>
    <w:basedOn w:val="Standardnpsmoodstavce"/>
    <w:rsid w:val="00705DFB"/>
    <w:rPr>
      <w:i/>
      <w:iCs/>
    </w:rPr>
  </w:style>
  <w:style w:type="table" w:styleId="Mkatabulky">
    <w:name w:val="Table Grid"/>
    <w:basedOn w:val="Normlntabulka"/>
    <w:uiPriority w:val="59"/>
    <w:rsid w:val="0070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D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5DFB"/>
    <w:rPr>
      <w:color w:val="0000FF"/>
      <w:u w:val="single"/>
    </w:rPr>
  </w:style>
  <w:style w:type="paragraph" w:styleId="Normlnweb">
    <w:name w:val="Normal (Web)"/>
    <w:basedOn w:val="Normln"/>
    <w:rsid w:val="00705DFB"/>
    <w:pPr>
      <w:spacing w:before="100" w:beforeAutospacing="1" w:after="100" w:afterAutospacing="1"/>
    </w:pPr>
  </w:style>
  <w:style w:type="character" w:styleId="CittHTML">
    <w:name w:val="HTML Cite"/>
    <w:basedOn w:val="Standardnpsmoodstavce"/>
    <w:rsid w:val="00705DFB"/>
    <w:rPr>
      <w:i/>
      <w:iCs/>
    </w:rPr>
  </w:style>
  <w:style w:type="table" w:styleId="Mkatabulky">
    <w:name w:val="Table Grid"/>
    <w:basedOn w:val="Normlntabulka"/>
    <w:uiPriority w:val="59"/>
    <w:rsid w:val="0070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dyzraku.cz/borova-voda" TargetMode="External"/><Relationship Id="rId5" Type="http://schemas.openxmlformats.org/officeDocument/2006/relationships/hyperlink" Target="http://www.pethealthca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5</cp:revision>
  <dcterms:created xsi:type="dcterms:W3CDTF">2017-11-02T15:45:00Z</dcterms:created>
  <dcterms:modified xsi:type="dcterms:W3CDTF">2018-01-16T09:59:00Z</dcterms:modified>
</cp:coreProperties>
</file>