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CA320" w14:textId="2A1FBD22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4AAE4F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0DE291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B9B4A8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548506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7FF18D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6274CE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27E0B8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E4E38A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9DFCD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0B9DEE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B680DC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7A6A1D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45AD7B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D1D2472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0BFE4F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27EED2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01CB20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DA667D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9A9769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AF745B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0F9F67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62EBD1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FD69A6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CAE308" w14:textId="77777777" w:rsidR="00480436" w:rsidRDefault="0048043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B. PŘÍBALOVÁ INFORMACE</w:t>
      </w:r>
    </w:p>
    <w:p w14:paraId="08747D6B" w14:textId="21E1C434" w:rsidR="00480436" w:rsidRPr="00480436" w:rsidRDefault="00327A08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t xml:space="preserve">(uvnitř </w:t>
      </w:r>
      <w:r w:rsidR="00EB031A">
        <w:t>odtrhovací</w:t>
      </w:r>
      <w:r>
        <w:t xml:space="preserve"> etikety, 100 g)</w:t>
      </w:r>
      <w:r>
        <w:br w:type="page"/>
      </w:r>
      <w:r>
        <w:rPr>
          <w:b/>
        </w:rPr>
        <w:lastRenderedPageBreak/>
        <w:t>PŘÍBALOVÁ INFORMACE:</w:t>
      </w:r>
    </w:p>
    <w:p w14:paraId="77FC2305" w14:textId="77777777" w:rsidR="00480436" w:rsidRPr="00480436" w:rsidRDefault="00D92DCC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r>
        <w:rPr>
          <w:b/>
        </w:rPr>
        <w:t>SOLAMOCTA 697 mg/g</w:t>
      </w:r>
    </w:p>
    <w:p w14:paraId="1ED87D04" w14:textId="7E9A3E60" w:rsidR="00480436" w:rsidRPr="00480436" w:rsidRDefault="00480436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  <w:r>
        <w:rPr>
          <w:b/>
        </w:rPr>
        <w:t xml:space="preserve">prášek pro podání v pitné vodě pro </w:t>
      </w:r>
      <w:r w:rsidR="008A5062">
        <w:rPr>
          <w:b/>
        </w:rPr>
        <w:t>kura domácího</w:t>
      </w:r>
      <w:r>
        <w:rPr>
          <w:b/>
        </w:rPr>
        <w:t>, kachny a krůty</w:t>
      </w:r>
    </w:p>
    <w:p w14:paraId="7240C237" w14:textId="77777777" w:rsidR="00480436" w:rsidRPr="00480436" w:rsidRDefault="00480436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</w:p>
    <w:p w14:paraId="3967A7ED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A1F0F5" w14:textId="77777777" w:rsidR="00480436" w:rsidRPr="00480436" w:rsidRDefault="00480436" w:rsidP="00D67703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  <w:r w:rsidRPr="00D67703">
        <w:rPr>
          <w:b/>
          <w:highlight w:val="lightGray"/>
        </w:rPr>
        <w:t>1.</w:t>
      </w:r>
      <w:r>
        <w:tab/>
      </w:r>
      <w:r w:rsidRPr="004D009E">
        <w:rPr>
          <w:b/>
          <w:highlight w:val="lightGray"/>
        </w:rPr>
        <w:t>JMÉNO A ADRESA DRŽITELE ROZHODNUTÍ O REGISTRACI A DRŽITELE POVOLENÍ K VÝROBĚ ODPOVĚDNÉHO ZA UVOLNĚNÍ ŠARŽE, POKUD SE NESHODUJE</w:t>
      </w:r>
    </w:p>
    <w:p w14:paraId="57A5DA3E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B2644D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u w:val="single"/>
        </w:rPr>
        <w:t>Držitel rozhodnutí o registraci a výrobce odpovědný za uvolnění šarže</w:t>
      </w:r>
      <w:r>
        <w:t>:</w:t>
      </w:r>
    </w:p>
    <w:p w14:paraId="26BEA767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Eurovet</w:t>
      </w:r>
      <w:proofErr w:type="spellEnd"/>
      <w:r>
        <w:t xml:space="preserve"> Animal </w:t>
      </w:r>
      <w:proofErr w:type="spellStart"/>
      <w:r>
        <w:t>Health</w:t>
      </w:r>
      <w:proofErr w:type="spellEnd"/>
      <w:r>
        <w:t xml:space="preserve"> BV, </w:t>
      </w:r>
      <w:proofErr w:type="spellStart"/>
      <w:r>
        <w:t>Handelsweg</w:t>
      </w:r>
      <w:proofErr w:type="spellEnd"/>
      <w:r>
        <w:t xml:space="preserve"> 25, NL-5531 AE </w:t>
      </w:r>
      <w:proofErr w:type="spellStart"/>
      <w:r>
        <w:t>Bladel</w:t>
      </w:r>
      <w:proofErr w:type="spellEnd"/>
      <w:r>
        <w:t>, Nizozemsko</w:t>
      </w:r>
    </w:p>
    <w:p w14:paraId="7B28F48E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3AD921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t>2.</w:t>
      </w:r>
      <w:r>
        <w:tab/>
      </w:r>
      <w:r>
        <w:rPr>
          <w:b/>
        </w:rPr>
        <w:t>NÁZEV VETERINÁRNÍHO LÉČIVÉHO PŘÍPRAVKU</w:t>
      </w:r>
    </w:p>
    <w:p w14:paraId="05A8B669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6A9184" w14:textId="77777777" w:rsidR="00480436" w:rsidRPr="009255AD" w:rsidRDefault="00D92DCC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rPr>
          <w:b/>
        </w:rPr>
        <w:t xml:space="preserve">SOLAMOCTA </w:t>
      </w:r>
      <w:r w:rsidRPr="009255AD">
        <w:t>697 mg/g prášek pro podání v pitné vodě pro ku</w:t>
      </w:r>
      <w:r w:rsidR="00A365BE" w:rsidRPr="009255AD">
        <w:t>ra domácího</w:t>
      </w:r>
      <w:r w:rsidRPr="009255AD">
        <w:t>, kachny a krůty</w:t>
      </w:r>
    </w:p>
    <w:p w14:paraId="775D57B5" w14:textId="7E57DC56" w:rsidR="00DD4835" w:rsidRPr="009255AD" w:rsidRDefault="00DD4835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255AD">
        <w:t>Amoxicilin</w:t>
      </w:r>
      <w:r w:rsidR="00E63BB6" w:rsidRPr="009255AD">
        <w:t>um</w:t>
      </w:r>
      <w:proofErr w:type="spellEnd"/>
      <w:r w:rsidRPr="009255AD">
        <w:t xml:space="preserve"> (jako </w:t>
      </w:r>
      <w:proofErr w:type="spellStart"/>
      <w:r w:rsidR="00EB031A">
        <w:t>amoxicillinum</w:t>
      </w:r>
      <w:proofErr w:type="spellEnd"/>
      <w:r w:rsidR="00EB031A">
        <w:t xml:space="preserve"> </w:t>
      </w:r>
      <w:proofErr w:type="spellStart"/>
      <w:r w:rsidR="00625520">
        <w:t>trihydricum</w:t>
      </w:r>
      <w:proofErr w:type="spellEnd"/>
      <w:r w:rsidRPr="009255AD">
        <w:t>)</w:t>
      </w:r>
    </w:p>
    <w:p w14:paraId="52FAA407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738252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D67703">
        <w:rPr>
          <w:b/>
          <w:highlight w:val="lightGray"/>
        </w:rPr>
        <w:t>3.</w:t>
      </w:r>
      <w:r w:rsidRPr="009255AD">
        <w:tab/>
      </w:r>
      <w:r w:rsidRPr="009255AD">
        <w:rPr>
          <w:b/>
        </w:rPr>
        <w:t>OBSAH LÉČIVÝCH A OSTATNÍCH LÁTEK</w:t>
      </w:r>
    </w:p>
    <w:p w14:paraId="0E5B8591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81FD63A" w14:textId="0BACCC00" w:rsidR="00480436" w:rsidRPr="009255AD" w:rsidRDefault="001C03C4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Každý gram</w:t>
      </w:r>
      <w:r w:rsidR="00625520">
        <w:rPr>
          <w:u w:val="single"/>
        </w:rPr>
        <w:t xml:space="preserve"> </w:t>
      </w:r>
      <w:r w:rsidR="00480436" w:rsidRPr="009255AD">
        <w:rPr>
          <w:u w:val="single"/>
        </w:rPr>
        <w:t>obsahuje:</w:t>
      </w:r>
      <w:r w:rsidR="00480436" w:rsidRPr="009255AD">
        <w:t xml:space="preserve"> </w:t>
      </w:r>
    </w:p>
    <w:p w14:paraId="286A6502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>Léčivá látka:</w:t>
      </w:r>
    </w:p>
    <w:p w14:paraId="14B1D3D2" w14:textId="13DB9B45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9255AD">
        <w:t>Amoxicilin</w:t>
      </w:r>
      <w:r w:rsidR="00E63BB6" w:rsidRPr="009255AD">
        <w:t>um</w:t>
      </w:r>
      <w:proofErr w:type="spellEnd"/>
      <w:r w:rsidRPr="009255AD">
        <w:t xml:space="preserve"> 697 mg </w:t>
      </w:r>
    </w:p>
    <w:p w14:paraId="0517EDD1" w14:textId="7F1AE01B" w:rsidR="00D92DCC" w:rsidRPr="009255AD" w:rsidRDefault="00625520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to odpovídá</w:t>
      </w:r>
      <w:r w:rsidRPr="009255AD">
        <w:t xml:space="preserve"> </w:t>
      </w:r>
      <w:proofErr w:type="spellStart"/>
      <w:r w:rsidR="00D92DCC" w:rsidRPr="009255AD">
        <w:t>amoxicillin</w:t>
      </w:r>
      <w:r w:rsidR="00E63BB6" w:rsidRPr="009255AD">
        <w:t>um</w:t>
      </w:r>
      <w:proofErr w:type="spellEnd"/>
      <w:r w:rsidR="00D92DCC" w:rsidRPr="009255AD">
        <w:t xml:space="preserve"> </w:t>
      </w:r>
      <w:proofErr w:type="spellStart"/>
      <w:r w:rsidR="00D92DCC" w:rsidRPr="009255AD">
        <w:t>trihydricum</w:t>
      </w:r>
      <w:proofErr w:type="spellEnd"/>
      <w:r w:rsidR="00D92DCC" w:rsidRPr="009255AD">
        <w:tab/>
        <w:t>800 mg</w:t>
      </w:r>
    </w:p>
    <w:p w14:paraId="020B2C31" w14:textId="77777777" w:rsidR="0045321E" w:rsidRPr="009255AD" w:rsidRDefault="0045321E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 xml:space="preserve">Bílý až </w:t>
      </w:r>
      <w:r w:rsidR="00E63BB6" w:rsidRPr="009255AD">
        <w:t>světle</w:t>
      </w:r>
      <w:r w:rsidRPr="009255AD">
        <w:t xml:space="preserve"> žlutobílý prášek.</w:t>
      </w:r>
    </w:p>
    <w:p w14:paraId="01AB0F4C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7692A2" w14:textId="77777777" w:rsidR="00480436" w:rsidRPr="009255AD" w:rsidRDefault="00480436" w:rsidP="00D67703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D67703">
        <w:rPr>
          <w:b/>
          <w:highlight w:val="lightGray"/>
        </w:rPr>
        <w:t>4.</w:t>
      </w:r>
      <w:r w:rsidRPr="009255AD">
        <w:tab/>
      </w:r>
      <w:r w:rsidRPr="009255AD">
        <w:rPr>
          <w:b/>
        </w:rPr>
        <w:t>INDIKACE</w:t>
      </w:r>
    </w:p>
    <w:p w14:paraId="51E407EB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10A7FE" w14:textId="0A6C8B38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 xml:space="preserve">Léčba infekcí u </w:t>
      </w:r>
      <w:r w:rsidR="00A365BE" w:rsidRPr="009255AD">
        <w:t>kura domácího</w:t>
      </w:r>
      <w:r w:rsidRPr="009255AD">
        <w:t xml:space="preserve">, krůt a kachen </w:t>
      </w:r>
      <w:r w:rsidR="007516B8">
        <w:t>vyvolaných</w:t>
      </w:r>
      <w:r w:rsidR="007516B8" w:rsidRPr="009255AD">
        <w:t xml:space="preserve"> </w:t>
      </w:r>
      <w:r w:rsidRPr="009255AD">
        <w:t xml:space="preserve">bakteriemi citlivými </w:t>
      </w:r>
      <w:r w:rsidR="007516B8">
        <w:t>k</w:t>
      </w:r>
      <w:r w:rsidR="007516B8" w:rsidRPr="009255AD">
        <w:t xml:space="preserve"> </w:t>
      </w:r>
      <w:r w:rsidRPr="009255AD">
        <w:t>amoxicilin</w:t>
      </w:r>
      <w:r w:rsidR="007516B8">
        <w:t>u</w:t>
      </w:r>
      <w:r w:rsidRPr="009255AD">
        <w:t>.</w:t>
      </w:r>
    </w:p>
    <w:p w14:paraId="7E0998EE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3CE49C" w14:textId="77777777" w:rsidR="00480436" w:rsidRPr="00480436" w:rsidRDefault="00480436" w:rsidP="00D67703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D67703">
        <w:rPr>
          <w:b/>
          <w:highlight w:val="lightGray"/>
        </w:rPr>
        <w:t>5.</w:t>
      </w:r>
      <w:r w:rsidRPr="009255AD">
        <w:tab/>
      </w:r>
      <w:r w:rsidRPr="009255AD">
        <w:rPr>
          <w:b/>
        </w:rPr>
        <w:t>KONTRAINDIKACE</w:t>
      </w:r>
    </w:p>
    <w:p w14:paraId="281B2225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731A70" w14:textId="0125A62F" w:rsidR="001C03C4" w:rsidRDefault="001C03C4" w:rsidP="00D67703">
      <w:pPr>
        <w:tabs>
          <w:tab w:val="clear" w:pos="567"/>
        </w:tabs>
        <w:spacing w:line="240" w:lineRule="auto"/>
        <w:jc w:val="both"/>
      </w:pPr>
      <w:r w:rsidRPr="001C03C4">
        <w:t xml:space="preserve">Nepoužívat </w:t>
      </w:r>
      <w:r w:rsidR="006274E9">
        <w:t>v</w:t>
      </w:r>
      <w:r w:rsidRPr="001C03C4">
        <w:t xml:space="preserve"> přítomnosti bakterií produkujících ß-</w:t>
      </w:r>
      <w:proofErr w:type="spellStart"/>
      <w:r w:rsidRPr="001C03C4">
        <w:t>laktamázu</w:t>
      </w:r>
      <w:proofErr w:type="spellEnd"/>
      <w:r w:rsidRPr="001C03C4">
        <w:t>.</w:t>
      </w:r>
    </w:p>
    <w:p w14:paraId="33F9A761" w14:textId="1C650D74" w:rsidR="00480436" w:rsidRPr="00480436" w:rsidRDefault="00E52CEE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</w:t>
      </w:r>
      <w:r w:rsidR="00480436">
        <w:t xml:space="preserve">u králíků, morčat, křečků, </w:t>
      </w:r>
      <w:proofErr w:type="spellStart"/>
      <w:r w:rsidR="00480436">
        <w:t>pískomilů</w:t>
      </w:r>
      <w:proofErr w:type="spellEnd"/>
      <w:r w:rsidR="00480436">
        <w:t xml:space="preserve"> nebo jiných malých býložravců.</w:t>
      </w:r>
    </w:p>
    <w:p w14:paraId="0B970816" w14:textId="0BC2BED6" w:rsidR="00480436" w:rsidRDefault="00480436" w:rsidP="00D67703">
      <w:pPr>
        <w:tabs>
          <w:tab w:val="clear" w:pos="567"/>
        </w:tabs>
        <w:spacing w:line="240" w:lineRule="auto"/>
        <w:jc w:val="both"/>
      </w:pPr>
      <w:r>
        <w:t>Nepoužívat u zvířat se známou přecitlivělostí na penicil</w:t>
      </w:r>
      <w:r w:rsidR="00A32DA0">
        <w:t>i</w:t>
      </w:r>
      <w:r>
        <w:t xml:space="preserve">ny nebo jiná </w:t>
      </w:r>
      <w:r w:rsidR="00D807CD">
        <w:t>beta</w:t>
      </w:r>
      <w:r>
        <w:t>-</w:t>
      </w:r>
      <w:proofErr w:type="spellStart"/>
      <w:r>
        <w:t>laktamová</w:t>
      </w:r>
      <w:proofErr w:type="spellEnd"/>
      <w:r>
        <w:t xml:space="preserve"> antibiotika nebo na některou z pomocných látek.</w:t>
      </w:r>
    </w:p>
    <w:p w14:paraId="491FCE24" w14:textId="2257AA6B" w:rsidR="001C03C4" w:rsidRPr="00480436" w:rsidRDefault="001C03C4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C03C4">
        <w:rPr>
          <w:szCs w:val="22"/>
        </w:rPr>
        <w:t>Nepoužívat u přežvýkavců nebo koní.</w:t>
      </w:r>
    </w:p>
    <w:p w14:paraId="3C1DF149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BE4752" w14:textId="77777777" w:rsidR="00480436" w:rsidRPr="00480436" w:rsidRDefault="00480436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t>6.</w:t>
      </w:r>
      <w:r>
        <w:tab/>
      </w:r>
      <w:r>
        <w:rPr>
          <w:b/>
        </w:rPr>
        <w:t>NEŽÁDOUCÍ ÚČINKY</w:t>
      </w:r>
    </w:p>
    <w:p w14:paraId="15C311C6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8D8B81" w14:textId="58418A7E" w:rsidR="00480436" w:rsidRPr="00480436" w:rsidRDefault="00D92DCC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Penicil</w:t>
      </w:r>
      <w:r w:rsidR="00A32DA0">
        <w:t>i</w:t>
      </w:r>
      <w:r>
        <w:t>ny a cefalosporiny mohou způsobovat hypersenzitivní reakce, které mohou být příležitostně vážné.</w:t>
      </w:r>
    </w:p>
    <w:p w14:paraId="0C2DC502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A11308" w14:textId="7E20AD1E" w:rsidR="0010660F" w:rsidRDefault="0010660F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0660F">
        <w:rPr>
          <w:szCs w:val="22"/>
        </w:rPr>
        <w:t>Jestliže zaznamenáte kterýkoliv z nežádoucích účinků a to</w:t>
      </w:r>
      <w:r w:rsidR="006274E9">
        <w:rPr>
          <w:szCs w:val="22"/>
        </w:rPr>
        <w:t xml:space="preserve"> </w:t>
      </w:r>
      <w:r w:rsidRPr="0010660F">
        <w:rPr>
          <w:szCs w:val="22"/>
        </w:rPr>
        <w:t>i takové</w:t>
      </w:r>
      <w:r w:rsidR="006274E9">
        <w:rPr>
          <w:szCs w:val="22"/>
        </w:rPr>
        <w:t xml:space="preserve">, </w:t>
      </w:r>
      <w:r w:rsidRPr="0010660F">
        <w:rPr>
          <w:szCs w:val="22"/>
        </w:rPr>
        <w:t xml:space="preserve">které nejsou uvedeny v této příbalové informaci, nebo si myslíte, že léčivo </w:t>
      </w:r>
      <w:r w:rsidR="006274E9">
        <w:rPr>
          <w:szCs w:val="22"/>
        </w:rPr>
        <w:t>není účinné</w:t>
      </w:r>
      <w:r w:rsidRPr="0010660F">
        <w:rPr>
          <w:szCs w:val="22"/>
        </w:rPr>
        <w:t>, oznamte to, prosím, vašemu veterinárnímu lékaři</w:t>
      </w:r>
      <w:r w:rsidR="006274E9">
        <w:rPr>
          <w:szCs w:val="22"/>
        </w:rPr>
        <w:t>.</w:t>
      </w:r>
    </w:p>
    <w:p w14:paraId="6D7F78DB" w14:textId="469E528E" w:rsidR="006274E9" w:rsidRPr="006274E9" w:rsidRDefault="006274E9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74E9">
        <w:rPr>
          <w:szCs w:val="22"/>
        </w:rPr>
        <w:t xml:space="preserve">Nežádoucí účinky můžete hlásit prostřednictvím formuláře na webových stránkách ÚSKVBL elektronicky, nebo také přímo na adresu: </w:t>
      </w:r>
    </w:p>
    <w:p w14:paraId="4E4C59E0" w14:textId="77777777" w:rsidR="006274E9" w:rsidRPr="006274E9" w:rsidRDefault="006274E9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74E9">
        <w:rPr>
          <w:szCs w:val="22"/>
        </w:rPr>
        <w:t xml:space="preserve">Ústav pro státní kontrolu veterinárních biopreparátů a léčiv </w:t>
      </w:r>
    </w:p>
    <w:p w14:paraId="6220CB00" w14:textId="77777777" w:rsidR="006274E9" w:rsidRPr="006274E9" w:rsidRDefault="006274E9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74E9">
        <w:rPr>
          <w:szCs w:val="22"/>
        </w:rPr>
        <w:t>Hudcova 56a</w:t>
      </w:r>
    </w:p>
    <w:p w14:paraId="1F18BD08" w14:textId="77777777" w:rsidR="006274E9" w:rsidRPr="006274E9" w:rsidRDefault="006274E9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74E9">
        <w:rPr>
          <w:szCs w:val="22"/>
        </w:rPr>
        <w:t xml:space="preserve">621 00 Brno </w:t>
      </w:r>
    </w:p>
    <w:p w14:paraId="1318A351" w14:textId="77777777" w:rsidR="006274E9" w:rsidRPr="006274E9" w:rsidRDefault="006274E9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74E9">
        <w:rPr>
          <w:szCs w:val="22"/>
        </w:rPr>
        <w:t>Mail: adr@uskvbl.cz</w:t>
      </w:r>
    </w:p>
    <w:p w14:paraId="68905C9A" w14:textId="161AC0D3" w:rsidR="009C5F1D" w:rsidRPr="00480436" w:rsidRDefault="006274E9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274E9">
        <w:rPr>
          <w:szCs w:val="22"/>
        </w:rPr>
        <w:t>Webové stránky: http://www.uskvbl.cz/cs/farmakovigilance</w:t>
      </w:r>
    </w:p>
    <w:p w14:paraId="33CC36F1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6482F5" w14:textId="77777777" w:rsidR="00480436" w:rsidRPr="00480436" w:rsidRDefault="00480436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t>7.</w:t>
      </w:r>
      <w:r>
        <w:tab/>
      </w:r>
      <w:r>
        <w:rPr>
          <w:b/>
        </w:rPr>
        <w:t>CÍLOVÝ DRUH ZVÍŘAT</w:t>
      </w:r>
    </w:p>
    <w:p w14:paraId="7700CED0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0AEB49" w14:textId="5145D060" w:rsidR="00480436" w:rsidRPr="009255AD" w:rsidRDefault="00E63BB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>Kur domácí (brojleři</w:t>
      </w:r>
      <w:r w:rsidR="0085392F" w:rsidRPr="009255AD">
        <w:t xml:space="preserve">, </w:t>
      </w:r>
      <w:r w:rsidRPr="009255AD">
        <w:t>kuřice</w:t>
      </w:r>
      <w:r w:rsidR="0085392F" w:rsidRPr="009255AD">
        <w:t>, chovné slepice), kachny</w:t>
      </w:r>
      <w:r w:rsidR="00826F0C" w:rsidRPr="009255AD">
        <w:t xml:space="preserve"> (brojle</w:t>
      </w:r>
      <w:r w:rsidRPr="009255AD">
        <w:t>ři</w:t>
      </w:r>
      <w:r w:rsidR="00826F0C" w:rsidRPr="009255AD">
        <w:t>,</w:t>
      </w:r>
      <w:r w:rsidR="00B6354C">
        <w:t xml:space="preserve"> chovné </w:t>
      </w:r>
      <w:r w:rsidRPr="009255AD">
        <w:t>kachny</w:t>
      </w:r>
      <w:r w:rsidR="00826F0C" w:rsidRPr="009255AD">
        <w:t>)</w:t>
      </w:r>
      <w:r w:rsidR="0085392F" w:rsidRPr="009255AD">
        <w:t>, krůty</w:t>
      </w:r>
    </w:p>
    <w:p w14:paraId="3EF134C0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816C83" w14:textId="1B641D5F" w:rsidR="00480436" w:rsidRPr="009255AD" w:rsidRDefault="00480436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lastRenderedPageBreak/>
        <w:t>8.</w:t>
      </w:r>
      <w:r w:rsidRPr="009255AD">
        <w:tab/>
      </w:r>
      <w:r w:rsidRPr="009255AD">
        <w:rPr>
          <w:b/>
        </w:rPr>
        <w:t>DÁVKOVÁNÍ PRO KAŽDÝ DRUH, CESTA A ZPŮSOB PODÁNÍ</w:t>
      </w:r>
    </w:p>
    <w:p w14:paraId="6D55BE3A" w14:textId="77777777" w:rsidR="00D807CD" w:rsidRDefault="00826F0C" w:rsidP="00D67703">
      <w:pPr>
        <w:pStyle w:val="BodytextAgency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255AD">
        <w:br/>
      </w:r>
      <w:r w:rsidRPr="009255AD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D807CD">
        <w:rPr>
          <w:rFonts w:ascii="Times New Roman" w:hAnsi="Times New Roman" w:cs="Times New Roman"/>
          <w:color w:val="000000"/>
          <w:sz w:val="22"/>
          <w:szCs w:val="22"/>
        </w:rPr>
        <w:t>erorální p</w:t>
      </w:r>
      <w:r w:rsidRPr="009255AD">
        <w:rPr>
          <w:rFonts w:ascii="Times New Roman" w:hAnsi="Times New Roman" w:cs="Times New Roman"/>
          <w:color w:val="000000"/>
          <w:sz w:val="22"/>
          <w:szCs w:val="22"/>
        </w:rPr>
        <w:t xml:space="preserve">odání v pitné vodě. </w:t>
      </w:r>
    </w:p>
    <w:p w14:paraId="7690D50E" w14:textId="71BCBAF3" w:rsidR="001C03C4" w:rsidRPr="009255AD" w:rsidRDefault="001C03C4">
      <w:pPr>
        <w:spacing w:after="140" w:line="280" w:lineRule="atLeast"/>
        <w:rPr>
          <w:rFonts w:eastAsia="Verdana"/>
          <w:color w:val="000000"/>
          <w:szCs w:val="22"/>
        </w:rPr>
      </w:pPr>
      <w:r w:rsidRPr="009255AD">
        <w:rPr>
          <w:rFonts w:eastAsia="Verdana"/>
          <w:color w:val="000000"/>
          <w:szCs w:val="22"/>
          <w:u w:val="single"/>
        </w:rPr>
        <w:t>Kur domácí</w:t>
      </w:r>
      <w:r w:rsidRPr="009255AD">
        <w:rPr>
          <w:rFonts w:eastAsia="Verdana"/>
          <w:color w:val="000000"/>
          <w:szCs w:val="22"/>
          <w:u w:val="single"/>
        </w:rPr>
        <w:br/>
      </w:r>
      <w:r w:rsidRPr="009255AD">
        <w:rPr>
          <w:rFonts w:eastAsia="Verdana"/>
          <w:color w:val="000000"/>
          <w:szCs w:val="22"/>
        </w:rPr>
        <w:t xml:space="preserve">Doporučená dávka je 13,1 mg amoxicilinu (ekvivalentní 18,8 mg veterinárního léčivého přípravku) na kilogram živé hmotnosti </w:t>
      </w:r>
      <w:r w:rsidRPr="001C03C4">
        <w:rPr>
          <w:rFonts w:eastAsia="Verdana"/>
          <w:color w:val="000000"/>
          <w:szCs w:val="22"/>
        </w:rPr>
        <w:t xml:space="preserve">denně </w:t>
      </w:r>
      <w:r w:rsidRPr="009255AD">
        <w:rPr>
          <w:rFonts w:eastAsia="Verdana"/>
          <w:color w:val="000000"/>
          <w:szCs w:val="22"/>
        </w:rPr>
        <w:t>po 3 </w:t>
      </w:r>
      <w:r w:rsidRPr="001C03C4">
        <w:rPr>
          <w:rFonts w:eastAsia="Verdana"/>
          <w:color w:val="000000"/>
          <w:szCs w:val="22"/>
        </w:rPr>
        <w:t xml:space="preserve">po sobě jdoucí </w:t>
      </w:r>
      <w:r w:rsidRPr="009255AD">
        <w:rPr>
          <w:rFonts w:eastAsia="Verdana"/>
          <w:color w:val="000000"/>
          <w:szCs w:val="22"/>
        </w:rPr>
        <w:t>dny nebo v závažných případech po 5 </w:t>
      </w:r>
      <w:r w:rsidRPr="001C03C4">
        <w:rPr>
          <w:rFonts w:eastAsia="Verdana"/>
          <w:color w:val="000000"/>
          <w:szCs w:val="22"/>
        </w:rPr>
        <w:t>po sobě jdoucí</w:t>
      </w:r>
      <w:r w:rsidR="005C3095">
        <w:rPr>
          <w:rFonts w:eastAsia="Verdana"/>
          <w:color w:val="000000"/>
          <w:szCs w:val="22"/>
        </w:rPr>
        <w:t>ch</w:t>
      </w:r>
      <w:r w:rsidRPr="001C03C4">
        <w:rPr>
          <w:rFonts w:eastAsia="Verdana"/>
          <w:color w:val="000000"/>
          <w:szCs w:val="22"/>
        </w:rPr>
        <w:t xml:space="preserve"> </w:t>
      </w:r>
      <w:r w:rsidRPr="009255AD">
        <w:rPr>
          <w:rFonts w:eastAsia="Verdana"/>
          <w:color w:val="000000"/>
          <w:szCs w:val="22"/>
        </w:rPr>
        <w:t>dnů.</w:t>
      </w:r>
    </w:p>
    <w:p w14:paraId="2D4A8215" w14:textId="5955D9E9" w:rsidR="001C03C4" w:rsidRPr="009255AD" w:rsidRDefault="001C03C4" w:rsidP="00D67703">
      <w:pPr>
        <w:spacing w:after="140" w:line="280" w:lineRule="atLeast"/>
        <w:jc w:val="both"/>
        <w:rPr>
          <w:rFonts w:eastAsia="Verdana"/>
          <w:color w:val="000000"/>
          <w:szCs w:val="22"/>
        </w:rPr>
      </w:pPr>
      <w:r w:rsidRPr="009255AD">
        <w:rPr>
          <w:rFonts w:eastAsia="Verdana"/>
          <w:color w:val="000000"/>
          <w:szCs w:val="22"/>
          <w:u w:val="single"/>
        </w:rPr>
        <w:t>Kachny</w:t>
      </w:r>
      <w:r w:rsidRPr="009255AD">
        <w:rPr>
          <w:rFonts w:eastAsia="Verdana"/>
          <w:color w:val="000000"/>
          <w:szCs w:val="22"/>
          <w:u w:val="single"/>
        </w:rPr>
        <w:br/>
      </w:r>
      <w:r w:rsidRPr="009255AD">
        <w:rPr>
          <w:rFonts w:eastAsia="Verdana"/>
          <w:color w:val="000000"/>
          <w:szCs w:val="22"/>
        </w:rPr>
        <w:t xml:space="preserve">Doporučená dávka je 17,4 mg amoxicilinu (ekvivalentní 25 mg veterinárního léčivého přípravku) na kilogram živé hmotnosti </w:t>
      </w:r>
      <w:r w:rsidRPr="001C03C4">
        <w:rPr>
          <w:rFonts w:eastAsia="Verdana"/>
          <w:color w:val="000000"/>
          <w:szCs w:val="22"/>
        </w:rPr>
        <w:t xml:space="preserve">denně </w:t>
      </w:r>
      <w:r w:rsidRPr="009255AD">
        <w:rPr>
          <w:rFonts w:eastAsia="Verdana"/>
          <w:color w:val="000000"/>
          <w:szCs w:val="22"/>
        </w:rPr>
        <w:t>po 3 po sobě jdoucí dny.</w:t>
      </w:r>
    </w:p>
    <w:p w14:paraId="1E6D2D2F" w14:textId="4415347A" w:rsidR="001C03C4" w:rsidRDefault="001C03C4" w:rsidP="00D67703">
      <w:pPr>
        <w:tabs>
          <w:tab w:val="clear" w:pos="567"/>
        </w:tabs>
        <w:spacing w:line="240" w:lineRule="auto"/>
        <w:jc w:val="both"/>
        <w:rPr>
          <w:rFonts w:eastAsia="Verdana"/>
          <w:color w:val="000000"/>
          <w:szCs w:val="22"/>
        </w:rPr>
      </w:pPr>
      <w:r w:rsidRPr="009255AD">
        <w:rPr>
          <w:rFonts w:eastAsia="Verdana"/>
          <w:color w:val="000000"/>
          <w:szCs w:val="22"/>
          <w:u w:val="single"/>
        </w:rPr>
        <w:t>Krůty</w:t>
      </w:r>
      <w:r w:rsidRPr="009255AD">
        <w:rPr>
          <w:rFonts w:eastAsia="Verdana"/>
          <w:color w:val="000000"/>
          <w:szCs w:val="22"/>
          <w:u w:val="single"/>
        </w:rPr>
        <w:br/>
      </w:r>
      <w:r w:rsidRPr="009255AD">
        <w:rPr>
          <w:rFonts w:eastAsia="Verdana"/>
          <w:color w:val="000000"/>
          <w:szCs w:val="22"/>
        </w:rPr>
        <w:t xml:space="preserve">Doporučená dávka je 13,1-17,4 mg amoxicilinu (ekvivalentní 18,8 až 25 mg veterinárního léčivého přípravku) na kilogram živé hmotnosti </w:t>
      </w:r>
      <w:r w:rsidRPr="001C03C4">
        <w:rPr>
          <w:rFonts w:eastAsia="Verdana"/>
          <w:color w:val="000000"/>
          <w:szCs w:val="22"/>
        </w:rPr>
        <w:t xml:space="preserve">denně </w:t>
      </w:r>
      <w:r w:rsidRPr="009255AD">
        <w:rPr>
          <w:rFonts w:eastAsia="Verdana"/>
          <w:color w:val="000000"/>
          <w:szCs w:val="22"/>
        </w:rPr>
        <w:t>po 3 </w:t>
      </w:r>
      <w:r w:rsidRPr="001C03C4">
        <w:rPr>
          <w:rFonts w:eastAsia="Verdana"/>
          <w:color w:val="000000"/>
          <w:szCs w:val="22"/>
        </w:rPr>
        <w:t xml:space="preserve">po sobě jdoucí </w:t>
      </w:r>
      <w:r w:rsidRPr="009255AD">
        <w:rPr>
          <w:rFonts w:eastAsia="Verdana"/>
          <w:color w:val="000000"/>
          <w:szCs w:val="22"/>
        </w:rPr>
        <w:t>dny nebo v závažných případech po 5 </w:t>
      </w:r>
      <w:r w:rsidRPr="001C03C4">
        <w:rPr>
          <w:rFonts w:eastAsia="Verdana"/>
          <w:color w:val="000000"/>
          <w:szCs w:val="22"/>
        </w:rPr>
        <w:t>po sobě jdoucí</w:t>
      </w:r>
      <w:r w:rsidR="00DE2A55">
        <w:rPr>
          <w:rFonts w:eastAsia="Verdana"/>
          <w:color w:val="000000"/>
          <w:szCs w:val="22"/>
        </w:rPr>
        <w:t>ch</w:t>
      </w:r>
      <w:r w:rsidRPr="001C03C4">
        <w:rPr>
          <w:rFonts w:eastAsia="Verdana"/>
          <w:color w:val="000000"/>
          <w:szCs w:val="22"/>
        </w:rPr>
        <w:t xml:space="preserve"> </w:t>
      </w:r>
      <w:r w:rsidRPr="009255AD">
        <w:rPr>
          <w:rFonts w:eastAsia="Verdana"/>
          <w:color w:val="000000"/>
          <w:szCs w:val="22"/>
        </w:rPr>
        <w:t>dnů.</w:t>
      </w:r>
    </w:p>
    <w:p w14:paraId="58BFDF3A" w14:textId="77777777" w:rsidR="001C03C4" w:rsidRPr="009255AD" w:rsidRDefault="001C03C4" w:rsidP="00D67703">
      <w:pPr>
        <w:tabs>
          <w:tab w:val="clear" w:pos="567"/>
        </w:tabs>
        <w:spacing w:line="240" w:lineRule="auto"/>
        <w:jc w:val="both"/>
        <w:rPr>
          <w:rFonts w:eastAsia="Verdana"/>
          <w:color w:val="000000"/>
          <w:szCs w:val="22"/>
        </w:rPr>
      </w:pPr>
    </w:p>
    <w:p w14:paraId="6DF43C7C" w14:textId="5CDBB39C" w:rsidR="00826F0C" w:rsidRPr="009255AD" w:rsidRDefault="00835CC5" w:rsidP="00D67703">
      <w:pPr>
        <w:pStyle w:val="BodytextAgency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35CC5">
        <w:rPr>
          <w:rFonts w:ascii="Times New Roman" w:hAnsi="Times New Roman" w:cs="Times New Roman"/>
          <w:color w:val="000000"/>
          <w:sz w:val="22"/>
          <w:szCs w:val="22"/>
        </w:rPr>
        <w:t xml:space="preserve">Roztok připravte z čerstvé pitné vody bezprostředně před podáním.  Nespotřebovanou </w:t>
      </w:r>
      <w:proofErr w:type="spellStart"/>
      <w:r w:rsidRPr="00835CC5">
        <w:rPr>
          <w:rFonts w:ascii="Times New Roman" w:hAnsi="Times New Roman" w:cs="Times New Roman"/>
          <w:color w:val="000000"/>
          <w:sz w:val="22"/>
          <w:szCs w:val="22"/>
        </w:rPr>
        <w:t>medikovanou</w:t>
      </w:r>
      <w:proofErr w:type="spellEnd"/>
      <w:r w:rsidRPr="00835CC5">
        <w:rPr>
          <w:rFonts w:ascii="Times New Roman" w:hAnsi="Times New Roman" w:cs="Times New Roman"/>
          <w:color w:val="000000"/>
          <w:sz w:val="22"/>
          <w:szCs w:val="22"/>
        </w:rPr>
        <w:t xml:space="preserve"> vodu zlikvidujte po </w:t>
      </w:r>
      <w:proofErr w:type="gramStart"/>
      <w:r w:rsidRPr="00835CC5">
        <w:rPr>
          <w:rFonts w:ascii="Times New Roman" w:hAnsi="Times New Roman" w:cs="Times New Roman"/>
          <w:color w:val="000000"/>
          <w:sz w:val="22"/>
          <w:szCs w:val="22"/>
        </w:rPr>
        <w:t>12-ti</w:t>
      </w:r>
      <w:proofErr w:type="gramEnd"/>
      <w:r w:rsidRPr="00835CC5">
        <w:rPr>
          <w:rFonts w:ascii="Times New Roman" w:hAnsi="Times New Roman" w:cs="Times New Roman"/>
          <w:color w:val="000000"/>
          <w:sz w:val="22"/>
          <w:szCs w:val="22"/>
        </w:rPr>
        <w:t xml:space="preserve"> hodinách. Aby byl zajištěn příjem </w:t>
      </w:r>
      <w:proofErr w:type="spellStart"/>
      <w:r w:rsidRPr="00835CC5">
        <w:rPr>
          <w:rFonts w:ascii="Times New Roman" w:hAnsi="Times New Roman" w:cs="Times New Roman"/>
          <w:color w:val="000000"/>
          <w:sz w:val="22"/>
          <w:szCs w:val="22"/>
        </w:rPr>
        <w:t>medikované</w:t>
      </w:r>
      <w:proofErr w:type="spellEnd"/>
      <w:r w:rsidRPr="00835CC5">
        <w:rPr>
          <w:rFonts w:ascii="Times New Roman" w:hAnsi="Times New Roman" w:cs="Times New Roman"/>
          <w:color w:val="000000"/>
          <w:sz w:val="22"/>
          <w:szCs w:val="22"/>
        </w:rPr>
        <w:t xml:space="preserve"> vody,</w:t>
      </w:r>
      <w:r w:rsidR="00BA528B" w:rsidRPr="009255AD">
        <w:rPr>
          <w:rFonts w:ascii="Times New Roman" w:hAnsi="Times New Roman" w:cs="Times New Roman"/>
          <w:color w:val="000000"/>
          <w:sz w:val="22"/>
          <w:szCs w:val="22"/>
        </w:rPr>
        <w:t xml:space="preserve"> neměla by mít zvířata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528B" w:rsidRPr="009255AD">
        <w:rPr>
          <w:rFonts w:ascii="Times New Roman" w:hAnsi="Times New Roman" w:cs="Times New Roman"/>
          <w:color w:val="000000"/>
          <w:sz w:val="22"/>
          <w:szCs w:val="22"/>
        </w:rPr>
        <w:t>během léčby</w:t>
      </w:r>
      <w:r w:rsidR="001D56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528B" w:rsidRPr="009255AD">
        <w:rPr>
          <w:rFonts w:ascii="Times New Roman" w:hAnsi="Times New Roman" w:cs="Times New Roman"/>
          <w:color w:val="000000"/>
          <w:sz w:val="22"/>
          <w:szCs w:val="22"/>
        </w:rPr>
        <w:t>přístup k jiným zdrojům</w:t>
      </w:r>
      <w:r w:rsidR="001D5641">
        <w:rPr>
          <w:rFonts w:ascii="Times New Roman" w:hAnsi="Times New Roman" w:cs="Times New Roman"/>
          <w:color w:val="000000"/>
          <w:sz w:val="22"/>
          <w:szCs w:val="22"/>
        </w:rPr>
        <w:t xml:space="preserve"> vody</w:t>
      </w:r>
      <w:r w:rsidR="00BA528B" w:rsidRPr="009255AD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A528B" w:rsidRPr="00925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F0C" w:rsidRPr="009255AD">
        <w:rPr>
          <w:rFonts w:ascii="Times New Roman" w:hAnsi="Times New Roman" w:cs="Times New Roman"/>
          <w:color w:val="000000"/>
          <w:sz w:val="22"/>
          <w:szCs w:val="22"/>
        </w:rPr>
        <w:t>Pro výpočet požadované koncentrace přípravku (v miligramech přípravku na litr pitné vody) lze použít následující vzorec: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20"/>
        <w:gridCol w:w="561"/>
        <w:gridCol w:w="2780"/>
        <w:gridCol w:w="2918"/>
      </w:tblGrid>
      <w:tr w:rsidR="00826F0C" w:rsidRPr="009255AD" w14:paraId="0DA6B791" w14:textId="77777777" w:rsidTr="00BA528B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9CF31C" w14:textId="6F4CA50E" w:rsidR="00826F0C" w:rsidRPr="009255AD" w:rsidRDefault="00D807CD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  <w:r>
              <w:rPr>
                <w:rFonts w:eastAsia="SimSun"/>
                <w:b/>
                <w:color w:val="000000"/>
                <w:szCs w:val="22"/>
              </w:rPr>
              <w:t>…</w:t>
            </w:r>
            <w:r w:rsidR="00826F0C" w:rsidRPr="009255AD">
              <w:rPr>
                <w:rFonts w:eastAsia="SimSun"/>
                <w:color w:val="000000"/>
                <w:szCs w:val="22"/>
              </w:rPr>
              <w:t xml:space="preserve"> mg přípravku na kg </w:t>
            </w:r>
            <w:r w:rsidR="00E63BB6" w:rsidRPr="009255AD">
              <w:rPr>
                <w:rFonts w:eastAsia="SimSun"/>
                <w:color w:val="000000"/>
                <w:szCs w:val="22"/>
              </w:rPr>
              <w:t>živ</w:t>
            </w:r>
            <w:r w:rsidR="00826F0C" w:rsidRPr="009255AD">
              <w:rPr>
                <w:rFonts w:eastAsia="SimSun"/>
                <w:color w:val="000000"/>
                <w:szCs w:val="22"/>
              </w:rPr>
              <w:t>é hmotnosti na den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27472B" w14:textId="77777777" w:rsidR="00826F0C" w:rsidRPr="009255AD" w:rsidRDefault="00826F0C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</w:p>
          <w:p w14:paraId="38E24032" w14:textId="77777777" w:rsidR="00826F0C" w:rsidRPr="009255AD" w:rsidRDefault="00826F0C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  <w:r w:rsidRPr="009255AD">
              <w:rPr>
                <w:rFonts w:eastAsia="SimSun"/>
                <w:color w:val="000000"/>
                <w:szCs w:val="22"/>
              </w:rPr>
              <w:t>X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C59681" w14:textId="77777777" w:rsidR="00826F0C" w:rsidRPr="009255AD" w:rsidRDefault="00826F0C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  <w:r w:rsidRPr="009255AD">
              <w:rPr>
                <w:rFonts w:eastAsia="SimSun"/>
                <w:color w:val="000000"/>
                <w:szCs w:val="22"/>
              </w:rPr>
              <w:t xml:space="preserve">průměrná </w:t>
            </w:r>
            <w:r w:rsidR="00E63BB6" w:rsidRPr="009255AD">
              <w:rPr>
                <w:rFonts w:eastAsia="SimSun"/>
                <w:color w:val="000000"/>
                <w:szCs w:val="22"/>
              </w:rPr>
              <w:t>živá</w:t>
            </w:r>
            <w:r w:rsidRPr="009255AD">
              <w:rPr>
                <w:rFonts w:eastAsia="SimSun"/>
                <w:color w:val="000000"/>
                <w:szCs w:val="22"/>
              </w:rPr>
              <w:t xml:space="preserve"> hmotnost (kg) zvířat, která se mají léčit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B29F" w14:textId="77777777" w:rsidR="00826F0C" w:rsidRPr="009255AD" w:rsidRDefault="00826F0C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</w:p>
          <w:p w14:paraId="4C705CD8" w14:textId="6A64F262" w:rsidR="00826F0C" w:rsidRPr="009255AD" w:rsidRDefault="00826F0C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  <w:r w:rsidRPr="009255AD">
              <w:rPr>
                <w:rFonts w:eastAsia="SimSun"/>
                <w:color w:val="000000"/>
                <w:szCs w:val="22"/>
              </w:rPr>
              <w:t>=</w:t>
            </w:r>
            <w:r w:rsidR="00D807CD">
              <w:rPr>
                <w:rFonts w:eastAsia="SimSun"/>
                <w:color w:val="000000"/>
                <w:szCs w:val="22"/>
              </w:rPr>
              <w:t xml:space="preserve"> …</w:t>
            </w:r>
            <w:r w:rsidRPr="009255AD">
              <w:rPr>
                <w:rFonts w:eastAsia="SimSun"/>
                <w:color w:val="000000"/>
                <w:szCs w:val="22"/>
              </w:rPr>
              <w:t xml:space="preserve"> mg přípravku na litr pitné vody</w:t>
            </w:r>
          </w:p>
        </w:tc>
      </w:tr>
      <w:tr w:rsidR="00826F0C" w:rsidRPr="009255AD" w14:paraId="3B85AD41" w14:textId="77777777" w:rsidTr="00D67703">
        <w:tc>
          <w:tcPr>
            <w:tcW w:w="626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DCFB22" w14:textId="73864FAB" w:rsidR="00826F0C" w:rsidRPr="009255AD" w:rsidRDefault="00826F0C" w:rsidP="00D67703">
            <w:pPr>
              <w:tabs>
                <w:tab w:val="left" w:pos="540"/>
              </w:tabs>
              <w:jc w:val="center"/>
              <w:rPr>
                <w:rFonts w:eastAsia="SimSun"/>
                <w:bCs/>
                <w:color w:val="000000"/>
                <w:szCs w:val="22"/>
              </w:rPr>
            </w:pPr>
            <w:r w:rsidRPr="009255AD">
              <w:rPr>
                <w:rFonts w:eastAsia="SimSun"/>
                <w:color w:val="000000"/>
                <w:szCs w:val="22"/>
              </w:rPr>
              <w:t xml:space="preserve">Průměrná denní spotřeba vody (l) </w:t>
            </w:r>
          </w:p>
        </w:tc>
        <w:tc>
          <w:tcPr>
            <w:tcW w:w="2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B2FCD" w14:textId="77777777" w:rsidR="00826F0C" w:rsidRPr="009255AD" w:rsidRDefault="00826F0C">
            <w:pPr>
              <w:tabs>
                <w:tab w:val="left" w:pos="540"/>
              </w:tabs>
              <w:jc w:val="both"/>
              <w:rPr>
                <w:rFonts w:eastAsia="SimSun"/>
                <w:bCs/>
                <w:color w:val="000000"/>
                <w:szCs w:val="22"/>
              </w:rPr>
            </w:pPr>
          </w:p>
        </w:tc>
      </w:tr>
    </w:tbl>
    <w:p w14:paraId="1254721B" w14:textId="44D7CE5D" w:rsidR="00826F0C" w:rsidRDefault="00BA528B" w:rsidP="00D67703">
      <w:pPr>
        <w:spacing w:before="120" w:after="140" w:line="280" w:lineRule="atLeast"/>
        <w:jc w:val="both"/>
        <w:rPr>
          <w:rFonts w:eastAsia="Verdana"/>
          <w:color w:val="000000"/>
          <w:szCs w:val="22"/>
        </w:rPr>
      </w:pPr>
      <w:r w:rsidRPr="009255AD">
        <w:rPr>
          <w:rFonts w:eastAsia="Verdana"/>
          <w:color w:val="000000"/>
          <w:szCs w:val="24"/>
        </w:rPr>
        <w:t xml:space="preserve">Pro zajištění správného dávkování je třeba živou hmotnost stanovit co nejpřesněji, aby se zabránilo </w:t>
      </w:r>
      <w:proofErr w:type="spellStart"/>
      <w:r w:rsidR="00D807CD">
        <w:rPr>
          <w:rFonts w:eastAsia="Verdana"/>
          <w:color w:val="000000"/>
          <w:szCs w:val="24"/>
        </w:rPr>
        <w:t>pod</w:t>
      </w:r>
      <w:r w:rsidRPr="009255AD">
        <w:rPr>
          <w:rFonts w:eastAsia="Verdana"/>
          <w:color w:val="000000"/>
          <w:szCs w:val="24"/>
        </w:rPr>
        <w:t>dávkování</w:t>
      </w:r>
      <w:proofErr w:type="spellEnd"/>
      <w:r w:rsidRPr="009255AD">
        <w:rPr>
          <w:rFonts w:eastAsia="Verdana"/>
          <w:color w:val="000000"/>
          <w:szCs w:val="24"/>
        </w:rPr>
        <w:t xml:space="preserve">. </w:t>
      </w:r>
      <w:r w:rsidR="00F279A8">
        <w:rPr>
          <w:rFonts w:eastAsia="Verdana"/>
          <w:color w:val="000000"/>
          <w:szCs w:val="22"/>
        </w:rPr>
        <w:t>Příjem</w:t>
      </w:r>
      <w:r w:rsidR="00826F0C" w:rsidRPr="009255AD">
        <w:rPr>
          <w:rFonts w:eastAsia="Verdana"/>
          <w:color w:val="000000"/>
          <w:szCs w:val="22"/>
        </w:rPr>
        <w:t xml:space="preserve"> vody obsahující léčivo závisí na klinickém stavu </w:t>
      </w:r>
      <w:r w:rsidR="002D45D1">
        <w:rPr>
          <w:rFonts w:eastAsia="Verdana"/>
          <w:color w:val="000000"/>
          <w:szCs w:val="22"/>
        </w:rPr>
        <w:t>zvířat</w:t>
      </w:r>
      <w:r w:rsidR="00826F0C" w:rsidRPr="009255AD">
        <w:rPr>
          <w:rFonts w:eastAsia="Verdana"/>
          <w:color w:val="000000"/>
          <w:szCs w:val="22"/>
        </w:rPr>
        <w:t xml:space="preserve">. Pro dosažení správného dávkování se musí koncentrace amoxicilinu upravit podle </w:t>
      </w:r>
      <w:r w:rsidR="002D45D1">
        <w:rPr>
          <w:rFonts w:eastAsia="Verdana"/>
          <w:color w:val="000000"/>
          <w:szCs w:val="22"/>
        </w:rPr>
        <w:t>příjmu</w:t>
      </w:r>
      <w:r w:rsidR="00826F0C" w:rsidRPr="009255AD">
        <w:rPr>
          <w:rFonts w:eastAsia="Verdana"/>
          <w:color w:val="000000"/>
          <w:szCs w:val="22"/>
        </w:rPr>
        <w:t xml:space="preserve"> vody. </w:t>
      </w:r>
      <w:r w:rsidR="002238AE" w:rsidRPr="009255AD">
        <w:rPr>
          <w:rFonts w:eastAsia="Verdana"/>
          <w:color w:val="000000"/>
          <w:szCs w:val="24"/>
        </w:rPr>
        <w:t xml:space="preserve">Po ukončení medikace je nutné </w:t>
      </w:r>
      <w:r w:rsidR="00D07E9C">
        <w:rPr>
          <w:rFonts w:eastAsia="Verdana"/>
          <w:color w:val="000000"/>
          <w:szCs w:val="24"/>
        </w:rPr>
        <w:t>napájecí zařízení řádně</w:t>
      </w:r>
      <w:r w:rsidR="002238AE" w:rsidRPr="009255AD">
        <w:rPr>
          <w:rFonts w:eastAsia="Verdana"/>
          <w:color w:val="000000"/>
          <w:szCs w:val="24"/>
        </w:rPr>
        <w:t xml:space="preserve"> vyčistit </w:t>
      </w:r>
      <w:r w:rsidR="00D07E9C">
        <w:rPr>
          <w:rFonts w:eastAsia="Verdana"/>
          <w:color w:val="000000"/>
          <w:szCs w:val="24"/>
        </w:rPr>
        <w:t>vhodným způsobem</w:t>
      </w:r>
      <w:r w:rsidR="002238AE" w:rsidRPr="009255AD">
        <w:rPr>
          <w:rFonts w:eastAsia="Verdana"/>
          <w:color w:val="000000"/>
          <w:szCs w:val="24"/>
        </w:rPr>
        <w:t xml:space="preserve">, aby se zabránilo příjmu </w:t>
      </w:r>
      <w:proofErr w:type="spellStart"/>
      <w:r w:rsidR="00D07E9C" w:rsidRPr="009255AD">
        <w:rPr>
          <w:rFonts w:eastAsia="Verdana"/>
          <w:color w:val="000000"/>
          <w:szCs w:val="24"/>
        </w:rPr>
        <w:t>subterapeutick</w:t>
      </w:r>
      <w:r w:rsidR="00D07E9C">
        <w:rPr>
          <w:rFonts w:eastAsia="Verdana"/>
          <w:color w:val="000000"/>
          <w:szCs w:val="24"/>
        </w:rPr>
        <w:t>ého</w:t>
      </w:r>
      <w:proofErr w:type="spellEnd"/>
      <w:r w:rsidR="00D07E9C" w:rsidRPr="009255AD">
        <w:rPr>
          <w:rFonts w:eastAsia="Verdana"/>
          <w:color w:val="000000"/>
          <w:szCs w:val="24"/>
        </w:rPr>
        <w:t xml:space="preserve"> </w:t>
      </w:r>
      <w:r w:rsidR="002238AE" w:rsidRPr="009255AD">
        <w:rPr>
          <w:rFonts w:eastAsia="Verdana"/>
          <w:color w:val="000000"/>
          <w:szCs w:val="24"/>
        </w:rPr>
        <w:t xml:space="preserve">množství léčivé látky. </w:t>
      </w:r>
      <w:r w:rsidR="00826F0C" w:rsidRPr="009255AD">
        <w:rPr>
          <w:rFonts w:eastAsia="Verdana"/>
          <w:color w:val="000000"/>
          <w:szCs w:val="22"/>
        </w:rPr>
        <w:t>Maximální rozpustnost přípravku ve vodě při nejméně 10 </w:t>
      </w:r>
      <w:r w:rsidR="004563E5" w:rsidRPr="009255AD">
        <w:rPr>
          <w:rFonts w:eastAsia="Verdana"/>
          <w:color w:val="000000"/>
          <w:szCs w:val="22"/>
        </w:rPr>
        <w:t>°C</w:t>
      </w:r>
      <w:r w:rsidR="00826F0C" w:rsidRPr="009255AD">
        <w:rPr>
          <w:rFonts w:eastAsia="Verdana"/>
          <w:color w:val="000000"/>
          <w:szCs w:val="22"/>
        </w:rPr>
        <w:t xml:space="preserve"> je přibližně 6 g/l </w:t>
      </w:r>
      <w:r w:rsidRPr="009255AD">
        <w:rPr>
          <w:rFonts w:eastAsia="Verdana"/>
          <w:color w:val="000000"/>
          <w:szCs w:val="22"/>
        </w:rPr>
        <w:t>během</w:t>
      </w:r>
      <w:r w:rsidR="00826F0C" w:rsidRPr="009255AD">
        <w:rPr>
          <w:rFonts w:eastAsia="Verdana"/>
          <w:color w:val="000000"/>
          <w:szCs w:val="22"/>
        </w:rPr>
        <w:t xml:space="preserve"> 10 minut. Při nižších teplotách (4 °C) je maximální rozpustnost přibližně 5 g/l během 10 minut.</w:t>
      </w:r>
    </w:p>
    <w:p w14:paraId="4622DD6E" w14:textId="5D59C050" w:rsidR="001C03C4" w:rsidRPr="007E350D" w:rsidRDefault="001C03C4" w:rsidP="00D67703">
      <w:pPr>
        <w:widowControl w:val="0"/>
        <w:tabs>
          <w:tab w:val="left" w:pos="-1985"/>
        </w:tabs>
        <w:spacing w:line="240" w:lineRule="auto"/>
        <w:ind w:hanging="22"/>
        <w:jc w:val="both"/>
        <w:rPr>
          <w:snapToGrid w:val="0"/>
        </w:rPr>
      </w:pPr>
      <w:r w:rsidRPr="007E350D">
        <w:rPr>
          <w:snapToGrid w:val="0"/>
        </w:rPr>
        <w:t xml:space="preserve">Vypočítaná dávka by měla být </w:t>
      </w:r>
      <w:r w:rsidR="00D07E9C">
        <w:rPr>
          <w:snapToGrid w:val="0"/>
        </w:rPr>
        <w:t>odvážena</w:t>
      </w:r>
      <w:r w:rsidRPr="007E350D">
        <w:rPr>
          <w:snapToGrid w:val="0"/>
        </w:rPr>
        <w:t xml:space="preserve"> pomocí kalibrovaných </w:t>
      </w:r>
      <w:r w:rsidR="00D07E9C">
        <w:rPr>
          <w:snapToGrid w:val="0"/>
        </w:rPr>
        <w:t>vah</w:t>
      </w:r>
      <w:r w:rsidRPr="007E350D">
        <w:rPr>
          <w:snapToGrid w:val="0"/>
        </w:rPr>
        <w:t xml:space="preserve">. </w:t>
      </w:r>
    </w:p>
    <w:p w14:paraId="3C49BC0B" w14:textId="5733AAC2" w:rsidR="00C55CB7" w:rsidRPr="00D67703" w:rsidRDefault="001C03C4" w:rsidP="00D67703">
      <w:pPr>
        <w:widowControl w:val="0"/>
        <w:tabs>
          <w:tab w:val="left" w:pos="-1985"/>
        </w:tabs>
        <w:spacing w:line="240" w:lineRule="auto"/>
        <w:ind w:hanging="22"/>
        <w:jc w:val="both"/>
        <w:rPr>
          <w:snapToGrid w:val="0"/>
        </w:rPr>
      </w:pPr>
      <w:r w:rsidRPr="007E350D">
        <w:rPr>
          <w:snapToGrid w:val="0"/>
        </w:rPr>
        <w:t>U zásobních roztoků a při použití dávkovače dávejte pozor, abyste nepřekročili maximální rozpustnost, kterou lze za daných podmínek dosáhnout. Upravte nastavení průtoku dávkovacího čerpadla podle koncentrace zásobního roztoku a příjmu vody zvířat, která mají být léčena.</w:t>
      </w:r>
    </w:p>
    <w:p w14:paraId="4AD54B85" w14:textId="77777777" w:rsidR="00320E1D" w:rsidRPr="009255AD" w:rsidRDefault="00320E1D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3BF0056" w14:textId="77777777" w:rsidR="00480436" w:rsidRPr="009255AD" w:rsidRDefault="00480436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t>9.</w:t>
      </w:r>
      <w:r w:rsidRPr="009255AD">
        <w:tab/>
      </w:r>
      <w:r w:rsidRPr="009255AD">
        <w:rPr>
          <w:b/>
        </w:rPr>
        <w:t>POKYNY PRO SPRÁVNÉ PODÁNÍ</w:t>
      </w:r>
    </w:p>
    <w:p w14:paraId="017CC6FA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EA0F4E" w14:textId="77777777" w:rsidR="00480436" w:rsidRPr="009255AD" w:rsidRDefault="00096647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 xml:space="preserve">Viz bod 8. </w:t>
      </w:r>
    </w:p>
    <w:p w14:paraId="7059FCCD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44252B" w14:textId="3E61F5D1" w:rsidR="00480436" w:rsidRPr="009255AD" w:rsidRDefault="00480436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t>10.</w:t>
      </w:r>
      <w:r w:rsidRPr="009255AD">
        <w:tab/>
      </w:r>
      <w:r w:rsidRPr="009255AD">
        <w:rPr>
          <w:b/>
        </w:rPr>
        <w:t>OCHRANN</w:t>
      </w:r>
      <w:r w:rsidR="0010660F">
        <w:rPr>
          <w:b/>
        </w:rPr>
        <w:t>É</w:t>
      </w:r>
      <w:r w:rsidRPr="009255AD">
        <w:rPr>
          <w:b/>
        </w:rPr>
        <w:t xml:space="preserve"> LHŮT</w:t>
      </w:r>
      <w:r w:rsidR="0010660F">
        <w:rPr>
          <w:b/>
        </w:rPr>
        <w:t>Y</w:t>
      </w:r>
    </w:p>
    <w:p w14:paraId="1C52B904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bookmarkStart w:id="0" w:name="_GoBack"/>
      <w:bookmarkEnd w:id="0"/>
    </w:p>
    <w:p w14:paraId="2C90927D" w14:textId="3FC91C67" w:rsidR="00480436" w:rsidRPr="009255AD" w:rsidRDefault="002238AE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255AD">
        <w:t>Kur domácí</w:t>
      </w:r>
      <w:r w:rsidR="00480436" w:rsidRPr="009255AD">
        <w:t xml:space="preserve"> (maso</w:t>
      </w:r>
      <w:r w:rsidRPr="009255AD">
        <w:t xml:space="preserve">):       </w:t>
      </w:r>
      <w:r w:rsidR="00480436" w:rsidRPr="009255AD">
        <w:t>1 den</w:t>
      </w:r>
    </w:p>
    <w:p w14:paraId="41509C8D" w14:textId="38DE6102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255AD">
        <w:t>Kachny (maso):              9 dn</w:t>
      </w:r>
      <w:r w:rsidR="00D807CD">
        <w:t>ů</w:t>
      </w:r>
    </w:p>
    <w:p w14:paraId="4C92B094" w14:textId="11CCD83B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9255AD">
        <w:t>Krůty (maso</w:t>
      </w:r>
      <w:r w:rsidR="00421850">
        <w:t>)</w:t>
      </w:r>
      <w:r w:rsidRPr="009255AD">
        <w:t>:                 5 dn</w:t>
      </w:r>
      <w:r w:rsidR="00D807CD">
        <w:t>ů</w:t>
      </w:r>
    </w:p>
    <w:p w14:paraId="382ED00C" w14:textId="77777777" w:rsidR="00513153" w:rsidRDefault="00513153" w:rsidP="00D67703">
      <w:pPr>
        <w:tabs>
          <w:tab w:val="clear" w:pos="567"/>
        </w:tabs>
        <w:spacing w:line="240" w:lineRule="auto"/>
        <w:jc w:val="both"/>
      </w:pPr>
      <w:r>
        <w:t>Nepoužívat u nosnic snášejících nebo určených ke snášce vajec pro lidskou spotřebu.</w:t>
      </w:r>
    </w:p>
    <w:p w14:paraId="73BFD499" w14:textId="77777777" w:rsidR="00C55CB7" w:rsidRDefault="00513153" w:rsidP="00D67703">
      <w:pPr>
        <w:tabs>
          <w:tab w:val="clear" w:pos="567"/>
        </w:tabs>
        <w:spacing w:line="240" w:lineRule="auto"/>
        <w:jc w:val="both"/>
      </w:pPr>
      <w:r>
        <w:t xml:space="preserve">Nepoužívat během 3 týdnů před počátkem snášky. </w:t>
      </w:r>
    </w:p>
    <w:p w14:paraId="642F108C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C9AC8A9" w14:textId="77777777" w:rsidR="00480436" w:rsidRPr="009255AD" w:rsidRDefault="00480436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t>11.</w:t>
      </w:r>
      <w:r w:rsidRPr="009255AD">
        <w:tab/>
      </w:r>
      <w:r w:rsidRPr="009255AD">
        <w:rPr>
          <w:b/>
        </w:rPr>
        <w:t>ZVLÁŠTNÍ OPATŘENÍ PRO UCHOVÁVÁNÍ</w:t>
      </w:r>
    </w:p>
    <w:p w14:paraId="5910FA9F" w14:textId="77777777" w:rsidR="00480436" w:rsidRPr="009255AD" w:rsidRDefault="00480436" w:rsidP="00D6770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7B6B9015" w14:textId="4CEFB525" w:rsidR="00480436" w:rsidRPr="009255AD" w:rsidRDefault="00480436" w:rsidP="00D6770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 xml:space="preserve">Uchovávat mimo </w:t>
      </w:r>
      <w:r w:rsidR="0010660F" w:rsidRPr="0010660F">
        <w:t>dohled a</w:t>
      </w:r>
      <w:r w:rsidR="0010660F">
        <w:t xml:space="preserve"> </w:t>
      </w:r>
      <w:r w:rsidRPr="009255AD">
        <w:t>dosah dětí.</w:t>
      </w:r>
    </w:p>
    <w:p w14:paraId="68836C2A" w14:textId="77777777" w:rsidR="00480436" w:rsidRPr="009255AD" w:rsidRDefault="00480436" w:rsidP="00D67703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D96EE3" w14:textId="053C0EBF" w:rsidR="00480436" w:rsidRPr="009255AD" w:rsidRDefault="004563E5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>Po prvním otevření u</w:t>
      </w:r>
      <w:r w:rsidR="00480436" w:rsidRPr="009255AD">
        <w:t xml:space="preserve">chovávejte </w:t>
      </w:r>
      <w:r w:rsidRPr="009255AD">
        <w:t>sáček</w:t>
      </w:r>
      <w:r w:rsidR="00480436" w:rsidRPr="009255AD">
        <w:t xml:space="preserve"> těsně uzavřený</w:t>
      </w:r>
      <w:r w:rsidRPr="009255AD">
        <w:t>,</w:t>
      </w:r>
      <w:r w:rsidR="00480436" w:rsidRPr="009255AD">
        <w:t xml:space="preserve"> aby byl </w:t>
      </w:r>
      <w:r w:rsidRPr="009255AD">
        <w:t xml:space="preserve">obsah </w:t>
      </w:r>
      <w:r w:rsidR="00480436" w:rsidRPr="009255AD">
        <w:t xml:space="preserve">chráněn před </w:t>
      </w:r>
      <w:r w:rsidRPr="009255AD">
        <w:t xml:space="preserve">okolní </w:t>
      </w:r>
      <w:r w:rsidR="00480436" w:rsidRPr="009255AD">
        <w:t>vlhkostí.</w:t>
      </w:r>
    </w:p>
    <w:p w14:paraId="747FB5F4" w14:textId="24830C8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745A62" w14:textId="00863034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lastRenderedPageBreak/>
        <w:t xml:space="preserve">Nepoužívejte tento veterinární léčivý přípravek po uplynutí doby použitelnosti uvedené na etiketě </w:t>
      </w:r>
      <w:r w:rsidR="00EB031A">
        <w:t>po</w:t>
      </w:r>
      <w:r w:rsidR="00EB031A" w:rsidRPr="009255AD">
        <w:t xml:space="preserve"> </w:t>
      </w:r>
      <w:r w:rsidRPr="009255AD">
        <w:t xml:space="preserve">EXP. Doba použitelnosti </w:t>
      </w:r>
      <w:r w:rsidR="00EB031A">
        <w:t>končí posledním dnem v uvedeném měsíci</w:t>
      </w:r>
      <w:r w:rsidRPr="009255AD">
        <w:t>.</w:t>
      </w:r>
    </w:p>
    <w:p w14:paraId="24BC4E79" w14:textId="52845861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1B4EDF" w14:textId="36F3DCFC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 xml:space="preserve">Doba použitelnosti po prvním otevření sáčku: 3 </w:t>
      </w:r>
      <w:r w:rsidR="00EB031A" w:rsidRPr="009255AD">
        <w:t>měsíc</w:t>
      </w:r>
      <w:r w:rsidR="00EB031A">
        <w:t>e</w:t>
      </w:r>
      <w:r w:rsidRPr="009255AD">
        <w:t>.</w:t>
      </w:r>
    </w:p>
    <w:p w14:paraId="1DADB5D4" w14:textId="50A82F82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t xml:space="preserve">Doba použitelnosti po </w:t>
      </w:r>
      <w:r w:rsidR="00EB031A">
        <w:t>rozpuštění</w:t>
      </w:r>
      <w:r w:rsidR="00EB031A" w:rsidRPr="009255AD">
        <w:t xml:space="preserve"> </w:t>
      </w:r>
      <w:r w:rsidRPr="009255AD">
        <w:t xml:space="preserve">nebo rekonstituci podle </w:t>
      </w:r>
      <w:r w:rsidR="00EB031A">
        <w:t>návodu</w:t>
      </w:r>
      <w:r w:rsidRPr="009255AD">
        <w:t>: 12 hodin</w:t>
      </w:r>
      <w:r w:rsidR="00EB031A">
        <w:t>.</w:t>
      </w:r>
    </w:p>
    <w:p w14:paraId="2C20FCAE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8A5ADC" w14:textId="77777777" w:rsidR="00480436" w:rsidRPr="009255AD" w:rsidRDefault="00480436" w:rsidP="00D67703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D67703">
        <w:rPr>
          <w:b/>
          <w:highlight w:val="lightGray"/>
        </w:rPr>
        <w:t>12.</w:t>
      </w:r>
      <w:r w:rsidRPr="009255AD">
        <w:tab/>
      </w:r>
      <w:r w:rsidRPr="009255AD">
        <w:rPr>
          <w:b/>
        </w:rPr>
        <w:t>ZVLÁŠTNÍ UPOZORNĚNÍ</w:t>
      </w:r>
    </w:p>
    <w:p w14:paraId="3ECC4D83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C67F25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255AD">
        <w:rPr>
          <w:u w:val="single"/>
        </w:rPr>
        <w:t>Zvláštní opatření pro použití u zvířat</w:t>
      </w:r>
      <w:r w:rsidRPr="009255AD">
        <w:t>:</w:t>
      </w:r>
    </w:p>
    <w:p w14:paraId="7D44DC3E" w14:textId="22DA9B0D" w:rsidR="00FF5558" w:rsidRDefault="00882ABF" w:rsidP="00D67703">
      <w:pPr>
        <w:tabs>
          <w:tab w:val="left" w:pos="720"/>
        </w:tabs>
        <w:spacing w:line="240" w:lineRule="auto"/>
        <w:jc w:val="both"/>
      </w:pPr>
      <w:r w:rsidRPr="00BE49B6">
        <w:t xml:space="preserve">Při použití přípravku je nutno </w:t>
      </w:r>
      <w:r>
        <w:t>vzít v úvahu</w:t>
      </w:r>
      <w:r w:rsidRPr="00BE49B6">
        <w:t xml:space="preserve"> oficiální, národní a regionální </w:t>
      </w:r>
      <w:r>
        <w:t>pravidla antibiotické politiky</w:t>
      </w:r>
      <w:r w:rsidRPr="00BE49B6">
        <w:t>.</w:t>
      </w:r>
      <w:r w:rsidR="00FF5558">
        <w:t xml:space="preserve"> </w:t>
      </w:r>
      <w:r w:rsidR="00826F0C" w:rsidRPr="009255AD">
        <w:t xml:space="preserve">Použití přípravku </w:t>
      </w:r>
      <w:r>
        <w:t>by mělo</w:t>
      </w:r>
      <w:r w:rsidRPr="009255AD">
        <w:t xml:space="preserve"> </w:t>
      </w:r>
      <w:r w:rsidR="00826F0C" w:rsidRPr="009255AD">
        <w:t>být založeno na</w:t>
      </w:r>
      <w:r w:rsidR="00D807CD">
        <w:t xml:space="preserve"> výsledku</w:t>
      </w:r>
      <w:r w:rsidR="00826F0C" w:rsidRPr="009255AD">
        <w:t xml:space="preserve"> testování </w:t>
      </w:r>
      <w:r>
        <w:t xml:space="preserve">citlivosti </w:t>
      </w:r>
      <w:r w:rsidR="00826F0C" w:rsidRPr="009255AD">
        <w:t>bakterií izolovaných ze zvířete. Pokud to není možné, je nutné založit terapii na místních (regionální</w:t>
      </w:r>
      <w:r w:rsidR="004563E5" w:rsidRPr="009255AD">
        <w:t>ch</w:t>
      </w:r>
      <w:r w:rsidR="00826F0C" w:rsidRPr="009255AD">
        <w:t xml:space="preserve">, na úrovni </w:t>
      </w:r>
      <w:r w:rsidR="00FF5558">
        <w:t>farmy</w:t>
      </w:r>
      <w:r w:rsidR="00826F0C" w:rsidRPr="009255AD">
        <w:t xml:space="preserve">) </w:t>
      </w:r>
      <w:proofErr w:type="spellStart"/>
      <w:r w:rsidR="00FF5558" w:rsidRPr="009255AD">
        <w:t>epi</w:t>
      </w:r>
      <w:r w:rsidR="00FF5558">
        <w:t>zootologických</w:t>
      </w:r>
      <w:proofErr w:type="spellEnd"/>
      <w:r w:rsidR="00FF5558" w:rsidRPr="009255AD">
        <w:t xml:space="preserve"> </w:t>
      </w:r>
      <w:r w:rsidR="00826F0C" w:rsidRPr="009255AD">
        <w:t>informacích o citlivosti cílov</w:t>
      </w:r>
      <w:r>
        <w:t>ých</w:t>
      </w:r>
      <w:r w:rsidR="00826F0C" w:rsidRPr="009255AD">
        <w:t xml:space="preserve"> bakteri</w:t>
      </w:r>
      <w:r>
        <w:t>í</w:t>
      </w:r>
      <w:r w:rsidR="00826F0C" w:rsidRPr="009255AD">
        <w:t xml:space="preserve">. </w:t>
      </w:r>
      <w:r w:rsidR="00FF5558" w:rsidRPr="00FF5558">
        <w:t xml:space="preserve">Použití přípravku, které je odlišné od pokynů uvedených </w:t>
      </w:r>
      <w:r w:rsidR="00FF5558">
        <w:t>v</w:t>
      </w:r>
      <w:r w:rsidR="00FF5558" w:rsidRPr="00FF5558">
        <w:t xml:space="preserve"> této </w:t>
      </w:r>
      <w:r w:rsidR="00FF5558">
        <w:t>příbalové informaci</w:t>
      </w:r>
      <w:r w:rsidR="00FF5558" w:rsidRPr="00FF5558">
        <w:t>, může zvýšit prevalenci bakterií rezistentních k amoxicilinu a snížit jeho účinnost.</w:t>
      </w:r>
    </w:p>
    <w:p w14:paraId="4102539B" w14:textId="77777777" w:rsidR="00480436" w:rsidRPr="00480436" w:rsidRDefault="00480436" w:rsidP="00D67703">
      <w:pPr>
        <w:tabs>
          <w:tab w:val="left" w:pos="720"/>
        </w:tabs>
        <w:spacing w:line="240" w:lineRule="auto"/>
        <w:jc w:val="both"/>
        <w:rPr>
          <w:szCs w:val="22"/>
        </w:rPr>
      </w:pPr>
    </w:p>
    <w:p w14:paraId="114E3EBF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určené osobám, které podávají veterinární léčivý přípravek zvířatům</w:t>
      </w:r>
      <w:r>
        <w:t>:</w:t>
      </w:r>
    </w:p>
    <w:p w14:paraId="5B0B1F55" w14:textId="782CDD98" w:rsidR="00BF588A" w:rsidRDefault="006C669C">
      <w:pPr>
        <w:tabs>
          <w:tab w:val="clear" w:pos="567"/>
        </w:tabs>
        <w:spacing w:line="240" w:lineRule="auto"/>
        <w:jc w:val="both"/>
      </w:pPr>
      <w:r>
        <w:t xml:space="preserve">Zabraňte </w:t>
      </w:r>
      <w:r w:rsidR="00BF588A">
        <w:t>inhalaci prachových částic přípravku.</w:t>
      </w:r>
    </w:p>
    <w:p w14:paraId="54BDD67F" w14:textId="64BE5213" w:rsidR="00BF588A" w:rsidRDefault="00BF588A">
      <w:pPr>
        <w:tabs>
          <w:tab w:val="clear" w:pos="567"/>
        </w:tabs>
        <w:spacing w:line="240" w:lineRule="auto"/>
        <w:jc w:val="both"/>
      </w:pPr>
      <w:r>
        <w:t xml:space="preserve">Používejte buď jednorázový respirátor </w:t>
      </w:r>
      <w:r w:rsidR="006C669C">
        <w:t xml:space="preserve">s polomaskou vyhovující </w:t>
      </w:r>
      <w:r>
        <w:t xml:space="preserve">evropské normě EN 149, nebo respirátor </w:t>
      </w:r>
      <w:r w:rsidR="006C669C">
        <w:t>na více</w:t>
      </w:r>
      <w:r>
        <w:t xml:space="preserve"> použití </w:t>
      </w:r>
      <w:r w:rsidR="006C669C">
        <w:t xml:space="preserve">podle </w:t>
      </w:r>
      <w:r>
        <w:t>evropské norm</w:t>
      </w:r>
      <w:r w:rsidR="006C669C">
        <w:t>y</w:t>
      </w:r>
      <w:r>
        <w:t xml:space="preserve"> EN 140 s filtrem podle normy EN 143.</w:t>
      </w:r>
    </w:p>
    <w:p w14:paraId="11DA9F14" w14:textId="77777777" w:rsidR="00BF588A" w:rsidRDefault="00BF588A">
      <w:pPr>
        <w:tabs>
          <w:tab w:val="clear" w:pos="567"/>
        </w:tabs>
        <w:spacing w:line="240" w:lineRule="auto"/>
        <w:jc w:val="both"/>
      </w:pPr>
    </w:p>
    <w:p w14:paraId="46E4675F" w14:textId="1D7BEA17" w:rsidR="00BF588A" w:rsidRDefault="006C669C">
      <w:pPr>
        <w:tabs>
          <w:tab w:val="clear" w:pos="567"/>
        </w:tabs>
        <w:spacing w:line="240" w:lineRule="auto"/>
        <w:jc w:val="both"/>
      </w:pPr>
      <w:r>
        <w:t xml:space="preserve">Peniciliny </w:t>
      </w:r>
      <w:r w:rsidR="00BF588A">
        <w:t xml:space="preserve">a cefalosporiny mohou </w:t>
      </w:r>
      <w:r w:rsidR="00D46778" w:rsidRPr="00174E5E">
        <w:t xml:space="preserve">po injekci, inhalaci, požití nebo </w:t>
      </w:r>
      <w:r w:rsidR="00D46778">
        <w:t xml:space="preserve">kontaktu </w:t>
      </w:r>
      <w:r w:rsidR="00D46778" w:rsidRPr="00174E5E">
        <w:t>s kůž</w:t>
      </w:r>
      <w:r w:rsidR="00D46778">
        <w:t xml:space="preserve">í </w:t>
      </w:r>
      <w:r w:rsidR="00BF588A">
        <w:t xml:space="preserve">vyvolat </w:t>
      </w:r>
      <w:r w:rsidR="001C03C4" w:rsidRPr="00174E5E">
        <w:t>přecitlivělost (alergi</w:t>
      </w:r>
      <w:r w:rsidR="00D46778">
        <w:t>i</w:t>
      </w:r>
      <w:r w:rsidR="001C03C4" w:rsidRPr="00174E5E">
        <w:t>)</w:t>
      </w:r>
      <w:r w:rsidR="00BF588A">
        <w:t xml:space="preserve">, které mohou být příležitostně vážné. Přecitlivělost na peniciliny může vést ke zkříženým reakcím s cefalosporiny a naopak. V případě náhodného </w:t>
      </w:r>
      <w:r w:rsidR="00D46778">
        <w:t xml:space="preserve">kontaktu s </w:t>
      </w:r>
      <w:r w:rsidR="00BF588A">
        <w:t>oč</w:t>
      </w:r>
      <w:r w:rsidR="00D46778">
        <w:t>ima</w:t>
      </w:r>
      <w:r w:rsidR="00BF588A">
        <w:t xml:space="preserve"> nebo kůž</w:t>
      </w:r>
      <w:r w:rsidR="00D46778">
        <w:t>í</w:t>
      </w:r>
      <w:r w:rsidR="00BF588A">
        <w:t xml:space="preserve"> </w:t>
      </w:r>
      <w:r w:rsidR="00D46778">
        <w:t xml:space="preserve">je </w:t>
      </w:r>
      <w:r w:rsidR="00BF588A">
        <w:t xml:space="preserve">ihned opláchněte vodou. Nemanipulujte s přípravkem, pokud víte, že jste přecitlivělí, nebo pokud vám bylo doporučeno s přípravky tohoto typu nepracovat. Při manipulaci s přípravkem dodržujte všechna doporučená bezpečnostní opatření a buďte maximálně obezřetní, aby nedošlo k přímému kontaktu. Pokud se </w:t>
      </w:r>
      <w:r w:rsidR="00D46778">
        <w:t xml:space="preserve">u vás objeví </w:t>
      </w:r>
      <w:proofErr w:type="spellStart"/>
      <w:r w:rsidR="00D46778">
        <w:t>postexpoziční</w:t>
      </w:r>
      <w:proofErr w:type="spellEnd"/>
      <w:r w:rsidR="00D46778">
        <w:t xml:space="preserve"> </w:t>
      </w:r>
      <w:r w:rsidR="00BF588A">
        <w:t>příznaky</w:t>
      </w:r>
      <w:r w:rsidR="00D46778">
        <w:t>,</w:t>
      </w:r>
      <w:r w:rsidR="00BF588A">
        <w:t xml:space="preserve"> jako např. </w:t>
      </w:r>
      <w:r w:rsidR="00D46778">
        <w:t xml:space="preserve">kožní </w:t>
      </w:r>
      <w:r w:rsidR="00BF588A">
        <w:t>vyrážka, vyhledejte lékařskou pomoc a</w:t>
      </w:r>
      <w:r w:rsidR="00916791">
        <w:t> </w:t>
      </w:r>
      <w:r w:rsidR="00BF588A">
        <w:t>ukažte lékaři toto upozornění. Otok obličeje, rtů, očí nebo potíže s dýcháním jsou vážné příznaky a</w:t>
      </w:r>
      <w:r w:rsidR="00916791">
        <w:t> </w:t>
      </w:r>
      <w:r w:rsidR="00BF588A">
        <w:t>vyžadují okamžit</w:t>
      </w:r>
      <w:r w:rsidR="00D46778">
        <w:t>ou</w:t>
      </w:r>
      <w:r w:rsidR="00BF588A">
        <w:t xml:space="preserve"> lékařs</w:t>
      </w:r>
      <w:r w:rsidR="00916791">
        <w:t>k</w:t>
      </w:r>
      <w:r w:rsidR="00D46778">
        <w:t>ou</w:t>
      </w:r>
      <w:r w:rsidR="00BF588A">
        <w:t xml:space="preserve"> </w:t>
      </w:r>
      <w:r w:rsidR="00D46778">
        <w:t>pomoc</w:t>
      </w:r>
      <w:r w:rsidR="00BF588A">
        <w:t>. Po použití si umyjte ruce.</w:t>
      </w:r>
    </w:p>
    <w:p w14:paraId="419E728C" w14:textId="77777777" w:rsidR="00480436" w:rsidRPr="009255AD" w:rsidRDefault="0048043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9D3B53" w14:textId="10AB647D" w:rsidR="00480436" w:rsidRPr="009255AD" w:rsidRDefault="005534BC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S</w:t>
      </w:r>
      <w:r w:rsidR="00480436" w:rsidRPr="009255AD">
        <w:rPr>
          <w:u w:val="single"/>
        </w:rPr>
        <w:t>nášk</w:t>
      </w:r>
      <w:r w:rsidR="00F0463E">
        <w:rPr>
          <w:u w:val="single"/>
        </w:rPr>
        <w:t>a</w:t>
      </w:r>
      <w:r w:rsidR="00480436" w:rsidRPr="009255AD">
        <w:t>: Laboratorní studie u potkanů nepřinesly žádný důkaz o teratogenní</w:t>
      </w:r>
      <w:r w:rsidR="00D807CD">
        <w:t>m</w:t>
      </w:r>
      <w:r w:rsidR="00480436" w:rsidRPr="009255AD">
        <w:t xml:space="preserve"> účinku vyvolaném podáním amoxicilinu. Použít pouze po zvážení terapeutického prospěchu a rizika odpovědným veterinárním lékařem.</w:t>
      </w:r>
    </w:p>
    <w:p w14:paraId="08F9D086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C15169" w14:textId="7152B446" w:rsidR="00480436" w:rsidRDefault="00480436" w:rsidP="00D67703">
      <w:pPr>
        <w:tabs>
          <w:tab w:val="clear" w:pos="567"/>
        </w:tabs>
        <w:spacing w:line="240" w:lineRule="auto"/>
        <w:jc w:val="both"/>
      </w:pPr>
      <w:r w:rsidRPr="009255AD">
        <w:rPr>
          <w:u w:val="single"/>
        </w:rPr>
        <w:t>Interakce s dalšími léčivými přípravky a další formy interakce:</w:t>
      </w:r>
      <w:r w:rsidRPr="009255AD">
        <w:t xml:space="preserve"> Přípravek by neměl být podáván s antibiotiky, která mají bakteriostatický účinek, jako jsou </w:t>
      </w:r>
      <w:r w:rsidR="005C745D" w:rsidRPr="009255AD">
        <w:t xml:space="preserve">tetracykliny, </w:t>
      </w:r>
      <w:proofErr w:type="spellStart"/>
      <w:r w:rsidR="005C745D" w:rsidRPr="009255AD">
        <w:t>makrolidy</w:t>
      </w:r>
      <w:proofErr w:type="spellEnd"/>
      <w:r w:rsidR="005C745D" w:rsidRPr="009255AD">
        <w:t xml:space="preserve"> a sulfonamidy</w:t>
      </w:r>
      <w:r w:rsidRPr="009255AD">
        <w:t>.</w:t>
      </w:r>
    </w:p>
    <w:p w14:paraId="0CDADDAA" w14:textId="52DA319C" w:rsidR="001C03C4" w:rsidRPr="009255AD" w:rsidRDefault="001C03C4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74E5E">
        <w:rPr>
          <w:szCs w:val="24"/>
        </w:rPr>
        <w:t>K synergii dochází u ß-</w:t>
      </w:r>
      <w:proofErr w:type="spellStart"/>
      <w:r w:rsidRPr="00174E5E">
        <w:rPr>
          <w:szCs w:val="24"/>
        </w:rPr>
        <w:t>laktamových</w:t>
      </w:r>
      <w:proofErr w:type="spellEnd"/>
      <w:r w:rsidRPr="00174E5E">
        <w:rPr>
          <w:szCs w:val="24"/>
        </w:rPr>
        <w:t xml:space="preserve"> antibiotik a aminoglykosidů.</w:t>
      </w:r>
    </w:p>
    <w:p w14:paraId="7D5D13D7" w14:textId="77777777" w:rsidR="00480436" w:rsidRPr="009255AD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CF121E" w14:textId="77777777" w:rsidR="00480436" w:rsidRPr="00480436" w:rsidRDefault="00480436" w:rsidP="00D67703">
      <w:pPr>
        <w:tabs>
          <w:tab w:val="left" w:pos="-1440"/>
          <w:tab w:val="left" w:pos="720"/>
        </w:tabs>
        <w:jc w:val="both"/>
        <w:rPr>
          <w:snapToGrid w:val="0"/>
          <w:szCs w:val="22"/>
        </w:rPr>
      </w:pPr>
      <w:r w:rsidRPr="009255AD">
        <w:rPr>
          <w:u w:val="single"/>
        </w:rPr>
        <w:t xml:space="preserve">Předávkování (symptomy, první pomoc, </w:t>
      </w:r>
      <w:proofErr w:type="spellStart"/>
      <w:r w:rsidRPr="009255AD">
        <w:rPr>
          <w:u w:val="single"/>
        </w:rPr>
        <w:t>antidota</w:t>
      </w:r>
      <w:proofErr w:type="spellEnd"/>
      <w:r w:rsidRPr="009255AD">
        <w:rPr>
          <w:u w:val="single"/>
        </w:rPr>
        <w:t>)</w:t>
      </w:r>
      <w:r w:rsidRPr="009255AD">
        <w:t>: Nejsou známy.</w:t>
      </w:r>
    </w:p>
    <w:p w14:paraId="00F70236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9DB639" w14:textId="306C9E6C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Inkompatibility</w:t>
      </w:r>
      <w:r>
        <w:t xml:space="preserve">: Studie kompatibility nejsou k dispozici, a proto tento veterinární léčivý přípravek nesmí být </w:t>
      </w:r>
      <w:r w:rsidR="00EB031A">
        <w:t xml:space="preserve">mísen </w:t>
      </w:r>
      <w:r>
        <w:t>s</w:t>
      </w:r>
      <w:r w:rsidR="00EB031A">
        <w:t xml:space="preserve"> žádnými dalšími </w:t>
      </w:r>
      <w:r>
        <w:t>veterinárními léčivými přípravky.</w:t>
      </w:r>
    </w:p>
    <w:p w14:paraId="51645BD8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245955" w14:textId="77777777" w:rsidR="00480436" w:rsidRPr="00480436" w:rsidRDefault="00480436" w:rsidP="00D67703">
      <w:pPr>
        <w:keepNext/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  <w:r w:rsidRPr="00D67703">
        <w:rPr>
          <w:b/>
          <w:highlight w:val="lightGray"/>
        </w:rPr>
        <w:t>13.</w:t>
      </w:r>
      <w:r>
        <w:tab/>
      </w:r>
      <w:r>
        <w:rPr>
          <w:b/>
        </w:rPr>
        <w:t>ZVLÁŠTNÍ OPATŘENÍ PRO ZNEŠKODŇOVÁNÍ NEPOUŽITÝCH PŘÍPRAVKŮ NEBO ODPADU, POKUD JE JICH TŘEBA</w:t>
      </w:r>
    </w:p>
    <w:p w14:paraId="1783C43C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0BE7AC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Všechen nepoužitý veterinární léčivý přípravek nebo odpad, který pochází z tohoto přípravku, musí být likvidován podle místních právních předpisů.</w:t>
      </w:r>
    </w:p>
    <w:p w14:paraId="24C37BF7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777B55" w14:textId="77777777" w:rsidR="00480436" w:rsidRPr="00480436" w:rsidRDefault="00480436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rPr>
          <w:b/>
          <w:highlight w:val="lightGray"/>
        </w:rPr>
        <w:t>14.</w:t>
      </w:r>
      <w:r>
        <w:tab/>
      </w:r>
      <w:r>
        <w:rPr>
          <w:b/>
        </w:rPr>
        <w:t>DATUM POSLEDNÍ REVIZE PŘÍBALOVÉ INFORMACE</w:t>
      </w:r>
    </w:p>
    <w:p w14:paraId="54C36C74" w14:textId="77777777" w:rsid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DD2887" w14:textId="70AB3A8D" w:rsidR="00F0463E" w:rsidRPr="00480436" w:rsidRDefault="00F0463E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Říjen 2020</w:t>
      </w:r>
    </w:p>
    <w:p w14:paraId="04A115F8" w14:textId="77777777" w:rsidR="00D807CD" w:rsidRPr="00480436" w:rsidRDefault="00D807CD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3B5106" w14:textId="77777777" w:rsidR="00480436" w:rsidRDefault="00480436" w:rsidP="00D67703">
      <w:pPr>
        <w:keepNext/>
        <w:tabs>
          <w:tab w:val="clear" w:pos="567"/>
        </w:tabs>
        <w:spacing w:line="240" w:lineRule="auto"/>
        <w:jc w:val="both"/>
        <w:rPr>
          <w:b/>
        </w:rPr>
      </w:pPr>
      <w:r w:rsidRPr="00D67703">
        <w:rPr>
          <w:b/>
          <w:highlight w:val="lightGray"/>
        </w:rPr>
        <w:lastRenderedPageBreak/>
        <w:t>15.</w:t>
      </w:r>
      <w:r>
        <w:tab/>
      </w:r>
      <w:r>
        <w:rPr>
          <w:b/>
        </w:rPr>
        <w:t>DALŠÍ INFORMACE</w:t>
      </w:r>
    </w:p>
    <w:p w14:paraId="1AFDD19D" w14:textId="77777777" w:rsidR="00F0463E" w:rsidRDefault="00F0463E" w:rsidP="00D67703">
      <w:pPr>
        <w:keepNext/>
        <w:tabs>
          <w:tab w:val="clear" w:pos="567"/>
        </w:tabs>
        <w:spacing w:line="240" w:lineRule="auto"/>
        <w:jc w:val="both"/>
        <w:rPr>
          <w:b/>
        </w:rPr>
      </w:pPr>
    </w:p>
    <w:p w14:paraId="4C185B5D" w14:textId="0DB95BA7" w:rsidR="00F0463E" w:rsidRPr="00F0463E" w:rsidRDefault="00F0463E" w:rsidP="00D6770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D67703">
        <w:t>Pouze pro zvířata.</w:t>
      </w:r>
    </w:p>
    <w:p w14:paraId="47C783CE" w14:textId="77777777" w:rsidR="00F0463E" w:rsidRPr="005F11CB" w:rsidRDefault="00F0463E" w:rsidP="00D67703">
      <w:pPr>
        <w:tabs>
          <w:tab w:val="clear" w:pos="567"/>
        </w:tabs>
        <w:spacing w:line="240" w:lineRule="auto"/>
        <w:jc w:val="both"/>
        <w:rPr>
          <w:rFonts w:eastAsia="SimSun"/>
          <w:b/>
          <w:szCs w:val="22"/>
        </w:rPr>
      </w:pPr>
      <w:r w:rsidRPr="00F0463E">
        <w:t>Veterinární léčivý přípravek</w:t>
      </w:r>
      <w:r>
        <w:t xml:space="preserve"> je vydáván pouze na předpis.</w:t>
      </w:r>
    </w:p>
    <w:p w14:paraId="1AA033B1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EBBEFB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100 g, 250 g, 500 g a 1 kg</w:t>
      </w:r>
    </w:p>
    <w:p w14:paraId="050A6713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14:paraId="7B20E6BE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40F29F" w14:textId="77777777" w:rsidR="00480436" w:rsidRPr="00480436" w:rsidRDefault="00480436" w:rsidP="00D67703">
      <w:pPr>
        <w:tabs>
          <w:tab w:val="clear" w:pos="567"/>
        </w:tabs>
        <w:spacing w:line="240" w:lineRule="auto"/>
        <w:jc w:val="both"/>
        <w:rPr>
          <w:rFonts w:ascii="Arial" w:eastAsia="Calibri" w:hAnsi="Arial" w:cs="Arial"/>
          <w:szCs w:val="22"/>
        </w:rPr>
      </w:pPr>
      <w:r w:rsidRPr="004D009E">
        <w:rPr>
          <w:highlight w:val="lightGray"/>
        </w:rPr>
        <w:t>Pokud chcete získat informace o tomto veterinárním léčivém přípravku, kontaktujte prosím příslušného místního zástupce držitele rozhodnutí o registraci.</w:t>
      </w:r>
    </w:p>
    <w:p w14:paraId="2EA8914F" w14:textId="77777777" w:rsidR="00C114FF" w:rsidRPr="00474C50" w:rsidRDefault="00C114FF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686580" w14:textId="77777777" w:rsidR="005F11CB" w:rsidRDefault="005F11CB" w:rsidP="00D67703">
      <w:pPr>
        <w:jc w:val="both"/>
        <w:rPr>
          <w:rFonts w:eastAsia="SimSun"/>
          <w:sz w:val="18"/>
          <w:szCs w:val="18"/>
        </w:rPr>
      </w:pPr>
    </w:p>
    <w:p w14:paraId="1925BD94" w14:textId="77777777" w:rsidR="00101831" w:rsidRPr="00474C50" w:rsidRDefault="00101831" w:rsidP="00D67703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101831" w:rsidRPr="00474C50" w:rsidSect="007F2F03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78A97" w14:textId="77777777" w:rsidR="00C306B2" w:rsidRDefault="00C306B2">
      <w:r>
        <w:separator/>
      </w:r>
    </w:p>
  </w:endnote>
  <w:endnote w:type="continuationSeparator" w:id="0">
    <w:p w14:paraId="072D8265" w14:textId="77777777" w:rsidR="00C306B2" w:rsidRDefault="00C3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E37C0" w14:textId="280A27EE" w:rsidR="00BA528B" w:rsidRPr="00B94A1B" w:rsidRDefault="00BA52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A765FC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E37B9" w14:textId="77777777" w:rsidR="00BA528B" w:rsidRDefault="00BA528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C9752" w14:textId="77777777" w:rsidR="00C306B2" w:rsidRDefault="00C306B2">
      <w:r>
        <w:separator/>
      </w:r>
    </w:p>
  </w:footnote>
  <w:footnote w:type="continuationSeparator" w:id="0">
    <w:p w14:paraId="3D72F0B7" w14:textId="77777777" w:rsidR="00C306B2" w:rsidRDefault="00C3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70BA" w14:textId="379290DC" w:rsidR="00BA528B" w:rsidRDefault="004172DD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73473BC"/>
    <w:multiLevelType w:val="hybridMultilevel"/>
    <w:tmpl w:val="952E7A66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7C14011"/>
    <w:multiLevelType w:val="hybridMultilevel"/>
    <w:tmpl w:val="0D26D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EC005E"/>
    <w:multiLevelType w:val="hybridMultilevel"/>
    <w:tmpl w:val="A6966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>
    <w:nsid w:val="59B40FE2"/>
    <w:multiLevelType w:val="hybridMultilevel"/>
    <w:tmpl w:val="0A54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F65D8"/>
    <w:multiLevelType w:val="multilevel"/>
    <w:tmpl w:val="A02E932A"/>
    <w:numStyleLink w:val="BulletsAgency"/>
  </w:abstractNum>
  <w:abstractNum w:abstractNumId="29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D23989"/>
    <w:multiLevelType w:val="hybridMultilevel"/>
    <w:tmpl w:val="0D9C5BF8"/>
    <w:lvl w:ilvl="0" w:tplc="7048F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5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7"/>
  </w:num>
  <w:num w:numId="12">
    <w:abstractNumId w:val="16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9"/>
  </w:num>
  <w:num w:numId="22">
    <w:abstractNumId w:val="29"/>
  </w:num>
  <w:num w:numId="23">
    <w:abstractNumId w:val="37"/>
  </w:num>
  <w:num w:numId="24">
    <w:abstractNumId w:val="23"/>
  </w:num>
  <w:num w:numId="25">
    <w:abstractNumId w:val="12"/>
  </w:num>
  <w:num w:numId="26">
    <w:abstractNumId w:val="14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6"/>
  </w:num>
  <w:num w:numId="37">
    <w:abstractNumId w:val="28"/>
  </w:num>
  <w:num w:numId="38">
    <w:abstractNumId w:val="19"/>
  </w:num>
  <w:num w:numId="39">
    <w:abstractNumId w:val="13"/>
  </w:num>
  <w:num w:numId="40">
    <w:abstractNumId w:val="27"/>
  </w:num>
  <w:num w:numId="41">
    <w:abstractNumId w:val="5"/>
  </w:num>
  <w:num w:numId="42">
    <w:abstractNumId w:val="13"/>
  </w:num>
  <w:num w:numId="43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tifa Marouan">
    <w15:presenceInfo w15:providerId="AD" w15:userId="S-1-5-21-866424155-3593848799-2785557441-10990"/>
  </w15:person>
  <w15:person w15:author="Mieke Dalderup">
    <w15:presenceInfo w15:providerId="AD" w15:userId="S-1-5-21-866424155-3593848799-2785557441-13357"/>
  </w15:person>
  <w15:person w15:author="Latifa Marouan [2]">
    <w15:presenceInfo w15:providerId="None" w15:userId="Latifa Marouan"/>
  </w15:person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2C10"/>
    <w:rsid w:val="00015536"/>
    <w:rsid w:val="00021E89"/>
    <w:rsid w:val="00024E21"/>
    <w:rsid w:val="00034D68"/>
    <w:rsid w:val="00036C50"/>
    <w:rsid w:val="00050FF7"/>
    <w:rsid w:val="00052D2B"/>
    <w:rsid w:val="00054F55"/>
    <w:rsid w:val="00062945"/>
    <w:rsid w:val="0008325D"/>
    <w:rsid w:val="000860CE"/>
    <w:rsid w:val="000938A6"/>
    <w:rsid w:val="00096647"/>
    <w:rsid w:val="000A1DF5"/>
    <w:rsid w:val="000B637A"/>
    <w:rsid w:val="000B776A"/>
    <w:rsid w:val="000B7873"/>
    <w:rsid w:val="000C1D4F"/>
    <w:rsid w:val="000D4D52"/>
    <w:rsid w:val="000D67D0"/>
    <w:rsid w:val="000E195C"/>
    <w:rsid w:val="000E30A3"/>
    <w:rsid w:val="000E3602"/>
    <w:rsid w:val="000E5F5B"/>
    <w:rsid w:val="000F38DA"/>
    <w:rsid w:val="000F3D68"/>
    <w:rsid w:val="000F5822"/>
    <w:rsid w:val="000F796B"/>
    <w:rsid w:val="0010031E"/>
    <w:rsid w:val="001012EB"/>
    <w:rsid w:val="00101831"/>
    <w:rsid w:val="0010660F"/>
    <w:rsid w:val="001078D1"/>
    <w:rsid w:val="0011033F"/>
    <w:rsid w:val="0011095D"/>
    <w:rsid w:val="0011548B"/>
    <w:rsid w:val="00115782"/>
    <w:rsid w:val="00124F36"/>
    <w:rsid w:val="00125C80"/>
    <w:rsid w:val="00140DF6"/>
    <w:rsid w:val="00142EC0"/>
    <w:rsid w:val="0014509B"/>
    <w:rsid w:val="00145D34"/>
    <w:rsid w:val="00146284"/>
    <w:rsid w:val="0014690F"/>
    <w:rsid w:val="001510EF"/>
    <w:rsid w:val="00157454"/>
    <w:rsid w:val="001577CC"/>
    <w:rsid w:val="001674D3"/>
    <w:rsid w:val="001803D2"/>
    <w:rsid w:val="00180CE3"/>
    <w:rsid w:val="0018228B"/>
    <w:rsid w:val="00185B50"/>
    <w:rsid w:val="00187DE7"/>
    <w:rsid w:val="00192045"/>
    <w:rsid w:val="00193B14"/>
    <w:rsid w:val="00193E72"/>
    <w:rsid w:val="00195267"/>
    <w:rsid w:val="0019600B"/>
    <w:rsid w:val="0019686E"/>
    <w:rsid w:val="001A28C9"/>
    <w:rsid w:val="001A34BC"/>
    <w:rsid w:val="001A4393"/>
    <w:rsid w:val="001B1C77"/>
    <w:rsid w:val="001C03C4"/>
    <w:rsid w:val="001C5288"/>
    <w:rsid w:val="001C5B03"/>
    <w:rsid w:val="001D5641"/>
    <w:rsid w:val="001F6622"/>
    <w:rsid w:val="001F7EB9"/>
    <w:rsid w:val="002003A3"/>
    <w:rsid w:val="00201805"/>
    <w:rsid w:val="002100FC"/>
    <w:rsid w:val="00213890"/>
    <w:rsid w:val="00214E52"/>
    <w:rsid w:val="002207C0"/>
    <w:rsid w:val="002238AE"/>
    <w:rsid w:val="00226D90"/>
    <w:rsid w:val="00235D75"/>
    <w:rsid w:val="0023676E"/>
    <w:rsid w:val="002414B6"/>
    <w:rsid w:val="002422EB"/>
    <w:rsid w:val="00242397"/>
    <w:rsid w:val="0024511D"/>
    <w:rsid w:val="00250DD1"/>
    <w:rsid w:val="00251183"/>
    <w:rsid w:val="00251689"/>
    <w:rsid w:val="0025267C"/>
    <w:rsid w:val="00253B6B"/>
    <w:rsid w:val="00265656"/>
    <w:rsid w:val="00266155"/>
    <w:rsid w:val="00270E17"/>
    <w:rsid w:val="0027270B"/>
    <w:rsid w:val="00274B90"/>
    <w:rsid w:val="00277601"/>
    <w:rsid w:val="00285BD2"/>
    <w:rsid w:val="00286678"/>
    <w:rsid w:val="00290805"/>
    <w:rsid w:val="00290C2A"/>
    <w:rsid w:val="002931DD"/>
    <w:rsid w:val="002955DC"/>
    <w:rsid w:val="002A0E7C"/>
    <w:rsid w:val="002A21ED"/>
    <w:rsid w:val="002A3F88"/>
    <w:rsid w:val="002A67FC"/>
    <w:rsid w:val="002B1688"/>
    <w:rsid w:val="002B1C6D"/>
    <w:rsid w:val="002B31B8"/>
    <w:rsid w:val="002C592B"/>
    <w:rsid w:val="002C600D"/>
    <w:rsid w:val="002D45D1"/>
    <w:rsid w:val="002D74B6"/>
    <w:rsid w:val="002E3A90"/>
    <w:rsid w:val="002E3BE2"/>
    <w:rsid w:val="002E62CB"/>
    <w:rsid w:val="002E6DF1"/>
    <w:rsid w:val="002F0957"/>
    <w:rsid w:val="002F32BF"/>
    <w:rsid w:val="002F43F6"/>
    <w:rsid w:val="002F7153"/>
    <w:rsid w:val="003020BB"/>
    <w:rsid w:val="00304393"/>
    <w:rsid w:val="00305AB2"/>
    <w:rsid w:val="0031032B"/>
    <w:rsid w:val="00316E87"/>
    <w:rsid w:val="00320E1D"/>
    <w:rsid w:val="003256AC"/>
    <w:rsid w:val="00327A08"/>
    <w:rsid w:val="0033129D"/>
    <w:rsid w:val="003320ED"/>
    <w:rsid w:val="003327F2"/>
    <w:rsid w:val="0033480E"/>
    <w:rsid w:val="00337123"/>
    <w:rsid w:val="00341866"/>
    <w:rsid w:val="00351FC0"/>
    <w:rsid w:val="003535E0"/>
    <w:rsid w:val="00366F56"/>
    <w:rsid w:val="00370075"/>
    <w:rsid w:val="003737C8"/>
    <w:rsid w:val="0037589D"/>
    <w:rsid w:val="00376BB1"/>
    <w:rsid w:val="00377E23"/>
    <w:rsid w:val="0038277C"/>
    <w:rsid w:val="00387283"/>
    <w:rsid w:val="003909E0"/>
    <w:rsid w:val="0039581F"/>
    <w:rsid w:val="00395B15"/>
    <w:rsid w:val="00396026"/>
    <w:rsid w:val="003A632A"/>
    <w:rsid w:val="003A6CCB"/>
    <w:rsid w:val="003B48EB"/>
    <w:rsid w:val="003C0F61"/>
    <w:rsid w:val="003C33FF"/>
    <w:rsid w:val="003C64A5"/>
    <w:rsid w:val="003D03CC"/>
    <w:rsid w:val="003D2C5E"/>
    <w:rsid w:val="003D4BB7"/>
    <w:rsid w:val="003E0116"/>
    <w:rsid w:val="003E26C3"/>
    <w:rsid w:val="003E3E51"/>
    <w:rsid w:val="003F0D6C"/>
    <w:rsid w:val="003F0F26"/>
    <w:rsid w:val="003F12D9"/>
    <w:rsid w:val="003F1B4C"/>
    <w:rsid w:val="004008F6"/>
    <w:rsid w:val="0041308A"/>
    <w:rsid w:val="00414B20"/>
    <w:rsid w:val="004172DD"/>
    <w:rsid w:val="00417DE3"/>
    <w:rsid w:val="00421850"/>
    <w:rsid w:val="004222C1"/>
    <w:rsid w:val="00423968"/>
    <w:rsid w:val="00424779"/>
    <w:rsid w:val="00427054"/>
    <w:rsid w:val="004304B1"/>
    <w:rsid w:val="0043320A"/>
    <w:rsid w:val="004505B1"/>
    <w:rsid w:val="004518A6"/>
    <w:rsid w:val="0045321E"/>
    <w:rsid w:val="00453E1D"/>
    <w:rsid w:val="00454589"/>
    <w:rsid w:val="004563E5"/>
    <w:rsid w:val="004564E0"/>
    <w:rsid w:val="00456ED0"/>
    <w:rsid w:val="00457550"/>
    <w:rsid w:val="00463344"/>
    <w:rsid w:val="00464467"/>
    <w:rsid w:val="004703E1"/>
    <w:rsid w:val="00474C50"/>
    <w:rsid w:val="004752E5"/>
    <w:rsid w:val="00480436"/>
    <w:rsid w:val="00486006"/>
    <w:rsid w:val="004868B2"/>
    <w:rsid w:val="00486BAD"/>
    <w:rsid w:val="00486BBE"/>
    <w:rsid w:val="00487123"/>
    <w:rsid w:val="0049680C"/>
    <w:rsid w:val="004A1BD5"/>
    <w:rsid w:val="004A43A5"/>
    <w:rsid w:val="004A61E1"/>
    <w:rsid w:val="004B2344"/>
    <w:rsid w:val="004B285D"/>
    <w:rsid w:val="004B798E"/>
    <w:rsid w:val="004C048F"/>
    <w:rsid w:val="004D009E"/>
    <w:rsid w:val="004D1456"/>
    <w:rsid w:val="004D3E58"/>
    <w:rsid w:val="004D6746"/>
    <w:rsid w:val="004E0F32"/>
    <w:rsid w:val="004E23A1"/>
    <w:rsid w:val="004E494A"/>
    <w:rsid w:val="004E7ECE"/>
    <w:rsid w:val="005004EC"/>
    <w:rsid w:val="00506498"/>
    <w:rsid w:val="0051058F"/>
    <w:rsid w:val="00513153"/>
    <w:rsid w:val="005144FC"/>
    <w:rsid w:val="00523C53"/>
    <w:rsid w:val="0052453B"/>
    <w:rsid w:val="00527B8F"/>
    <w:rsid w:val="00540CEB"/>
    <w:rsid w:val="00542012"/>
    <w:rsid w:val="00543AB8"/>
    <w:rsid w:val="00543DF5"/>
    <w:rsid w:val="0055260D"/>
    <w:rsid w:val="0055272D"/>
    <w:rsid w:val="005534BC"/>
    <w:rsid w:val="0055469C"/>
    <w:rsid w:val="00554CA3"/>
    <w:rsid w:val="0055509F"/>
    <w:rsid w:val="00555810"/>
    <w:rsid w:val="00562DCA"/>
    <w:rsid w:val="0056568F"/>
    <w:rsid w:val="00575D2E"/>
    <w:rsid w:val="00582578"/>
    <w:rsid w:val="005B04A8"/>
    <w:rsid w:val="005B328D"/>
    <w:rsid w:val="005B3503"/>
    <w:rsid w:val="005B3D84"/>
    <w:rsid w:val="005B4DCD"/>
    <w:rsid w:val="005B4FAD"/>
    <w:rsid w:val="005C3095"/>
    <w:rsid w:val="005C745D"/>
    <w:rsid w:val="005D380C"/>
    <w:rsid w:val="005D6E04"/>
    <w:rsid w:val="005D7663"/>
    <w:rsid w:val="005D7A12"/>
    <w:rsid w:val="005E53EE"/>
    <w:rsid w:val="005F0542"/>
    <w:rsid w:val="005F0F72"/>
    <w:rsid w:val="005F11CB"/>
    <w:rsid w:val="005F1C1F"/>
    <w:rsid w:val="005F346D"/>
    <w:rsid w:val="005F38FB"/>
    <w:rsid w:val="005F4D1B"/>
    <w:rsid w:val="0060015F"/>
    <w:rsid w:val="00605703"/>
    <w:rsid w:val="00606EA1"/>
    <w:rsid w:val="00611230"/>
    <w:rsid w:val="006128F0"/>
    <w:rsid w:val="0061726B"/>
    <w:rsid w:val="0062387A"/>
    <w:rsid w:val="00625520"/>
    <w:rsid w:val="006274E9"/>
    <w:rsid w:val="0063084C"/>
    <w:rsid w:val="006344BE"/>
    <w:rsid w:val="006349BC"/>
    <w:rsid w:val="00634A66"/>
    <w:rsid w:val="00640336"/>
    <w:rsid w:val="00640FC9"/>
    <w:rsid w:val="006432F2"/>
    <w:rsid w:val="00651BC2"/>
    <w:rsid w:val="0065320F"/>
    <w:rsid w:val="00653D64"/>
    <w:rsid w:val="00654E13"/>
    <w:rsid w:val="00661296"/>
    <w:rsid w:val="0066146B"/>
    <w:rsid w:val="00667489"/>
    <w:rsid w:val="00670D44"/>
    <w:rsid w:val="00674B74"/>
    <w:rsid w:val="00676AFC"/>
    <w:rsid w:val="006807CD"/>
    <w:rsid w:val="00682D43"/>
    <w:rsid w:val="00685BAF"/>
    <w:rsid w:val="00695737"/>
    <w:rsid w:val="006A5923"/>
    <w:rsid w:val="006B12CB"/>
    <w:rsid w:val="006B5916"/>
    <w:rsid w:val="006B6B61"/>
    <w:rsid w:val="006C4F4A"/>
    <w:rsid w:val="006C5E80"/>
    <w:rsid w:val="006C669C"/>
    <w:rsid w:val="006C7CEE"/>
    <w:rsid w:val="006D075E"/>
    <w:rsid w:val="006D6592"/>
    <w:rsid w:val="006D6B90"/>
    <w:rsid w:val="006D7081"/>
    <w:rsid w:val="006D7C6E"/>
    <w:rsid w:val="006E2F95"/>
    <w:rsid w:val="006E5A01"/>
    <w:rsid w:val="006E7449"/>
    <w:rsid w:val="006F02E7"/>
    <w:rsid w:val="00701C98"/>
    <w:rsid w:val="00705EAF"/>
    <w:rsid w:val="007101CC"/>
    <w:rsid w:val="00724E3B"/>
    <w:rsid w:val="0072584E"/>
    <w:rsid w:val="00725EEA"/>
    <w:rsid w:val="00730CE9"/>
    <w:rsid w:val="00730D25"/>
    <w:rsid w:val="0073373D"/>
    <w:rsid w:val="007439DB"/>
    <w:rsid w:val="007516B8"/>
    <w:rsid w:val="007633A4"/>
    <w:rsid w:val="00765316"/>
    <w:rsid w:val="007708C8"/>
    <w:rsid w:val="007754CF"/>
    <w:rsid w:val="007765B1"/>
    <w:rsid w:val="0077719D"/>
    <w:rsid w:val="00780DF0"/>
    <w:rsid w:val="007821A0"/>
    <w:rsid w:val="00782F0F"/>
    <w:rsid w:val="00786F67"/>
    <w:rsid w:val="00787482"/>
    <w:rsid w:val="007A286D"/>
    <w:rsid w:val="007A38DF"/>
    <w:rsid w:val="007B20CF"/>
    <w:rsid w:val="007B2499"/>
    <w:rsid w:val="007B72E1"/>
    <w:rsid w:val="007B783A"/>
    <w:rsid w:val="007C1B95"/>
    <w:rsid w:val="007E2F2D"/>
    <w:rsid w:val="007F1433"/>
    <w:rsid w:val="007F1491"/>
    <w:rsid w:val="007F2F03"/>
    <w:rsid w:val="00800FE0"/>
    <w:rsid w:val="008049A7"/>
    <w:rsid w:val="00805469"/>
    <w:rsid w:val="008066AD"/>
    <w:rsid w:val="0081517F"/>
    <w:rsid w:val="00815370"/>
    <w:rsid w:val="0082153D"/>
    <w:rsid w:val="008255AA"/>
    <w:rsid w:val="00826F0C"/>
    <w:rsid w:val="00830FF3"/>
    <w:rsid w:val="00835CC5"/>
    <w:rsid w:val="00836B8C"/>
    <w:rsid w:val="008410C5"/>
    <w:rsid w:val="00846C08"/>
    <w:rsid w:val="008509AA"/>
    <w:rsid w:val="00850C0C"/>
    <w:rsid w:val="008530E7"/>
    <w:rsid w:val="0085392F"/>
    <w:rsid w:val="00857675"/>
    <w:rsid w:val="008763E7"/>
    <w:rsid w:val="008808C5"/>
    <w:rsid w:val="00881A7C"/>
    <w:rsid w:val="00882ABF"/>
    <w:rsid w:val="00883C78"/>
    <w:rsid w:val="00885159"/>
    <w:rsid w:val="00885214"/>
    <w:rsid w:val="00887615"/>
    <w:rsid w:val="00890052"/>
    <w:rsid w:val="00894E3A"/>
    <w:rsid w:val="00896EBD"/>
    <w:rsid w:val="008A10C3"/>
    <w:rsid w:val="008A5062"/>
    <w:rsid w:val="008A5665"/>
    <w:rsid w:val="008B24A8"/>
    <w:rsid w:val="008B3D78"/>
    <w:rsid w:val="008B681E"/>
    <w:rsid w:val="008B779D"/>
    <w:rsid w:val="008C261B"/>
    <w:rsid w:val="008C44E8"/>
    <w:rsid w:val="008C4FCA"/>
    <w:rsid w:val="008C5628"/>
    <w:rsid w:val="008C7882"/>
    <w:rsid w:val="008D2261"/>
    <w:rsid w:val="008D4C28"/>
    <w:rsid w:val="008D577B"/>
    <w:rsid w:val="008E1068"/>
    <w:rsid w:val="008E17C4"/>
    <w:rsid w:val="008E2933"/>
    <w:rsid w:val="008E45C4"/>
    <w:rsid w:val="008E56B2"/>
    <w:rsid w:val="008E64B1"/>
    <w:rsid w:val="008E64FA"/>
    <w:rsid w:val="008F0A6D"/>
    <w:rsid w:val="008F2E85"/>
    <w:rsid w:val="008F4DEF"/>
    <w:rsid w:val="009048E1"/>
    <w:rsid w:val="00913885"/>
    <w:rsid w:val="00916791"/>
    <w:rsid w:val="00921797"/>
    <w:rsid w:val="009255AD"/>
    <w:rsid w:val="00931D41"/>
    <w:rsid w:val="00933D18"/>
    <w:rsid w:val="00941E75"/>
    <w:rsid w:val="00942221"/>
    <w:rsid w:val="00945DB9"/>
    <w:rsid w:val="00950FBB"/>
    <w:rsid w:val="00953349"/>
    <w:rsid w:val="00954E0C"/>
    <w:rsid w:val="00961156"/>
    <w:rsid w:val="00964988"/>
    <w:rsid w:val="00966F1F"/>
    <w:rsid w:val="00976D32"/>
    <w:rsid w:val="009844F7"/>
    <w:rsid w:val="0099463C"/>
    <w:rsid w:val="009A0342"/>
    <w:rsid w:val="009A05AA"/>
    <w:rsid w:val="009A152E"/>
    <w:rsid w:val="009A2D5A"/>
    <w:rsid w:val="009A5875"/>
    <w:rsid w:val="009B2C7E"/>
    <w:rsid w:val="009B4526"/>
    <w:rsid w:val="009C2E47"/>
    <w:rsid w:val="009C5F1D"/>
    <w:rsid w:val="009C6BFB"/>
    <w:rsid w:val="009D0C05"/>
    <w:rsid w:val="009D2DD0"/>
    <w:rsid w:val="009D6EF7"/>
    <w:rsid w:val="009E2A23"/>
    <w:rsid w:val="009E2C00"/>
    <w:rsid w:val="009E70F4"/>
    <w:rsid w:val="009F1AD2"/>
    <w:rsid w:val="009F228A"/>
    <w:rsid w:val="00A11755"/>
    <w:rsid w:val="00A207FB"/>
    <w:rsid w:val="00A26F44"/>
    <w:rsid w:val="00A32DA0"/>
    <w:rsid w:val="00A365BE"/>
    <w:rsid w:val="00A4313D"/>
    <w:rsid w:val="00A50120"/>
    <w:rsid w:val="00A51CD4"/>
    <w:rsid w:val="00A60351"/>
    <w:rsid w:val="00A61BE9"/>
    <w:rsid w:val="00A61C6D"/>
    <w:rsid w:val="00A63015"/>
    <w:rsid w:val="00A6521C"/>
    <w:rsid w:val="00A678B4"/>
    <w:rsid w:val="00A704A3"/>
    <w:rsid w:val="00A75E23"/>
    <w:rsid w:val="00A765FC"/>
    <w:rsid w:val="00A82AA0"/>
    <w:rsid w:val="00A82F8A"/>
    <w:rsid w:val="00A9226B"/>
    <w:rsid w:val="00A94FE9"/>
    <w:rsid w:val="00A9575C"/>
    <w:rsid w:val="00A95B56"/>
    <w:rsid w:val="00A969AF"/>
    <w:rsid w:val="00AB02E5"/>
    <w:rsid w:val="00AB1A2E"/>
    <w:rsid w:val="00AB328A"/>
    <w:rsid w:val="00AB4918"/>
    <w:rsid w:val="00AB4BC8"/>
    <w:rsid w:val="00AB6BA7"/>
    <w:rsid w:val="00AC0860"/>
    <w:rsid w:val="00AC21D2"/>
    <w:rsid w:val="00AC33B6"/>
    <w:rsid w:val="00AC34A3"/>
    <w:rsid w:val="00AC45D0"/>
    <w:rsid w:val="00AD0710"/>
    <w:rsid w:val="00AD1226"/>
    <w:rsid w:val="00AD491E"/>
    <w:rsid w:val="00AD4ADB"/>
    <w:rsid w:val="00AD4DB9"/>
    <w:rsid w:val="00AD63C0"/>
    <w:rsid w:val="00AE35B2"/>
    <w:rsid w:val="00AE3BA3"/>
    <w:rsid w:val="00AE6AA0"/>
    <w:rsid w:val="00AF207E"/>
    <w:rsid w:val="00AF21AE"/>
    <w:rsid w:val="00AF777D"/>
    <w:rsid w:val="00B04D85"/>
    <w:rsid w:val="00B06124"/>
    <w:rsid w:val="00B119A2"/>
    <w:rsid w:val="00B177F2"/>
    <w:rsid w:val="00B201F1"/>
    <w:rsid w:val="00B21320"/>
    <w:rsid w:val="00B24AEB"/>
    <w:rsid w:val="00B304E7"/>
    <w:rsid w:val="00B318B6"/>
    <w:rsid w:val="00B60AC9"/>
    <w:rsid w:val="00B6354C"/>
    <w:rsid w:val="00B67323"/>
    <w:rsid w:val="00B74071"/>
    <w:rsid w:val="00B7428E"/>
    <w:rsid w:val="00B74B67"/>
    <w:rsid w:val="00B82ED4"/>
    <w:rsid w:val="00B82FE8"/>
    <w:rsid w:val="00B8424F"/>
    <w:rsid w:val="00B86896"/>
    <w:rsid w:val="00B875A6"/>
    <w:rsid w:val="00B93E4C"/>
    <w:rsid w:val="00B9480F"/>
    <w:rsid w:val="00B94A1B"/>
    <w:rsid w:val="00BA159D"/>
    <w:rsid w:val="00BA528B"/>
    <w:rsid w:val="00BA5C89"/>
    <w:rsid w:val="00BA5E12"/>
    <w:rsid w:val="00BA750C"/>
    <w:rsid w:val="00BB4CE2"/>
    <w:rsid w:val="00BC0EFB"/>
    <w:rsid w:val="00BC2E39"/>
    <w:rsid w:val="00BC660D"/>
    <w:rsid w:val="00BE3261"/>
    <w:rsid w:val="00BF588A"/>
    <w:rsid w:val="00BF58FC"/>
    <w:rsid w:val="00BF7F9B"/>
    <w:rsid w:val="00C004AC"/>
    <w:rsid w:val="00C01F77"/>
    <w:rsid w:val="00C01FFC"/>
    <w:rsid w:val="00C06AE4"/>
    <w:rsid w:val="00C114FF"/>
    <w:rsid w:val="00C171A1"/>
    <w:rsid w:val="00C171A4"/>
    <w:rsid w:val="00C17F12"/>
    <w:rsid w:val="00C235D7"/>
    <w:rsid w:val="00C237E9"/>
    <w:rsid w:val="00C306B2"/>
    <w:rsid w:val="00C36883"/>
    <w:rsid w:val="00C37402"/>
    <w:rsid w:val="00C40928"/>
    <w:rsid w:val="00C420E4"/>
    <w:rsid w:val="00C43F01"/>
    <w:rsid w:val="00C45CBF"/>
    <w:rsid w:val="00C47552"/>
    <w:rsid w:val="00C5269C"/>
    <w:rsid w:val="00C55CB7"/>
    <w:rsid w:val="00C57A81"/>
    <w:rsid w:val="00C60193"/>
    <w:rsid w:val="00C607CF"/>
    <w:rsid w:val="00C634D4"/>
    <w:rsid w:val="00C63AA5"/>
    <w:rsid w:val="00C65071"/>
    <w:rsid w:val="00C73F6D"/>
    <w:rsid w:val="00C74F6E"/>
    <w:rsid w:val="00C752F7"/>
    <w:rsid w:val="00C7708E"/>
    <w:rsid w:val="00C77FA4"/>
    <w:rsid w:val="00C77FFA"/>
    <w:rsid w:val="00C80401"/>
    <w:rsid w:val="00C81C45"/>
    <w:rsid w:val="00C81C97"/>
    <w:rsid w:val="00C840C2"/>
    <w:rsid w:val="00C84101"/>
    <w:rsid w:val="00C8535F"/>
    <w:rsid w:val="00C90EDA"/>
    <w:rsid w:val="00C959E7"/>
    <w:rsid w:val="00CA0A59"/>
    <w:rsid w:val="00CA1858"/>
    <w:rsid w:val="00CA53E3"/>
    <w:rsid w:val="00CC05CE"/>
    <w:rsid w:val="00CC1100"/>
    <w:rsid w:val="00CC1E65"/>
    <w:rsid w:val="00CC2AEE"/>
    <w:rsid w:val="00CC2BF3"/>
    <w:rsid w:val="00CC567A"/>
    <w:rsid w:val="00CD0F70"/>
    <w:rsid w:val="00CD4059"/>
    <w:rsid w:val="00CD4E5A"/>
    <w:rsid w:val="00CE03CE"/>
    <w:rsid w:val="00CE3076"/>
    <w:rsid w:val="00CF0DFF"/>
    <w:rsid w:val="00CF65DF"/>
    <w:rsid w:val="00D0359D"/>
    <w:rsid w:val="00D04DED"/>
    <w:rsid w:val="00D07E9C"/>
    <w:rsid w:val="00D1089A"/>
    <w:rsid w:val="00D116BD"/>
    <w:rsid w:val="00D14B12"/>
    <w:rsid w:val="00D223B8"/>
    <w:rsid w:val="00D3691A"/>
    <w:rsid w:val="00D377E2"/>
    <w:rsid w:val="00D42DCB"/>
    <w:rsid w:val="00D4338F"/>
    <w:rsid w:val="00D46778"/>
    <w:rsid w:val="00D46DF2"/>
    <w:rsid w:val="00D47674"/>
    <w:rsid w:val="00D5338C"/>
    <w:rsid w:val="00D57AD0"/>
    <w:rsid w:val="00D606B2"/>
    <w:rsid w:val="00D65777"/>
    <w:rsid w:val="00D66FEE"/>
    <w:rsid w:val="00D67703"/>
    <w:rsid w:val="00D728A0"/>
    <w:rsid w:val="00D807CD"/>
    <w:rsid w:val="00D92DCC"/>
    <w:rsid w:val="00D97E7D"/>
    <w:rsid w:val="00D97EE4"/>
    <w:rsid w:val="00DA243A"/>
    <w:rsid w:val="00DA6696"/>
    <w:rsid w:val="00DB3439"/>
    <w:rsid w:val="00DC2946"/>
    <w:rsid w:val="00DC550F"/>
    <w:rsid w:val="00DC64FD"/>
    <w:rsid w:val="00DC7697"/>
    <w:rsid w:val="00DD4835"/>
    <w:rsid w:val="00DE127F"/>
    <w:rsid w:val="00DE2A55"/>
    <w:rsid w:val="00DE424A"/>
    <w:rsid w:val="00DE4419"/>
    <w:rsid w:val="00DE450F"/>
    <w:rsid w:val="00DF0ACA"/>
    <w:rsid w:val="00DF123F"/>
    <w:rsid w:val="00DF2245"/>
    <w:rsid w:val="00DF77CF"/>
    <w:rsid w:val="00E00764"/>
    <w:rsid w:val="00E026E8"/>
    <w:rsid w:val="00E14C47"/>
    <w:rsid w:val="00E21304"/>
    <w:rsid w:val="00E22698"/>
    <w:rsid w:val="00E25B7C"/>
    <w:rsid w:val="00E2693D"/>
    <w:rsid w:val="00E35187"/>
    <w:rsid w:val="00E3725B"/>
    <w:rsid w:val="00E37841"/>
    <w:rsid w:val="00E434D1"/>
    <w:rsid w:val="00E52CEE"/>
    <w:rsid w:val="00E56CBB"/>
    <w:rsid w:val="00E61E51"/>
    <w:rsid w:val="00E63BB6"/>
    <w:rsid w:val="00E6552A"/>
    <w:rsid w:val="00E6707D"/>
    <w:rsid w:val="00E70E7C"/>
    <w:rsid w:val="00E71313"/>
    <w:rsid w:val="00E72606"/>
    <w:rsid w:val="00E73C3E"/>
    <w:rsid w:val="00E76C08"/>
    <w:rsid w:val="00E83DA9"/>
    <w:rsid w:val="00E84E9D"/>
    <w:rsid w:val="00E935AF"/>
    <w:rsid w:val="00E967AC"/>
    <w:rsid w:val="00EB031A"/>
    <w:rsid w:val="00EB0E20"/>
    <w:rsid w:val="00EC2060"/>
    <w:rsid w:val="00EC4F3A"/>
    <w:rsid w:val="00ED594D"/>
    <w:rsid w:val="00EE36E1"/>
    <w:rsid w:val="00EF2674"/>
    <w:rsid w:val="00F0054D"/>
    <w:rsid w:val="00F02467"/>
    <w:rsid w:val="00F0463E"/>
    <w:rsid w:val="00F10E18"/>
    <w:rsid w:val="00F12214"/>
    <w:rsid w:val="00F12565"/>
    <w:rsid w:val="00F14ACA"/>
    <w:rsid w:val="00F23927"/>
    <w:rsid w:val="00F26A05"/>
    <w:rsid w:val="00F275B2"/>
    <w:rsid w:val="00F279A8"/>
    <w:rsid w:val="00F307CE"/>
    <w:rsid w:val="00F37108"/>
    <w:rsid w:val="00F47BAA"/>
    <w:rsid w:val="00F47FFA"/>
    <w:rsid w:val="00F52EAB"/>
    <w:rsid w:val="00F54079"/>
    <w:rsid w:val="00F6639C"/>
    <w:rsid w:val="00F67A2D"/>
    <w:rsid w:val="00F70A1B"/>
    <w:rsid w:val="00F72FDF"/>
    <w:rsid w:val="00F75960"/>
    <w:rsid w:val="00F76D4F"/>
    <w:rsid w:val="00F82526"/>
    <w:rsid w:val="00F84672"/>
    <w:rsid w:val="00F84802"/>
    <w:rsid w:val="00F8567C"/>
    <w:rsid w:val="00FA06FD"/>
    <w:rsid w:val="00FA26A9"/>
    <w:rsid w:val="00FA515B"/>
    <w:rsid w:val="00FA6B90"/>
    <w:rsid w:val="00FA74CB"/>
    <w:rsid w:val="00FB2886"/>
    <w:rsid w:val="00FB466E"/>
    <w:rsid w:val="00FC3C3B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5558"/>
    <w:rsid w:val="00FF687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1A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bidi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bidi="cs-CZ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bidi="cs-CZ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bidi="cs-CZ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D14B12"/>
    <w:pPr>
      <w:tabs>
        <w:tab w:val="clear" w:pos="567"/>
      </w:tabs>
      <w:spacing w:line="240" w:lineRule="auto"/>
      <w:ind w:left="720"/>
    </w:pPr>
    <w:rPr>
      <w:rFonts w:ascii="Calibri" w:eastAsia="Calibri" w:hAnsi="Calibri" w:cs="Calibri"/>
      <w:szCs w:val="22"/>
    </w:rPr>
  </w:style>
  <w:style w:type="paragraph" w:styleId="Normlnweb">
    <w:name w:val="Normal (Web)"/>
    <w:basedOn w:val="Normln"/>
    <w:uiPriority w:val="99"/>
    <w:unhideWhenUsed/>
    <w:rsid w:val="00285BD2"/>
    <w:pPr>
      <w:widowControl w:val="0"/>
      <w:tabs>
        <w:tab w:val="clear" w:pos="567"/>
      </w:tabs>
      <w:adjustRightInd w:val="0"/>
      <w:spacing w:before="100" w:beforeAutospacing="1" w:after="100" w:afterAutospacing="1" w:line="240" w:lineRule="auto"/>
      <w:jc w:val="both"/>
      <w:textAlignment w:val="baseline"/>
    </w:pPr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1095D"/>
    <w:rPr>
      <w:rFonts w:ascii="Helvetica" w:hAnsi="Helvetica"/>
      <w:lang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bidi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bidi="cs-CZ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bidi="cs-CZ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bidi="cs-CZ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cs-CZ" w:bidi="cs-CZ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cs-CZ" w:bidi="cs-CZ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cs-CZ" w:bidi="cs-CZ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D14B12"/>
    <w:pPr>
      <w:tabs>
        <w:tab w:val="clear" w:pos="567"/>
      </w:tabs>
      <w:spacing w:line="240" w:lineRule="auto"/>
      <w:ind w:left="720"/>
    </w:pPr>
    <w:rPr>
      <w:rFonts w:ascii="Calibri" w:eastAsia="Calibri" w:hAnsi="Calibri" w:cs="Calibri"/>
      <w:szCs w:val="22"/>
    </w:rPr>
  </w:style>
  <w:style w:type="paragraph" w:styleId="Normlnweb">
    <w:name w:val="Normal (Web)"/>
    <w:basedOn w:val="Normln"/>
    <w:uiPriority w:val="99"/>
    <w:unhideWhenUsed/>
    <w:rsid w:val="00285BD2"/>
    <w:pPr>
      <w:widowControl w:val="0"/>
      <w:tabs>
        <w:tab w:val="clear" w:pos="567"/>
      </w:tabs>
      <w:adjustRightInd w:val="0"/>
      <w:spacing w:before="100" w:beforeAutospacing="1" w:after="100" w:afterAutospacing="1" w:line="240" w:lineRule="auto"/>
      <w:jc w:val="both"/>
      <w:textAlignment w:val="baseline"/>
    </w:pPr>
    <w:rPr>
      <w:rFonts w:eastAsia="Calibri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11095D"/>
    <w:rPr>
      <w:rFonts w:ascii="Helvetica" w:hAnsi="Helvetica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D240-85F8-4BF4-A764-DE0B9DF4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1157</Words>
  <Characters>6829</Characters>
  <Application>Microsoft Office Word</Application>
  <DocSecurity>0</DocSecurity>
  <Lines>56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EN_qrd_veterinary template_v.8 en</vt:lpstr>
      <vt:lpstr>EN_qrd_veterinary template_v.8 en</vt:lpstr>
      <vt:lpstr>EN_qrd_veterinary template_v.8 en</vt:lpstr>
    </vt:vector>
  </TitlesOfParts>
  <Company>EMEA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Aron Davies</dc:creator>
  <cp:lastModifiedBy>Dušek Daniel</cp:lastModifiedBy>
  <cp:revision>37</cp:revision>
  <cp:lastPrinted>2020-10-26T09:04:00Z</cp:lastPrinted>
  <dcterms:created xsi:type="dcterms:W3CDTF">2020-03-03T08:54:00Z</dcterms:created>
  <dcterms:modified xsi:type="dcterms:W3CDTF">2020-10-27T09:23:00Z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CURRENT,2.3</vt:lpwstr>
  </property>
  <property fmtid="{D5CDD505-2E9C-101B-9397-08002B2CF9AE}" pid="53" name="DM_Name">
    <vt:lpwstr>EN_qrd_veterinary template_v.8 en</vt:lpwstr>
  </property>
  <property fmtid="{D5CDD505-2E9C-101B-9397-08002B2CF9AE}" pid="54" name="DM_Creation_Date">
    <vt:lpwstr>30/10/2012 16:42:44</vt:lpwstr>
  </property>
  <property fmtid="{D5CDD505-2E9C-101B-9397-08002B2CF9AE}" pid="55" name="DM_Modify_Date">
    <vt:lpwstr>30/10/2012 17:03:10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EMA/418124/2012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62" name="DM_emea_doc_ref_id">
    <vt:lpwstr>EMA/418124/2012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30/10/2012 17:03:10</vt:lpwstr>
  </property>
</Properties>
</file>