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09AC" w14:textId="77777777" w:rsidR="00AB0E1C" w:rsidRPr="00644973" w:rsidRDefault="00AB0E1C" w:rsidP="0028689D">
      <w:pPr>
        <w:spacing w:before="42" w:after="0" w:line="240" w:lineRule="auto"/>
        <w:ind w:right="39"/>
        <w:rPr>
          <w:rFonts w:eastAsia="Arial" w:cstheme="minorHAnsi"/>
          <w:b/>
          <w:color w:val="231F20"/>
        </w:rPr>
      </w:pPr>
      <w:proofErr w:type="spellStart"/>
      <w:r w:rsidRPr="00644973">
        <w:rPr>
          <w:rFonts w:eastAsia="Arial" w:cstheme="minorHAnsi"/>
          <w:b/>
          <w:color w:val="231F20"/>
        </w:rPr>
        <w:t>Oripex</w:t>
      </w:r>
      <w:proofErr w:type="spellEnd"/>
    </w:p>
    <w:p w14:paraId="58F5E09A" w14:textId="76778DFB" w:rsidR="00AB0E1C" w:rsidRPr="00644973" w:rsidRDefault="00AB0E1C" w:rsidP="0028689D">
      <w:pPr>
        <w:spacing w:before="42" w:after="0" w:line="240" w:lineRule="auto"/>
        <w:ind w:right="39"/>
        <w:rPr>
          <w:rFonts w:eastAsia="Arial" w:cstheme="minorHAnsi"/>
          <w:b/>
          <w:color w:val="231F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77"/>
        <w:gridCol w:w="2505"/>
      </w:tblGrid>
      <w:tr w:rsidR="00BD50B2" w:rsidRPr="00644973" w14:paraId="45C4D199" w14:textId="77777777" w:rsidTr="00BD50B2">
        <w:tc>
          <w:tcPr>
            <w:tcW w:w="465" w:type="dxa"/>
            <w:tcBorders>
              <w:right w:val="single" w:sz="4" w:space="0" w:color="auto"/>
            </w:tcBorders>
          </w:tcPr>
          <w:p w14:paraId="6BB65AF8" w14:textId="77777777" w:rsidR="00BD50B2" w:rsidRPr="00644973" w:rsidRDefault="00236BD7" w:rsidP="00BD50B2">
            <w:pPr>
              <w:spacing w:before="42"/>
              <w:ind w:right="39"/>
              <w:jc w:val="center"/>
              <w:rPr>
                <w:rFonts w:eastAsia="Arial" w:cstheme="minorHAnsi"/>
                <w:b/>
                <w:color w:val="231F20"/>
              </w:rPr>
            </w:pPr>
            <w:r w:rsidRPr="00644973">
              <w:rPr>
                <w:rFonts w:eastAsia="Arial" w:cstheme="minorHAnsi"/>
                <w:b/>
                <w:color w:val="231F20"/>
              </w:rPr>
              <w:t>CZ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CD2EE" w14:textId="77777777" w:rsidR="00BD50B2" w:rsidRPr="00644973" w:rsidRDefault="00440D31" w:rsidP="00BD50B2">
            <w:pPr>
              <w:spacing w:before="42"/>
              <w:ind w:right="39"/>
              <w:rPr>
                <w:rFonts w:eastAsia="Arial" w:cstheme="minorHAnsi"/>
                <w:color w:val="231F20"/>
              </w:rPr>
            </w:pPr>
            <w:r w:rsidRPr="00644973">
              <w:rPr>
                <w:rFonts w:eastAsia="Arial" w:cstheme="minorHAnsi"/>
                <w:color w:val="231F20"/>
                <w:kern w:val="2"/>
                <w:lang w:val="cs-CZ"/>
              </w:rPr>
              <w:t>Informace o výrobku</w:t>
            </w:r>
            <w:bookmarkStart w:id="0" w:name="_GoBack"/>
            <w:bookmarkEnd w:id="0"/>
          </w:p>
        </w:tc>
      </w:tr>
    </w:tbl>
    <w:p w14:paraId="2AA9ABF5" w14:textId="744B18C6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r w:rsidRPr="00644973">
        <w:rPr>
          <w:rFonts w:eastAsia="Arial" w:cstheme="minorHAnsi"/>
          <w:color w:val="231F20"/>
          <w:kern w:val="2"/>
          <w:lang w:val="cs-CZ"/>
        </w:rPr>
        <w:t>Roztok pro jemné čištění vnějšího zvukovodu u psů a koček.</w:t>
      </w:r>
      <w:r w:rsidR="007A7B4C" w:rsidRPr="00644973">
        <w:rPr>
          <w:rFonts w:eastAsia="Arial" w:cstheme="minorHAnsi"/>
          <w:color w:val="231F20"/>
          <w:kern w:val="2"/>
          <w:lang w:val="cs-CZ"/>
        </w:rPr>
        <w:t xml:space="preserve"> </w:t>
      </w:r>
      <w:r w:rsidR="00A173D2" w:rsidRPr="00644973">
        <w:rPr>
          <w:rFonts w:eastAsia="Arial" w:cstheme="minorHAnsi"/>
          <w:color w:val="231F20"/>
          <w:kern w:val="2"/>
          <w:lang w:val="cs-CZ"/>
        </w:rPr>
        <w:t>Obsahuje 3 </w:t>
      </w:r>
      <w:r w:rsidRPr="00644973">
        <w:rPr>
          <w:rFonts w:eastAsia="Arial" w:cstheme="minorHAnsi"/>
          <w:color w:val="231F20"/>
          <w:kern w:val="2"/>
          <w:lang w:val="cs-CZ"/>
        </w:rPr>
        <w:t>% močoviny.</w:t>
      </w:r>
    </w:p>
    <w:p w14:paraId="4A369385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</w:p>
    <w:p w14:paraId="2AC63407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r w:rsidRPr="00644973">
        <w:rPr>
          <w:rFonts w:eastAsia="Arial" w:cstheme="minorHAnsi"/>
          <w:color w:val="231F20"/>
          <w:kern w:val="2"/>
          <w:lang w:val="cs-CZ"/>
        </w:rPr>
        <w:t>Oripex čistič uší čistí důkladně a rozpouští přebytečný cerumen (ušní maz). Zároveň zklidňuje citlivou pokožku vnějšího zvukovodu a pečuje o ni. Oripex čistič uší neobsahuje parfemační látky, barviva, konzervační látky ani alkohol. Proto je hypoalergenní a zvláště vhodný k aplikaci i do citlivých uší zvířat.</w:t>
      </w:r>
    </w:p>
    <w:p w14:paraId="10C6BACD" w14:textId="76526353" w:rsidR="007B4696" w:rsidRDefault="007B4696">
      <w:pPr>
        <w:spacing w:before="42" w:after="0" w:line="240" w:lineRule="auto"/>
        <w:ind w:right="39"/>
        <w:rPr>
          <w:rFonts w:eastAsia="Arial" w:cstheme="minorHAnsi"/>
          <w:color w:val="231F20"/>
          <w:kern w:val="2"/>
          <w:lang w:val="cs-CZ"/>
        </w:rPr>
      </w:pPr>
      <w:r w:rsidRPr="007B4696">
        <w:rPr>
          <w:rFonts w:eastAsia="Arial" w:cstheme="minorHAnsi"/>
          <w:color w:val="231F20"/>
          <w:kern w:val="2"/>
          <w:lang w:val="cs-CZ"/>
        </w:rPr>
        <w:t xml:space="preserve">Oripex čistič uší sám o sobě není léčivý přípravek, ale může efektivně podporovat léčbu léčivými přípravky. </w:t>
      </w:r>
      <w:r w:rsidR="00C05272">
        <w:rPr>
          <w:rFonts w:eastAsia="Arial" w:cstheme="minorHAnsi"/>
          <w:color w:val="231F20"/>
          <w:kern w:val="2"/>
          <w:lang w:val="cs-CZ"/>
        </w:rPr>
        <w:t>Před použitím</w:t>
      </w:r>
      <w:r w:rsidRPr="007B4696">
        <w:rPr>
          <w:rFonts w:eastAsia="Arial" w:cstheme="minorHAnsi"/>
          <w:color w:val="231F20"/>
          <w:kern w:val="2"/>
          <w:lang w:val="cs-CZ"/>
        </w:rPr>
        <w:t xml:space="preserve"> antibiotických ušních kapek </w:t>
      </w:r>
      <w:r w:rsidR="00C05272">
        <w:rPr>
          <w:rFonts w:eastAsia="Arial" w:cstheme="minorHAnsi"/>
          <w:color w:val="231F20"/>
          <w:kern w:val="2"/>
          <w:lang w:val="cs-CZ"/>
        </w:rPr>
        <w:t>je vhodné</w:t>
      </w:r>
      <w:r w:rsidRPr="007B4696">
        <w:rPr>
          <w:rFonts w:eastAsia="Arial" w:cstheme="minorHAnsi"/>
          <w:color w:val="231F20"/>
          <w:kern w:val="2"/>
          <w:lang w:val="cs-CZ"/>
        </w:rPr>
        <w:t xml:space="preserve">, pokud je vnější zvukovod vyčištěn 30 minut před aplikací nekyselým čističem uší, jako je </w:t>
      </w:r>
      <w:proofErr w:type="spellStart"/>
      <w:r w:rsidRPr="007B4696">
        <w:rPr>
          <w:rFonts w:eastAsia="Arial" w:cstheme="minorHAnsi"/>
          <w:color w:val="231F20"/>
          <w:kern w:val="2"/>
          <w:lang w:val="cs-CZ"/>
        </w:rPr>
        <w:t>Oripex</w:t>
      </w:r>
      <w:proofErr w:type="spellEnd"/>
      <w:r w:rsidRPr="007B4696">
        <w:rPr>
          <w:rFonts w:eastAsia="Arial" w:cstheme="minorHAnsi"/>
          <w:color w:val="231F20"/>
          <w:kern w:val="2"/>
          <w:lang w:val="cs-CZ"/>
        </w:rPr>
        <w:t xml:space="preserve"> čistič uší.</w:t>
      </w:r>
    </w:p>
    <w:p w14:paraId="78F68583" w14:textId="51BA8939" w:rsidR="00440D31" w:rsidRPr="00644973" w:rsidRDefault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r w:rsidRPr="00644973">
        <w:rPr>
          <w:rFonts w:eastAsia="Arial" w:cstheme="minorHAnsi"/>
          <w:color w:val="231F20"/>
          <w:kern w:val="2"/>
          <w:lang w:val="cs-CZ"/>
        </w:rPr>
        <w:t xml:space="preserve">Hygienické </w:t>
      </w:r>
      <w:r w:rsidR="00605225">
        <w:rPr>
          <w:rFonts w:eastAsia="Arial" w:cstheme="minorHAnsi"/>
          <w:color w:val="231F20"/>
          <w:kern w:val="2"/>
          <w:lang w:val="cs-CZ"/>
        </w:rPr>
        <w:t>a</w:t>
      </w:r>
      <w:r w:rsidR="0018784B" w:rsidRPr="00644973">
        <w:rPr>
          <w:rFonts w:eastAsia="Arial" w:cstheme="minorHAnsi"/>
          <w:color w:val="231F20"/>
          <w:kern w:val="2"/>
          <w:lang w:val="cs-CZ"/>
        </w:rPr>
        <w:t>mpulky</w:t>
      </w:r>
      <w:r w:rsidR="0018784B">
        <w:rPr>
          <w:rFonts w:eastAsia="Arial" w:cstheme="minorHAnsi"/>
          <w:color w:val="231F20"/>
          <w:kern w:val="2"/>
          <w:lang w:val="cs-CZ"/>
        </w:rPr>
        <w:t xml:space="preserve"> </w:t>
      </w:r>
      <w:r w:rsidR="00605225">
        <w:rPr>
          <w:rFonts w:eastAsia="Arial" w:cstheme="minorHAnsi"/>
          <w:color w:val="231F20"/>
          <w:kern w:val="2"/>
          <w:lang w:val="cs-CZ"/>
        </w:rPr>
        <w:t xml:space="preserve">se </w:t>
      </w:r>
      <w:r w:rsidR="00C304E9">
        <w:rPr>
          <w:rFonts w:eastAsia="Arial" w:cstheme="minorHAnsi"/>
          <w:color w:val="231F20"/>
          <w:kern w:val="2"/>
          <w:lang w:val="cs-CZ"/>
        </w:rPr>
        <w:t>používají většinou</w:t>
      </w:r>
      <w:r w:rsidR="0018784B">
        <w:rPr>
          <w:rFonts w:eastAsia="Arial" w:cstheme="minorHAnsi"/>
          <w:color w:val="231F20"/>
          <w:kern w:val="2"/>
          <w:lang w:val="cs-CZ"/>
        </w:rPr>
        <w:t xml:space="preserve"> </w:t>
      </w:r>
      <w:r w:rsidRPr="00644973">
        <w:rPr>
          <w:rFonts w:eastAsia="Arial" w:cstheme="minorHAnsi"/>
          <w:color w:val="231F20"/>
          <w:kern w:val="2"/>
          <w:lang w:val="cs-CZ"/>
        </w:rPr>
        <w:t>jednorázov</w:t>
      </w:r>
      <w:r w:rsidR="00C304E9">
        <w:rPr>
          <w:rFonts w:eastAsia="Arial" w:cstheme="minorHAnsi"/>
          <w:color w:val="231F20"/>
          <w:kern w:val="2"/>
          <w:lang w:val="cs-CZ"/>
        </w:rPr>
        <w:t>ě</w:t>
      </w:r>
      <w:r w:rsidR="0018784B">
        <w:rPr>
          <w:rFonts w:eastAsia="Arial" w:cstheme="minorHAnsi"/>
          <w:color w:val="231F20"/>
          <w:kern w:val="2"/>
          <w:lang w:val="cs-CZ"/>
        </w:rPr>
        <w:t xml:space="preserve">, </w:t>
      </w:r>
      <w:r w:rsidR="0018784B">
        <w:rPr>
          <w:rFonts w:eastAsia="Arial" w:cstheme="minorHAnsi"/>
          <w:color w:val="231F20"/>
          <w:kern w:val="2"/>
          <w:lang w:val="cs-CZ"/>
        </w:rPr>
        <w:lastRenderedPageBreak/>
        <w:t>čímž se snižuje riziko opětovné a křížové kontaminace při aplikaci</w:t>
      </w:r>
      <w:r w:rsidRPr="00644973">
        <w:rPr>
          <w:rFonts w:eastAsia="Arial" w:cstheme="minorHAnsi"/>
          <w:color w:val="231F20"/>
          <w:kern w:val="2"/>
          <w:lang w:val="cs-CZ"/>
        </w:rPr>
        <w:t xml:space="preserve"> </w:t>
      </w:r>
      <w:r w:rsidR="0018784B">
        <w:rPr>
          <w:rFonts w:eastAsia="Arial" w:cstheme="minorHAnsi"/>
          <w:color w:val="231F20"/>
          <w:kern w:val="2"/>
          <w:lang w:val="cs-CZ"/>
        </w:rPr>
        <w:t xml:space="preserve">přípravku </w:t>
      </w:r>
      <w:r w:rsidRPr="00644973">
        <w:rPr>
          <w:rFonts w:eastAsia="Arial" w:cstheme="minorHAnsi"/>
          <w:color w:val="231F20"/>
          <w:kern w:val="2"/>
          <w:lang w:val="cs-CZ"/>
        </w:rPr>
        <w:t xml:space="preserve">(„přenos </w:t>
      </w:r>
      <w:r w:rsidR="0018784B">
        <w:rPr>
          <w:rFonts w:eastAsia="Arial" w:cstheme="minorHAnsi"/>
          <w:color w:val="231F20"/>
          <w:kern w:val="2"/>
          <w:lang w:val="cs-CZ"/>
        </w:rPr>
        <w:t>původců zánětlivého onemocnění</w:t>
      </w:r>
      <w:r w:rsidRPr="00644973">
        <w:rPr>
          <w:rFonts w:eastAsia="Arial" w:cstheme="minorHAnsi"/>
          <w:color w:val="231F20"/>
          <w:kern w:val="2"/>
          <w:lang w:val="cs-CZ"/>
        </w:rPr>
        <w:t>“). S ampulkami se snadno manipuluje a usnadňují správné dávkování.</w:t>
      </w:r>
    </w:p>
    <w:p w14:paraId="246CE5FB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</w:p>
    <w:p w14:paraId="00BF9D89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u w:val="single"/>
          <w:lang w:val="cs-CZ"/>
        </w:rPr>
      </w:pPr>
      <w:r w:rsidRPr="00644973">
        <w:rPr>
          <w:rFonts w:eastAsia="Arial" w:cstheme="minorHAnsi"/>
          <w:color w:val="231F20"/>
          <w:kern w:val="2"/>
          <w:u w:val="single"/>
          <w:lang w:val="cs-CZ"/>
        </w:rPr>
        <w:t>Doporučení pro použití:</w:t>
      </w:r>
    </w:p>
    <w:p w14:paraId="520B51F5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r w:rsidRPr="00644973">
        <w:rPr>
          <w:rFonts w:eastAsia="Arial" w:cstheme="minorHAnsi"/>
          <w:color w:val="231F20"/>
          <w:kern w:val="2"/>
          <w:lang w:val="cs-CZ"/>
        </w:rPr>
        <w:t>Čistič uší lze zahřát v ruce, aby byla aplikace pro vašeho domácího mazlíčka ještě příjemnější.</w:t>
      </w:r>
    </w:p>
    <w:p w14:paraId="1753FEE5" w14:textId="7C2F2BDE" w:rsidR="00440D31" w:rsidRPr="00644973" w:rsidRDefault="00440D31" w:rsidP="00440D31">
      <w:pPr>
        <w:pStyle w:val="Odstavecseseznamem"/>
        <w:numPr>
          <w:ilvl w:val="0"/>
          <w:numId w:val="20"/>
        </w:num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r w:rsidRPr="00644973">
        <w:rPr>
          <w:rFonts w:eastAsia="Arial" w:cstheme="minorHAnsi"/>
          <w:color w:val="231F20"/>
          <w:kern w:val="2"/>
          <w:lang w:val="cs-CZ"/>
        </w:rPr>
        <w:t xml:space="preserve">Otevřete ampulku </w:t>
      </w:r>
      <w:r w:rsidR="00932C1C">
        <w:rPr>
          <w:rFonts w:eastAsia="Arial" w:cstheme="minorHAnsi"/>
          <w:color w:val="231F20"/>
          <w:kern w:val="2"/>
          <w:lang w:val="cs-CZ"/>
        </w:rPr>
        <w:t>odlome</w:t>
      </w:r>
      <w:r w:rsidR="00644973" w:rsidRPr="00644973">
        <w:rPr>
          <w:rFonts w:eastAsia="Arial" w:cstheme="minorHAnsi"/>
          <w:color w:val="231F20"/>
          <w:kern w:val="2"/>
          <w:lang w:val="cs-CZ"/>
        </w:rPr>
        <w:t xml:space="preserve">ním </w:t>
      </w:r>
      <w:r w:rsidRPr="00644973">
        <w:rPr>
          <w:rFonts w:eastAsia="Arial" w:cstheme="minorHAnsi"/>
          <w:color w:val="231F20"/>
          <w:kern w:val="2"/>
          <w:lang w:val="cs-CZ"/>
        </w:rPr>
        <w:t>víčka.</w:t>
      </w:r>
    </w:p>
    <w:p w14:paraId="0C6662CC" w14:textId="77777777" w:rsidR="00440D31" w:rsidRPr="00644973" w:rsidRDefault="00440D31" w:rsidP="00440D31">
      <w:pPr>
        <w:pStyle w:val="Odstavecseseznamem"/>
        <w:numPr>
          <w:ilvl w:val="0"/>
          <w:numId w:val="20"/>
        </w:num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r w:rsidRPr="00644973">
        <w:rPr>
          <w:rFonts w:eastAsia="Arial" w:cstheme="minorHAnsi"/>
          <w:color w:val="231F20"/>
          <w:kern w:val="2"/>
          <w:lang w:val="cs-CZ"/>
        </w:rPr>
        <w:t>Nakapejte obsah jedné ampulky do vnějšího zvukovodu. Pro malé psy a kočky použijte polovinu množství.</w:t>
      </w:r>
    </w:p>
    <w:p w14:paraId="4EE8EA26" w14:textId="38B2CD86" w:rsidR="00440D31" w:rsidRPr="00644973" w:rsidRDefault="00440D31" w:rsidP="00440D31">
      <w:pPr>
        <w:pStyle w:val="Odstavecseseznamem"/>
        <w:numPr>
          <w:ilvl w:val="0"/>
          <w:numId w:val="20"/>
        </w:num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r w:rsidRPr="00644973">
        <w:rPr>
          <w:rFonts w:eastAsia="Arial" w:cstheme="minorHAnsi"/>
          <w:color w:val="231F20"/>
          <w:kern w:val="2"/>
          <w:lang w:val="cs-CZ"/>
        </w:rPr>
        <w:t xml:space="preserve">Masírujte </w:t>
      </w:r>
      <w:r w:rsidR="00644973" w:rsidRPr="00644973">
        <w:rPr>
          <w:rFonts w:eastAsia="Arial" w:cstheme="minorHAnsi"/>
          <w:color w:val="231F20"/>
          <w:kern w:val="2"/>
          <w:lang w:val="cs-CZ"/>
        </w:rPr>
        <w:t xml:space="preserve">ucho </w:t>
      </w:r>
      <w:r w:rsidRPr="00644973">
        <w:rPr>
          <w:rFonts w:eastAsia="Arial" w:cstheme="minorHAnsi"/>
          <w:color w:val="231F20"/>
          <w:kern w:val="2"/>
          <w:lang w:val="cs-CZ"/>
        </w:rPr>
        <w:t>nejméně 1 minutu od hlavy k boltci.</w:t>
      </w:r>
    </w:p>
    <w:p w14:paraId="586B9CEE" w14:textId="4FCD0C53" w:rsidR="00440D31" w:rsidRPr="00644973" w:rsidRDefault="00644973" w:rsidP="00440D31">
      <w:pPr>
        <w:pStyle w:val="Odstavecseseznamem"/>
        <w:numPr>
          <w:ilvl w:val="0"/>
          <w:numId w:val="20"/>
        </w:num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r w:rsidRPr="00644973">
        <w:rPr>
          <w:rFonts w:eastAsia="Arial" w:cstheme="minorHAnsi"/>
          <w:color w:val="231F20"/>
          <w:kern w:val="2"/>
          <w:lang w:val="cs-CZ"/>
        </w:rPr>
        <w:t xml:space="preserve">Dovolte </w:t>
      </w:r>
      <w:r w:rsidR="00440D31" w:rsidRPr="00644973">
        <w:rPr>
          <w:rFonts w:eastAsia="Arial" w:cstheme="minorHAnsi"/>
          <w:color w:val="231F20"/>
          <w:kern w:val="2"/>
          <w:lang w:val="cs-CZ"/>
        </w:rPr>
        <w:t>zvíře</w:t>
      </w:r>
      <w:r w:rsidRPr="00644973">
        <w:rPr>
          <w:rFonts w:eastAsia="Arial" w:cstheme="minorHAnsi"/>
          <w:color w:val="231F20"/>
          <w:kern w:val="2"/>
          <w:lang w:val="cs-CZ"/>
        </w:rPr>
        <w:t xml:space="preserve">ti, </w:t>
      </w:r>
      <w:r w:rsidR="00440D31" w:rsidRPr="00644973">
        <w:rPr>
          <w:rFonts w:eastAsia="Arial" w:cstheme="minorHAnsi"/>
          <w:color w:val="231F20"/>
          <w:kern w:val="2"/>
          <w:lang w:val="cs-CZ"/>
        </w:rPr>
        <w:t xml:space="preserve">aby se mohlo </w:t>
      </w:r>
      <w:r w:rsidR="00932C1C">
        <w:rPr>
          <w:rFonts w:eastAsia="Arial" w:cstheme="minorHAnsi"/>
          <w:color w:val="231F20"/>
          <w:kern w:val="2"/>
          <w:lang w:val="cs-CZ"/>
        </w:rPr>
        <w:t>otřepat</w:t>
      </w:r>
      <w:r w:rsidR="00440D31" w:rsidRPr="00644973">
        <w:rPr>
          <w:rFonts w:eastAsia="Arial" w:cstheme="minorHAnsi"/>
          <w:color w:val="231F20"/>
          <w:kern w:val="2"/>
          <w:lang w:val="cs-CZ"/>
        </w:rPr>
        <w:t>.</w:t>
      </w:r>
    </w:p>
    <w:p w14:paraId="33702A3B" w14:textId="77777777" w:rsidR="00440D31" w:rsidRPr="00644973" w:rsidRDefault="00440D31" w:rsidP="00440D31">
      <w:pPr>
        <w:pStyle w:val="Odstavecseseznamem"/>
        <w:numPr>
          <w:ilvl w:val="0"/>
          <w:numId w:val="20"/>
        </w:num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r w:rsidRPr="00644973">
        <w:rPr>
          <w:rFonts w:eastAsia="Arial" w:cstheme="minorHAnsi"/>
          <w:color w:val="231F20"/>
          <w:kern w:val="2"/>
          <w:lang w:val="cs-CZ"/>
        </w:rPr>
        <w:t>Otřete boltec měkkým suchým hadříkem.</w:t>
      </w:r>
    </w:p>
    <w:p w14:paraId="7110F61E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</w:p>
    <w:p w14:paraId="5B768341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u w:val="single"/>
          <w:lang w:val="cs-CZ"/>
        </w:rPr>
      </w:pPr>
      <w:r w:rsidRPr="00644973">
        <w:rPr>
          <w:rFonts w:eastAsia="Arial" w:cstheme="minorHAnsi"/>
          <w:color w:val="231F20"/>
          <w:kern w:val="2"/>
          <w:u w:val="single"/>
          <w:lang w:val="cs-CZ"/>
        </w:rPr>
        <w:t>Četnost použití:</w:t>
      </w:r>
    </w:p>
    <w:p w14:paraId="6C962FF3" w14:textId="271FE640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proofErr w:type="spellStart"/>
      <w:r w:rsidRPr="00644973">
        <w:rPr>
          <w:rFonts w:eastAsia="Arial" w:cstheme="minorHAnsi"/>
          <w:color w:val="231F20"/>
          <w:kern w:val="2"/>
          <w:lang w:val="cs-CZ"/>
        </w:rPr>
        <w:t>Oripex</w:t>
      </w:r>
      <w:proofErr w:type="spellEnd"/>
      <w:r w:rsidRPr="00644973">
        <w:rPr>
          <w:rFonts w:eastAsia="Arial" w:cstheme="minorHAnsi"/>
          <w:color w:val="231F20"/>
          <w:kern w:val="2"/>
          <w:lang w:val="cs-CZ"/>
        </w:rPr>
        <w:t xml:space="preserve"> čistič uší je vhodný pro </w:t>
      </w:r>
      <w:r w:rsidRPr="00644973">
        <w:rPr>
          <w:rFonts w:eastAsia="Arial" w:cstheme="minorHAnsi"/>
          <w:color w:val="231F20"/>
          <w:kern w:val="2"/>
          <w:lang w:val="cs-CZ"/>
        </w:rPr>
        <w:lastRenderedPageBreak/>
        <w:t>pravidelné používání</w:t>
      </w:r>
      <w:r w:rsidR="00932C1C">
        <w:rPr>
          <w:rFonts w:eastAsia="Arial" w:cstheme="minorHAnsi"/>
          <w:color w:val="231F20"/>
          <w:kern w:val="2"/>
          <w:lang w:val="cs-CZ"/>
        </w:rPr>
        <w:t xml:space="preserve"> dle potřeby, případně dle </w:t>
      </w:r>
      <w:r w:rsidR="00932C1C" w:rsidRPr="00644973">
        <w:rPr>
          <w:rFonts w:eastAsia="Arial" w:cstheme="minorHAnsi"/>
          <w:color w:val="231F20"/>
          <w:kern w:val="2"/>
          <w:lang w:val="cs-CZ"/>
        </w:rPr>
        <w:t>doporučení veterinárního lékaře.</w:t>
      </w:r>
    </w:p>
    <w:p w14:paraId="58BA673A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</w:p>
    <w:p w14:paraId="0216EFEB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u w:val="single"/>
          <w:lang w:val="cs-CZ"/>
        </w:rPr>
      </w:pPr>
      <w:r w:rsidRPr="00644973">
        <w:rPr>
          <w:rFonts w:eastAsia="Arial" w:cstheme="minorHAnsi"/>
          <w:color w:val="231F20"/>
          <w:kern w:val="2"/>
          <w:u w:val="single"/>
          <w:lang w:val="cs-CZ"/>
        </w:rPr>
        <w:t>Poznámka:</w:t>
      </w:r>
    </w:p>
    <w:p w14:paraId="44FEC7AA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r w:rsidRPr="00644973">
        <w:rPr>
          <w:rFonts w:eastAsia="Arial" w:cstheme="minorHAnsi"/>
          <w:color w:val="231F20"/>
          <w:kern w:val="2"/>
          <w:lang w:val="cs-CZ"/>
        </w:rPr>
        <w:t>Nepoužívejte v případě přecitlivělosti na kteroukoli složku nebo při poranění bubínku. Zabraňte kontaktu s očima. V případě kontaktu s očima vypláchněte velkým množstvím vody. Uchovávejte mimo dosah dětí.</w:t>
      </w:r>
    </w:p>
    <w:p w14:paraId="7D3E8E90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</w:p>
    <w:p w14:paraId="63F017EE" w14:textId="77777777" w:rsidR="00440D31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cs-CZ"/>
        </w:rPr>
      </w:pPr>
      <w:r w:rsidRPr="00644973">
        <w:rPr>
          <w:rFonts w:eastAsia="Arial" w:cstheme="minorHAnsi"/>
          <w:color w:val="231F20"/>
          <w:kern w:val="2"/>
          <w:lang w:val="cs-CZ"/>
        </w:rPr>
        <w:t>Tip:</w:t>
      </w:r>
    </w:p>
    <w:p w14:paraId="0CD2FBC7" w14:textId="12822DB3" w:rsidR="00BD50B2" w:rsidRPr="00644973" w:rsidRDefault="00440D31" w:rsidP="00440D31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it-IT"/>
        </w:rPr>
      </w:pPr>
      <w:r w:rsidRPr="00644973">
        <w:rPr>
          <w:rFonts w:eastAsia="Arial" w:cstheme="minorHAnsi"/>
          <w:color w:val="231F20"/>
          <w:kern w:val="2"/>
          <w:lang w:val="cs-CZ"/>
        </w:rPr>
        <w:t xml:space="preserve">Mnoho zvířat po aplikace čističe uší zatřepe hlavou, což je velmi přínosné pro proces čištění. Společně s čističem uší se přitom ze zvukovodu </w:t>
      </w:r>
      <w:r w:rsidR="000F7A8D">
        <w:rPr>
          <w:rFonts w:eastAsia="Arial" w:cstheme="minorHAnsi"/>
          <w:color w:val="231F20"/>
          <w:kern w:val="2"/>
          <w:lang w:val="cs-CZ"/>
        </w:rPr>
        <w:t>uvolní</w:t>
      </w:r>
      <w:r w:rsidR="000F7A8D" w:rsidRPr="00644973">
        <w:rPr>
          <w:rFonts w:eastAsia="Arial" w:cstheme="minorHAnsi"/>
          <w:color w:val="231F20"/>
          <w:kern w:val="2"/>
          <w:lang w:val="cs-CZ"/>
        </w:rPr>
        <w:t xml:space="preserve"> </w:t>
      </w:r>
      <w:r w:rsidRPr="00644973">
        <w:rPr>
          <w:rFonts w:eastAsia="Arial" w:cstheme="minorHAnsi"/>
          <w:color w:val="231F20"/>
          <w:kern w:val="2"/>
          <w:lang w:val="cs-CZ"/>
        </w:rPr>
        <w:t>rozpuštěné nečistoty a cerumen (ušní maz). Je vhodné to vzít v úvahu při volbě místa a ošacení.</w:t>
      </w:r>
    </w:p>
    <w:p w14:paraId="1511AD81" w14:textId="77777777" w:rsidR="00440D31" w:rsidRDefault="00440D31" w:rsidP="00BD50B2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it-IT"/>
        </w:rPr>
      </w:pPr>
    </w:p>
    <w:p w14:paraId="6239E7C8" w14:textId="71A8B6E0" w:rsidR="00D67BC9" w:rsidRPr="00644973" w:rsidRDefault="00D67BC9" w:rsidP="00BD50B2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it-IT"/>
        </w:rPr>
      </w:pPr>
      <w:r>
        <w:rPr>
          <w:rFonts w:eastAsia="Arial" w:cstheme="minorHAnsi"/>
          <w:color w:val="231F20"/>
          <w:spacing w:val="-2"/>
          <w:kern w:val="2"/>
          <w:lang w:val="it-IT"/>
        </w:rPr>
        <w:t>Číslo schválení:</w:t>
      </w:r>
      <w:r w:rsidR="00621A67">
        <w:rPr>
          <w:rFonts w:eastAsia="Arial" w:cstheme="minorHAnsi"/>
          <w:color w:val="231F20"/>
          <w:spacing w:val="-2"/>
          <w:kern w:val="2"/>
          <w:lang w:val="it-IT"/>
        </w:rPr>
        <w:t xml:space="preserve"> 186-19/C</w:t>
      </w:r>
    </w:p>
    <w:p w14:paraId="627DCD27" w14:textId="77777777" w:rsidR="00AF0BB4" w:rsidRPr="00644973" w:rsidRDefault="00AF0BB4" w:rsidP="007A7B4C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it-IT"/>
        </w:rPr>
      </w:pPr>
    </w:p>
    <w:p w14:paraId="0F3447C8" w14:textId="77777777" w:rsidR="00AF0BB4" w:rsidRPr="00644973" w:rsidRDefault="00AF0BB4" w:rsidP="007A7B4C">
      <w:pPr>
        <w:spacing w:before="42" w:after="0" w:line="240" w:lineRule="auto"/>
        <w:ind w:right="39"/>
        <w:rPr>
          <w:rFonts w:eastAsia="Arial" w:cstheme="minorHAnsi"/>
          <w:color w:val="231F20"/>
          <w:spacing w:val="-2"/>
          <w:kern w:val="2"/>
          <w:lang w:val="it-IT"/>
        </w:rPr>
      </w:pPr>
    </w:p>
    <w:p w14:paraId="63B28BBC" w14:textId="77777777" w:rsidR="00963416" w:rsidRPr="00644973" w:rsidRDefault="00963416" w:rsidP="0028689D">
      <w:pPr>
        <w:spacing w:before="42" w:after="0" w:line="240" w:lineRule="auto"/>
        <w:ind w:right="39"/>
        <w:rPr>
          <w:rFonts w:eastAsia="Arial" w:cstheme="minorHAnsi"/>
          <w:color w:val="231F20"/>
          <w:lang w:val="nb-NO"/>
        </w:rPr>
        <w:sectPr w:rsidR="00963416" w:rsidRPr="00644973" w:rsidSect="00D145FF">
          <w:headerReference w:type="default" r:id="rId9"/>
          <w:type w:val="continuous"/>
          <w:pgSz w:w="11900" w:h="16840"/>
          <w:pgMar w:top="993" w:right="985" w:bottom="280" w:left="851" w:header="720" w:footer="720" w:gutter="0"/>
          <w:cols w:num="3" w:space="720"/>
        </w:sectPr>
      </w:pPr>
    </w:p>
    <w:p w14:paraId="53A7A175" w14:textId="77777777" w:rsidR="00963416" w:rsidRPr="00644973" w:rsidRDefault="00963416" w:rsidP="00D145FF">
      <w:pPr>
        <w:spacing w:before="42" w:after="0" w:line="240" w:lineRule="auto"/>
        <w:ind w:right="39"/>
        <w:rPr>
          <w:rFonts w:eastAsia="Arial" w:cstheme="minorHAnsi"/>
          <w:lang w:val="nb-NO"/>
        </w:rPr>
      </w:pPr>
    </w:p>
    <w:sectPr w:rsidR="00963416" w:rsidRPr="00644973" w:rsidSect="00D145FF">
      <w:type w:val="continuous"/>
      <w:pgSz w:w="11900" w:h="16840"/>
      <w:pgMar w:top="1580" w:right="1680" w:bottom="280" w:left="1680" w:header="720" w:footer="720" w:gutter="0"/>
      <w:cols w:num="3" w:space="184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0716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94DDA" w14:textId="77777777" w:rsidR="00386647" w:rsidRDefault="00386647" w:rsidP="00D145FF">
      <w:pPr>
        <w:spacing w:after="0" w:line="240" w:lineRule="auto"/>
      </w:pPr>
      <w:r>
        <w:separator/>
      </w:r>
    </w:p>
  </w:endnote>
  <w:endnote w:type="continuationSeparator" w:id="0">
    <w:p w14:paraId="78A795DB" w14:textId="77777777" w:rsidR="00386647" w:rsidRDefault="00386647" w:rsidP="00D1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D3C9B" w14:textId="77777777" w:rsidR="00386647" w:rsidRDefault="00386647" w:rsidP="00D145FF">
      <w:pPr>
        <w:spacing w:after="0" w:line="240" w:lineRule="auto"/>
      </w:pPr>
      <w:r>
        <w:separator/>
      </w:r>
    </w:p>
  </w:footnote>
  <w:footnote w:type="continuationSeparator" w:id="0">
    <w:p w14:paraId="52FA5FBE" w14:textId="77777777" w:rsidR="00386647" w:rsidRDefault="00386647" w:rsidP="00D1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6F036" w14:textId="77777777" w:rsidR="00BD50B2" w:rsidRPr="00AB0E1C" w:rsidRDefault="00E42D3D" w:rsidP="00D145FF">
    <w:pPr>
      <w:tabs>
        <w:tab w:val="left" w:pos="6946"/>
        <w:tab w:val="left" w:pos="12049"/>
      </w:tabs>
      <w:jc w:val="both"/>
      <w:rPr>
        <w:rFonts w:ascii="Verdana" w:hAnsi="Verdana"/>
      </w:rPr>
    </w:pPr>
    <w:r>
      <w:rPr>
        <w:rFonts w:ascii="Verdana" w:hAnsi="Verdana"/>
        <w:b/>
        <w:bCs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E9B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19DF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F9B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F4A27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C332C"/>
    <w:multiLevelType w:val="hybridMultilevel"/>
    <w:tmpl w:val="C94CE8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D4561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F09F2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95EA4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40413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42708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3015E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A74E4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65E8E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1579E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12358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D67B3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8357E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5812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04172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F09BF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95D19"/>
    <w:multiLevelType w:val="hybridMultilevel"/>
    <w:tmpl w:val="060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7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"/>
  </w:num>
  <w:num w:numId="10">
    <w:abstractNumId w:val="17"/>
  </w:num>
  <w:num w:numId="11">
    <w:abstractNumId w:val="1"/>
  </w:num>
  <w:num w:numId="12">
    <w:abstractNumId w:val="14"/>
  </w:num>
  <w:num w:numId="13">
    <w:abstractNumId w:val="20"/>
  </w:num>
  <w:num w:numId="14">
    <w:abstractNumId w:val="19"/>
  </w:num>
  <w:num w:numId="15">
    <w:abstractNumId w:val="8"/>
  </w:num>
  <w:num w:numId="16">
    <w:abstractNumId w:val="6"/>
  </w:num>
  <w:num w:numId="17">
    <w:abstractNumId w:val="0"/>
  </w:num>
  <w:num w:numId="18">
    <w:abstractNumId w:val="4"/>
  </w:num>
  <w:num w:numId="19">
    <w:abstractNumId w:val="16"/>
  </w:num>
  <w:num w:numId="20">
    <w:abstractNumId w:val="18"/>
  </w:num>
  <w:num w:numId="21">
    <w:abstractNumId w:val="12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anna Dambachmayr">
    <w15:presenceInfo w15:providerId="None" w15:userId="Johanna Dambachmay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16"/>
    <w:rsid w:val="000246B3"/>
    <w:rsid w:val="000C5BC1"/>
    <w:rsid w:val="000F5FB0"/>
    <w:rsid w:val="000F7A8D"/>
    <w:rsid w:val="00100C69"/>
    <w:rsid w:val="00105080"/>
    <w:rsid w:val="001258EB"/>
    <w:rsid w:val="001317D8"/>
    <w:rsid w:val="001522D0"/>
    <w:rsid w:val="0018784B"/>
    <w:rsid w:val="001B6C2C"/>
    <w:rsid w:val="001E2031"/>
    <w:rsid w:val="001F1AA5"/>
    <w:rsid w:val="00236BD7"/>
    <w:rsid w:val="0028689D"/>
    <w:rsid w:val="002B5738"/>
    <w:rsid w:val="002B61C1"/>
    <w:rsid w:val="002C668B"/>
    <w:rsid w:val="002F7DEF"/>
    <w:rsid w:val="00360CDC"/>
    <w:rsid w:val="00386647"/>
    <w:rsid w:val="003F56BB"/>
    <w:rsid w:val="00440D31"/>
    <w:rsid w:val="00453294"/>
    <w:rsid w:val="004F4F75"/>
    <w:rsid w:val="00605225"/>
    <w:rsid w:val="00621A67"/>
    <w:rsid w:val="00644973"/>
    <w:rsid w:val="00694187"/>
    <w:rsid w:val="006A7826"/>
    <w:rsid w:val="00707879"/>
    <w:rsid w:val="00780A1A"/>
    <w:rsid w:val="007A7B4C"/>
    <w:rsid w:val="007B4696"/>
    <w:rsid w:val="007F6CB9"/>
    <w:rsid w:val="008012B7"/>
    <w:rsid w:val="00811D53"/>
    <w:rsid w:val="0082363C"/>
    <w:rsid w:val="008532CD"/>
    <w:rsid w:val="008702E8"/>
    <w:rsid w:val="00871F6A"/>
    <w:rsid w:val="00892DF7"/>
    <w:rsid w:val="00932C1C"/>
    <w:rsid w:val="00963416"/>
    <w:rsid w:val="0099041E"/>
    <w:rsid w:val="009B7219"/>
    <w:rsid w:val="009E28F8"/>
    <w:rsid w:val="009E372B"/>
    <w:rsid w:val="00A173D2"/>
    <w:rsid w:val="00A46CD5"/>
    <w:rsid w:val="00AB0E1C"/>
    <w:rsid w:val="00AE69BB"/>
    <w:rsid w:val="00AF0BB4"/>
    <w:rsid w:val="00B501CF"/>
    <w:rsid w:val="00BC10A7"/>
    <w:rsid w:val="00BD50B2"/>
    <w:rsid w:val="00BE70DC"/>
    <w:rsid w:val="00BF58B8"/>
    <w:rsid w:val="00C05272"/>
    <w:rsid w:val="00C16847"/>
    <w:rsid w:val="00C304E9"/>
    <w:rsid w:val="00C3611D"/>
    <w:rsid w:val="00C77DD8"/>
    <w:rsid w:val="00C9337A"/>
    <w:rsid w:val="00CF0C58"/>
    <w:rsid w:val="00D03649"/>
    <w:rsid w:val="00D145FF"/>
    <w:rsid w:val="00D30DFE"/>
    <w:rsid w:val="00D67BC9"/>
    <w:rsid w:val="00D7645C"/>
    <w:rsid w:val="00D94FD5"/>
    <w:rsid w:val="00DA52FD"/>
    <w:rsid w:val="00DC2C4B"/>
    <w:rsid w:val="00DD61CB"/>
    <w:rsid w:val="00DE363F"/>
    <w:rsid w:val="00DF7676"/>
    <w:rsid w:val="00E1082F"/>
    <w:rsid w:val="00E42D3D"/>
    <w:rsid w:val="00E47D11"/>
    <w:rsid w:val="00FA31DC"/>
    <w:rsid w:val="00FC5B29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1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45FF"/>
  </w:style>
  <w:style w:type="paragraph" w:styleId="Zpat">
    <w:name w:val="footer"/>
    <w:basedOn w:val="Normln"/>
    <w:link w:val="ZpatChar"/>
    <w:uiPriority w:val="99"/>
    <w:unhideWhenUsed/>
    <w:rsid w:val="00D1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5FF"/>
  </w:style>
  <w:style w:type="character" w:styleId="Odkaznakoment">
    <w:name w:val="annotation reference"/>
    <w:basedOn w:val="Standardnpsmoodstavce"/>
    <w:uiPriority w:val="99"/>
    <w:semiHidden/>
    <w:unhideWhenUsed/>
    <w:rsid w:val="00AB0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E1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E1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B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0E1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8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45FF"/>
  </w:style>
  <w:style w:type="paragraph" w:styleId="Zpat">
    <w:name w:val="footer"/>
    <w:basedOn w:val="Normln"/>
    <w:link w:val="ZpatChar"/>
    <w:uiPriority w:val="99"/>
    <w:unhideWhenUsed/>
    <w:rsid w:val="00D1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5FF"/>
  </w:style>
  <w:style w:type="character" w:styleId="Odkaznakoment">
    <w:name w:val="annotation reference"/>
    <w:basedOn w:val="Standardnpsmoodstavce"/>
    <w:uiPriority w:val="99"/>
    <w:semiHidden/>
    <w:unhideWhenUsed/>
    <w:rsid w:val="00AB0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E1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E1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B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0E1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8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1F39-5EAE-438C-B2F5-41CD891C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RZ_GI_Aurimed_Ohrreiniger_A5.indd</vt:lpstr>
      <vt:lpstr>RZ_GI_Aurimed_Ohrreiniger_A5.indd</vt:lpstr>
      <vt:lpstr>RZ_GI_Aurimed_Ohrreiniger_A5.indd</vt:lpstr>
    </vt:vector>
  </TitlesOfParts>
  <Company>Richter Pharma AG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RZ_GI_Aurimed_Ohrreiniger_A5.indd</dc:title>
  <dc:creator>meurer</dc:creator>
  <cp:lastModifiedBy>Klapková Kristýna</cp:lastModifiedBy>
  <cp:revision>7</cp:revision>
  <dcterms:created xsi:type="dcterms:W3CDTF">2019-09-25T09:09:00Z</dcterms:created>
  <dcterms:modified xsi:type="dcterms:W3CDTF">2019-12-17T08:49:00Z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LastSaved">
    <vt:filetime>2018-06-26T00:00:00Z</vt:filetime>
  </property>
</Properties>
</file>