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16" w:rsidRPr="00F15219" w:rsidRDefault="003B3016" w:rsidP="000F184C">
      <w:pPr>
        <w:jc w:val="center"/>
        <w:rPr>
          <w:sz w:val="24"/>
          <w:szCs w:val="24"/>
          <w:lang w:val="cs-CZ"/>
        </w:rPr>
      </w:pPr>
      <w:bookmarkStart w:id="0" w:name="_GoBack"/>
      <w:bookmarkEnd w:id="0"/>
      <w:r w:rsidRPr="00F15219">
        <w:rPr>
          <w:b/>
          <w:sz w:val="24"/>
          <w:szCs w:val="24"/>
          <w:lang w:val="cs-CZ"/>
        </w:rPr>
        <w:t>PŘÍBALOVÁ INFORMACE</w:t>
      </w:r>
    </w:p>
    <w:p w:rsidR="003B3016" w:rsidRPr="00F15219" w:rsidRDefault="003B3016" w:rsidP="00E733D5">
      <w:pPr>
        <w:tabs>
          <w:tab w:val="clear" w:pos="567"/>
        </w:tabs>
        <w:spacing w:line="240" w:lineRule="auto"/>
        <w:jc w:val="center"/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Vecoxan</w:t>
      </w:r>
      <w:proofErr w:type="spellEnd"/>
      <w:r w:rsidRPr="00F15219">
        <w:rPr>
          <w:sz w:val="24"/>
          <w:szCs w:val="24"/>
          <w:lang w:val="cs-CZ"/>
        </w:rPr>
        <w:t xml:space="preserve"> 2,5 mg/ml perorální suspenze pro jehňata a telata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1.</w:t>
      </w:r>
      <w:r w:rsidRPr="00F15219">
        <w:rPr>
          <w:b/>
          <w:sz w:val="24"/>
          <w:szCs w:val="24"/>
          <w:lang w:val="cs-CZ"/>
        </w:rPr>
        <w:tab/>
        <w:t>JMÉNO A ADRESA DRŽITELE ROZHODNUTÍ O REGISTRACI A DRŽITELE POVOLENÍ K VÝROBĚ ODPOVĚDNÉHO ZA UVOLNĚNÍ ŠARŽE, POKUD SE NESHODUJE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iCs/>
          <w:sz w:val="24"/>
          <w:szCs w:val="24"/>
          <w:lang w:val="cs-CZ"/>
        </w:rPr>
      </w:pPr>
      <w:r w:rsidRPr="00F15219">
        <w:rPr>
          <w:iCs/>
          <w:sz w:val="24"/>
          <w:szCs w:val="24"/>
          <w:u w:val="single"/>
          <w:lang w:val="cs-CZ"/>
        </w:rPr>
        <w:t>Držitel rozhodnutí o registraci:</w:t>
      </w:r>
    </w:p>
    <w:p w:rsidR="00BB2C8A" w:rsidRPr="003C369B" w:rsidRDefault="00BB2C8A" w:rsidP="00BB2C8A">
      <w:pPr>
        <w:pStyle w:val="Bezmezer"/>
        <w:rPr>
          <w:szCs w:val="22"/>
          <w:lang w:val="en-US"/>
        </w:rPr>
      </w:pPr>
      <w:proofErr w:type="gramStart"/>
      <w:r w:rsidRPr="003C369B">
        <w:rPr>
          <w:szCs w:val="22"/>
          <w:lang w:val="en-US"/>
        </w:rPr>
        <w:t>Intervet International B.V.</w:t>
      </w:r>
      <w:proofErr w:type="gramEnd"/>
    </w:p>
    <w:p w:rsidR="00BB2C8A" w:rsidRPr="003C369B" w:rsidRDefault="00BB2C8A" w:rsidP="00BB2C8A">
      <w:pPr>
        <w:pStyle w:val="Bezmezer"/>
        <w:rPr>
          <w:szCs w:val="22"/>
          <w:lang w:val="en-US"/>
        </w:rPr>
      </w:pPr>
      <w:proofErr w:type="spellStart"/>
      <w:r w:rsidRPr="003C369B">
        <w:rPr>
          <w:szCs w:val="22"/>
          <w:lang w:val="en-US"/>
        </w:rPr>
        <w:t>Wim</w:t>
      </w:r>
      <w:proofErr w:type="spellEnd"/>
      <w:r w:rsidRPr="003C369B">
        <w:rPr>
          <w:szCs w:val="22"/>
          <w:lang w:val="en-US"/>
        </w:rPr>
        <w:t xml:space="preserve"> de </w:t>
      </w:r>
      <w:proofErr w:type="spellStart"/>
      <w:r w:rsidRPr="003C369B">
        <w:rPr>
          <w:szCs w:val="22"/>
          <w:lang w:val="en-US"/>
        </w:rPr>
        <w:t>Körverstraat</w:t>
      </w:r>
      <w:proofErr w:type="spellEnd"/>
      <w:r w:rsidRPr="003C369B">
        <w:rPr>
          <w:szCs w:val="22"/>
          <w:lang w:val="en-US"/>
        </w:rPr>
        <w:t xml:space="preserve"> 35</w:t>
      </w:r>
    </w:p>
    <w:p w:rsidR="00BB2C8A" w:rsidRPr="003C369B" w:rsidRDefault="00BB2C8A" w:rsidP="00BB2C8A">
      <w:pPr>
        <w:pStyle w:val="Bezmezer"/>
        <w:rPr>
          <w:szCs w:val="22"/>
          <w:lang w:val="en-US"/>
        </w:rPr>
      </w:pPr>
      <w:proofErr w:type="gramStart"/>
      <w:r w:rsidRPr="003C369B">
        <w:rPr>
          <w:szCs w:val="22"/>
          <w:lang w:val="en-US"/>
        </w:rPr>
        <w:t>5831 AN</w:t>
      </w:r>
      <w:proofErr w:type="gramEnd"/>
      <w:r w:rsidRPr="003C369B">
        <w:rPr>
          <w:szCs w:val="22"/>
          <w:lang w:val="en-US"/>
        </w:rPr>
        <w:t xml:space="preserve"> </w:t>
      </w:r>
      <w:proofErr w:type="spellStart"/>
      <w:r w:rsidRPr="003C369B">
        <w:rPr>
          <w:szCs w:val="22"/>
          <w:lang w:val="en-US"/>
        </w:rPr>
        <w:t>Boxmeer</w:t>
      </w:r>
      <w:proofErr w:type="spellEnd"/>
    </w:p>
    <w:p w:rsidR="00BB2C8A" w:rsidRPr="003C369B" w:rsidRDefault="00BB2C8A" w:rsidP="00BB2C8A">
      <w:pPr>
        <w:pStyle w:val="Bezmezer"/>
        <w:rPr>
          <w:szCs w:val="22"/>
          <w:lang w:val="en-US"/>
        </w:rPr>
      </w:pPr>
      <w:proofErr w:type="spellStart"/>
      <w:r>
        <w:rPr>
          <w:lang w:val="en-US"/>
        </w:rPr>
        <w:t>Nizozemsko</w:t>
      </w:r>
      <w:proofErr w:type="spellEnd"/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bCs/>
          <w:sz w:val="24"/>
          <w:szCs w:val="24"/>
          <w:u w:val="single"/>
          <w:lang w:val="cs-CZ"/>
        </w:rPr>
      </w:pPr>
      <w:r w:rsidRPr="00F15219">
        <w:rPr>
          <w:bCs/>
          <w:sz w:val="24"/>
          <w:szCs w:val="24"/>
          <w:u w:val="single"/>
          <w:lang w:val="cs-CZ"/>
        </w:rPr>
        <w:t>Výrobce odpovědný za uvolnění šarže</w:t>
      </w:r>
      <w:r w:rsidRPr="00F15219">
        <w:rPr>
          <w:sz w:val="24"/>
          <w:szCs w:val="24"/>
          <w:u w:val="single"/>
          <w:lang w:val="cs-CZ"/>
        </w:rPr>
        <w:t>: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Lusomedicamenta</w:t>
      </w:r>
      <w:proofErr w:type="spellEnd"/>
      <w:r w:rsidRPr="00F15219">
        <w:rPr>
          <w:sz w:val="24"/>
          <w:szCs w:val="24"/>
          <w:lang w:val="cs-CZ"/>
        </w:rPr>
        <w:t xml:space="preserve">, </w:t>
      </w:r>
      <w:proofErr w:type="spellStart"/>
      <w:r w:rsidRPr="00F15219">
        <w:rPr>
          <w:sz w:val="24"/>
          <w:szCs w:val="24"/>
          <w:lang w:val="cs-CZ"/>
        </w:rPr>
        <w:t>Sociedade</w:t>
      </w:r>
      <w:proofErr w:type="spellEnd"/>
      <w:r w:rsidRPr="00F15219">
        <w:rPr>
          <w:sz w:val="24"/>
          <w:szCs w:val="24"/>
          <w:lang w:val="cs-CZ"/>
        </w:rPr>
        <w:t xml:space="preserve"> </w:t>
      </w:r>
      <w:proofErr w:type="spellStart"/>
      <w:r w:rsidRPr="00F15219">
        <w:rPr>
          <w:sz w:val="24"/>
          <w:szCs w:val="24"/>
          <w:lang w:val="cs-CZ"/>
        </w:rPr>
        <w:t>Técnica</w:t>
      </w:r>
      <w:proofErr w:type="spellEnd"/>
      <w:r w:rsidRPr="00F15219">
        <w:rPr>
          <w:sz w:val="24"/>
          <w:szCs w:val="24"/>
          <w:lang w:val="cs-CZ"/>
        </w:rPr>
        <w:t xml:space="preserve"> </w:t>
      </w:r>
      <w:proofErr w:type="spellStart"/>
      <w:r w:rsidRPr="00F15219">
        <w:rPr>
          <w:sz w:val="24"/>
          <w:szCs w:val="24"/>
          <w:lang w:val="cs-CZ"/>
        </w:rPr>
        <w:t>Farmacêutica</w:t>
      </w:r>
      <w:proofErr w:type="spellEnd"/>
      <w:r w:rsidRPr="00F15219">
        <w:rPr>
          <w:sz w:val="24"/>
          <w:szCs w:val="24"/>
          <w:lang w:val="cs-CZ"/>
        </w:rPr>
        <w:t xml:space="preserve">, </w:t>
      </w:r>
      <w:proofErr w:type="gramStart"/>
      <w:r w:rsidRPr="00F15219">
        <w:rPr>
          <w:sz w:val="24"/>
          <w:szCs w:val="24"/>
          <w:lang w:val="cs-CZ"/>
        </w:rPr>
        <w:t>S.A.</w:t>
      </w:r>
      <w:proofErr w:type="gramEnd"/>
    </w:p>
    <w:p w:rsidR="003B3016" w:rsidRPr="00F15219" w:rsidRDefault="003B3016" w:rsidP="000F184C">
      <w:pPr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Consiglieri</w:t>
      </w:r>
      <w:proofErr w:type="spellEnd"/>
      <w:r w:rsidRPr="00F15219">
        <w:rPr>
          <w:sz w:val="24"/>
          <w:szCs w:val="24"/>
          <w:lang w:val="cs-CZ"/>
        </w:rPr>
        <w:t xml:space="preserve"> </w:t>
      </w:r>
      <w:proofErr w:type="spellStart"/>
      <w:r w:rsidRPr="00F15219">
        <w:rPr>
          <w:sz w:val="24"/>
          <w:szCs w:val="24"/>
          <w:lang w:val="cs-CZ"/>
        </w:rPr>
        <w:t>Pedroso</w:t>
      </w:r>
      <w:proofErr w:type="spellEnd"/>
      <w:r w:rsidRPr="00F15219">
        <w:rPr>
          <w:sz w:val="24"/>
          <w:szCs w:val="24"/>
          <w:lang w:val="cs-CZ"/>
        </w:rPr>
        <w:t>, 69-B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Queluz</w:t>
      </w:r>
      <w:proofErr w:type="spellEnd"/>
      <w:r w:rsidRPr="00F15219">
        <w:rPr>
          <w:sz w:val="24"/>
          <w:szCs w:val="24"/>
          <w:lang w:val="cs-CZ"/>
        </w:rPr>
        <w:t xml:space="preserve"> de </w:t>
      </w:r>
      <w:proofErr w:type="spellStart"/>
      <w:r w:rsidRPr="00F15219">
        <w:rPr>
          <w:sz w:val="24"/>
          <w:szCs w:val="24"/>
          <w:lang w:val="cs-CZ"/>
        </w:rPr>
        <w:t>Baixo</w:t>
      </w:r>
      <w:proofErr w:type="spellEnd"/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 xml:space="preserve">2730-055 </w:t>
      </w:r>
      <w:proofErr w:type="spellStart"/>
      <w:r w:rsidRPr="00F15219">
        <w:rPr>
          <w:sz w:val="24"/>
          <w:szCs w:val="24"/>
          <w:lang w:val="cs-CZ"/>
        </w:rPr>
        <w:t>Barcarena</w:t>
      </w:r>
      <w:proofErr w:type="spellEnd"/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Portugalsko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2.</w:t>
      </w:r>
      <w:r w:rsidRPr="00F15219">
        <w:rPr>
          <w:b/>
          <w:sz w:val="24"/>
          <w:szCs w:val="24"/>
          <w:lang w:val="cs-CZ"/>
        </w:rPr>
        <w:tab/>
        <w:t>NÁZEV VETERINÁRNÍHO LÉČIVÉHO PŘÍPRAVKU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E733D5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Vecoxan</w:t>
      </w:r>
      <w:proofErr w:type="spellEnd"/>
      <w:r w:rsidRPr="00F15219">
        <w:rPr>
          <w:sz w:val="24"/>
          <w:szCs w:val="24"/>
          <w:lang w:val="cs-CZ"/>
        </w:rPr>
        <w:t xml:space="preserve"> 2,5 mg/ml perorální suspenze pro jehňata a telata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Diclazurilum</w:t>
      </w:r>
      <w:proofErr w:type="spellEnd"/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3.</w:t>
      </w:r>
      <w:r w:rsidRPr="00F15219">
        <w:rPr>
          <w:b/>
          <w:sz w:val="24"/>
          <w:szCs w:val="24"/>
          <w:lang w:val="cs-CZ"/>
        </w:rPr>
        <w:tab/>
        <w:t>OBSAH LÉČIVÝCH A OSTATNÍCH LÁTEK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proofErr w:type="spellStart"/>
      <w:r w:rsidRPr="00F15219">
        <w:rPr>
          <w:sz w:val="24"/>
          <w:szCs w:val="24"/>
          <w:lang w:val="cs-CZ"/>
        </w:rPr>
        <w:t>Vecoxan</w:t>
      </w:r>
      <w:proofErr w:type="spellEnd"/>
      <w:r w:rsidRPr="00F15219">
        <w:rPr>
          <w:sz w:val="24"/>
          <w:szCs w:val="24"/>
          <w:lang w:val="cs-CZ"/>
        </w:rPr>
        <w:t xml:space="preserve"> je bílá perorální suspenze obsahující </w:t>
      </w:r>
      <w:proofErr w:type="spellStart"/>
      <w:r w:rsidRPr="00F15219">
        <w:rPr>
          <w:sz w:val="24"/>
          <w:szCs w:val="24"/>
          <w:lang w:val="cs-CZ"/>
        </w:rPr>
        <w:t>Diclazurilum</w:t>
      </w:r>
      <w:proofErr w:type="spellEnd"/>
      <w:r w:rsidRPr="00F15219">
        <w:rPr>
          <w:sz w:val="24"/>
          <w:szCs w:val="24"/>
          <w:lang w:val="cs-CZ"/>
        </w:rPr>
        <w:t xml:space="preserve"> jako účinnou látku</w:t>
      </w:r>
      <w:r w:rsidR="007574FD">
        <w:rPr>
          <w:sz w:val="24"/>
          <w:szCs w:val="24"/>
          <w:lang w:val="cs-CZ"/>
        </w:rPr>
        <w:t>.</w:t>
      </w:r>
    </w:p>
    <w:p w:rsidR="003B3016" w:rsidRPr="00F15219" w:rsidRDefault="003B3016" w:rsidP="00E733D5">
      <w:pPr>
        <w:pStyle w:val="ipidtekst"/>
        <w:widowControl/>
        <w:tabs>
          <w:tab w:val="left" w:pos="567"/>
          <w:tab w:val="left" w:pos="6899"/>
          <w:tab w:val="right" w:pos="7655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t xml:space="preserve">Každý ml obsahuje: </w:t>
      </w:r>
      <w:proofErr w:type="spellStart"/>
      <w:r w:rsidRPr="00F15219">
        <w:rPr>
          <w:rFonts w:ascii="Times New Roman" w:hAnsi="Times New Roman"/>
          <w:sz w:val="24"/>
          <w:szCs w:val="24"/>
          <w:lang w:val="cs-CZ"/>
        </w:rPr>
        <w:t>Diclazurilum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 xml:space="preserve"> 2,5 mg</w:t>
      </w:r>
      <w:r w:rsidRPr="00467000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F15219">
        <w:rPr>
          <w:rFonts w:ascii="Times New Roman" w:hAnsi="Times New Roman"/>
          <w:sz w:val="24"/>
          <w:szCs w:val="24"/>
          <w:lang w:val="cs-CZ"/>
        </w:rPr>
        <w:t>methylparaben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 xml:space="preserve"> (E218) 1,8 mg, </w:t>
      </w:r>
      <w:proofErr w:type="spellStart"/>
      <w:r w:rsidRPr="00F15219">
        <w:rPr>
          <w:rFonts w:ascii="Times New Roman" w:hAnsi="Times New Roman"/>
          <w:sz w:val="24"/>
          <w:szCs w:val="24"/>
          <w:lang w:val="cs-CZ"/>
        </w:rPr>
        <w:t>propylparaben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 xml:space="preserve"> 0,2 mg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4.</w:t>
      </w:r>
      <w:r w:rsidRPr="00F15219">
        <w:rPr>
          <w:b/>
          <w:sz w:val="24"/>
          <w:szCs w:val="24"/>
          <w:lang w:val="cs-CZ"/>
        </w:rPr>
        <w:tab/>
        <w:t>INDIKACE</w:t>
      </w:r>
    </w:p>
    <w:p w:rsidR="003B3016" w:rsidRPr="00F15219" w:rsidRDefault="003B3016" w:rsidP="00E733D5">
      <w:pPr>
        <w:pStyle w:val="ipidondertitelnr"/>
        <w:widowControl/>
        <w:tabs>
          <w:tab w:val="left" w:pos="567"/>
        </w:tabs>
        <w:ind w:left="708" w:hanging="708"/>
        <w:jc w:val="both"/>
        <w:rPr>
          <w:rFonts w:ascii="Times New Roman" w:hAnsi="Times New Roman"/>
          <w:b w:val="0"/>
          <w:sz w:val="24"/>
          <w:szCs w:val="24"/>
          <w:u w:val="single"/>
          <w:lang w:val="cs-CZ"/>
        </w:rPr>
      </w:pPr>
    </w:p>
    <w:p w:rsidR="003B3016" w:rsidRPr="00F15219" w:rsidRDefault="003B3016" w:rsidP="00E733D5">
      <w:pPr>
        <w:pStyle w:val="ipidondertitelnr"/>
        <w:widowControl/>
        <w:tabs>
          <w:tab w:val="left" w:pos="567"/>
        </w:tabs>
        <w:ind w:left="708" w:hanging="708"/>
        <w:jc w:val="both"/>
        <w:rPr>
          <w:rFonts w:ascii="Times New Roman" w:hAnsi="Times New Roman"/>
          <w:b w:val="0"/>
          <w:sz w:val="24"/>
          <w:szCs w:val="24"/>
          <w:u w:val="single"/>
          <w:lang w:val="cs-CZ"/>
        </w:rPr>
      </w:pPr>
      <w:r w:rsidRPr="00F15219">
        <w:rPr>
          <w:rFonts w:ascii="Times New Roman" w:hAnsi="Times New Roman"/>
          <w:b w:val="0"/>
          <w:sz w:val="24"/>
          <w:szCs w:val="24"/>
          <w:u w:val="single"/>
          <w:lang w:val="cs-CZ"/>
        </w:rPr>
        <w:t>Jehňata:</w:t>
      </w:r>
    </w:p>
    <w:p w:rsidR="003B3016" w:rsidRPr="00F15219" w:rsidRDefault="003B3016" w:rsidP="00E733D5">
      <w:pPr>
        <w:pStyle w:val="ipidtekst"/>
        <w:widowControl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t xml:space="preserve">Prevence kokcidióz způsobených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 w:rsidRPr="00F15219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crandallis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 w:rsidRPr="00F15219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ovinoidalis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>.</w:t>
      </w:r>
    </w:p>
    <w:p w:rsidR="003B3016" w:rsidRPr="00F15219" w:rsidRDefault="003B3016" w:rsidP="00E733D5">
      <w:pPr>
        <w:pStyle w:val="ipidtekst"/>
        <w:widowControl/>
        <w:tabs>
          <w:tab w:val="left" w:pos="567"/>
        </w:tabs>
        <w:ind w:left="708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B3016" w:rsidRPr="00F15219" w:rsidRDefault="003B3016" w:rsidP="00E733D5">
      <w:pPr>
        <w:pStyle w:val="ipidtekst"/>
        <w:widowControl/>
        <w:tabs>
          <w:tab w:val="left" w:pos="567"/>
        </w:tabs>
        <w:ind w:left="708" w:hanging="708"/>
        <w:jc w:val="both"/>
        <w:rPr>
          <w:rFonts w:ascii="Times New Roman" w:hAnsi="Times New Roman"/>
          <w:sz w:val="24"/>
          <w:szCs w:val="24"/>
          <w:u w:val="single"/>
          <w:lang w:val="cs-CZ"/>
        </w:rPr>
      </w:pPr>
      <w:r w:rsidRPr="00F15219">
        <w:rPr>
          <w:rFonts w:ascii="Times New Roman" w:hAnsi="Times New Roman"/>
          <w:sz w:val="24"/>
          <w:szCs w:val="24"/>
          <w:u w:val="single"/>
          <w:lang w:val="cs-CZ"/>
        </w:rPr>
        <w:t>Telata:</w:t>
      </w:r>
    </w:p>
    <w:p w:rsidR="003B3016" w:rsidRPr="00F15219" w:rsidRDefault="003B3016" w:rsidP="00E733D5">
      <w:pPr>
        <w:pStyle w:val="ipidtekst"/>
        <w:widowControl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t xml:space="preserve">Prevence kokcidióz způsobených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 w:rsidRPr="00F15219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bovis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 w:rsidRPr="00F15219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F15219">
        <w:rPr>
          <w:rFonts w:ascii="Times New Roman" w:hAnsi="Times New Roman"/>
          <w:i/>
          <w:sz w:val="24"/>
          <w:szCs w:val="24"/>
          <w:lang w:val="cs-CZ"/>
        </w:rPr>
        <w:t>zuernii</w:t>
      </w:r>
      <w:proofErr w:type="spellEnd"/>
      <w:r w:rsidRPr="00F15219">
        <w:rPr>
          <w:rFonts w:ascii="Times New Roman" w:hAnsi="Times New Roman"/>
          <w:sz w:val="24"/>
          <w:szCs w:val="24"/>
          <w:lang w:val="cs-CZ"/>
        </w:rPr>
        <w:t>.</w:t>
      </w:r>
    </w:p>
    <w:p w:rsidR="003B3016" w:rsidRPr="00F15219" w:rsidRDefault="003B3016" w:rsidP="00E733D5">
      <w:pPr>
        <w:spacing w:line="240" w:lineRule="auto"/>
        <w:jc w:val="both"/>
        <w:rPr>
          <w:sz w:val="24"/>
          <w:szCs w:val="24"/>
          <w:lang w:val="cs-CZ" w:eastAsia="cs-CZ"/>
        </w:rPr>
      </w:pPr>
    </w:p>
    <w:p w:rsidR="003B3016" w:rsidRPr="00F15219" w:rsidRDefault="003B3016" w:rsidP="00E733D5">
      <w:pPr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>Pokud aktuálně neprobíhá či nebyla v nedávné době ve stádě vyšetřením potvrzena klinická kokcidióza, je nutné před ošetřením přítomnost kokcidií potvrdit vyšetřením exkrementů.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 xml:space="preserve">5. </w:t>
      </w:r>
      <w:r w:rsidRPr="00F15219">
        <w:rPr>
          <w:b/>
          <w:sz w:val="24"/>
          <w:szCs w:val="24"/>
          <w:lang w:val="cs-CZ"/>
        </w:rPr>
        <w:tab/>
        <w:t>KONTRAINDIKACE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765510" w:rsidRPr="00F15219" w:rsidRDefault="00765510" w:rsidP="00765510">
      <w:pPr>
        <w:spacing w:line="240" w:lineRule="auto"/>
        <w:jc w:val="both"/>
        <w:rPr>
          <w:b/>
          <w:sz w:val="24"/>
          <w:szCs w:val="24"/>
          <w:lang w:val="cs-CZ"/>
        </w:rPr>
      </w:pPr>
      <w:r w:rsidRPr="00BF7F1E">
        <w:rPr>
          <w:sz w:val="24"/>
          <w:szCs w:val="24"/>
          <w:lang w:val="cs-CZ"/>
        </w:rPr>
        <w:t>Nepoužívat v případě přecitlivělosti na léčivou látku nebo na kteroukoli pomocnou látku tohoto přípravku</w:t>
      </w:r>
      <w:r>
        <w:rPr>
          <w:sz w:val="24"/>
          <w:szCs w:val="24"/>
          <w:lang w:val="cs-CZ"/>
        </w:rPr>
        <w:t xml:space="preserve">. 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6.</w:t>
      </w:r>
      <w:r w:rsidRPr="00F15219">
        <w:rPr>
          <w:b/>
          <w:sz w:val="24"/>
          <w:szCs w:val="24"/>
          <w:lang w:val="cs-CZ"/>
        </w:rPr>
        <w:tab/>
        <w:t>NEŽÁDOUCÍ ÚČINKY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765510" w:rsidRPr="008A7D5A" w:rsidRDefault="00765510" w:rsidP="00765510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 xml:space="preserve">Ve velmi vzácných případech </w:t>
      </w:r>
      <w:r>
        <w:rPr>
          <w:sz w:val="24"/>
          <w:szCs w:val="24"/>
          <w:lang w:val="cs-CZ"/>
        </w:rPr>
        <w:t xml:space="preserve">byly hlášeny </w:t>
      </w:r>
      <w:r w:rsidRPr="008A7D5A">
        <w:rPr>
          <w:sz w:val="24"/>
          <w:szCs w:val="24"/>
          <w:lang w:val="cs-CZ"/>
        </w:rPr>
        <w:t xml:space="preserve">nežádoucí účinky zahrnující gastrointestinální </w:t>
      </w:r>
      <w:r>
        <w:rPr>
          <w:sz w:val="24"/>
          <w:szCs w:val="24"/>
          <w:lang w:val="cs-CZ"/>
        </w:rPr>
        <w:t>poruchy</w:t>
      </w:r>
      <w:r w:rsidRPr="008A7D5A">
        <w:rPr>
          <w:sz w:val="24"/>
          <w:szCs w:val="24"/>
          <w:lang w:val="cs-CZ"/>
        </w:rPr>
        <w:t xml:space="preserve"> (jako je průjem, s možnou přítomností krve),</w:t>
      </w:r>
      <w:r>
        <w:rPr>
          <w:sz w:val="24"/>
          <w:szCs w:val="24"/>
          <w:lang w:val="cs-CZ"/>
        </w:rPr>
        <w:t xml:space="preserve"> letargie a / nebo neurologické problémy (neklid, poloha vleže, </w:t>
      </w:r>
      <w:proofErr w:type="gramStart"/>
      <w:r>
        <w:rPr>
          <w:sz w:val="24"/>
          <w:szCs w:val="24"/>
          <w:lang w:val="cs-CZ"/>
        </w:rPr>
        <w:t>paréza, ...)</w:t>
      </w:r>
      <w:r w:rsidRPr="008A7D5A">
        <w:rPr>
          <w:sz w:val="24"/>
          <w:szCs w:val="24"/>
          <w:lang w:val="cs-CZ"/>
        </w:rPr>
        <w:t>.</w:t>
      </w:r>
      <w:proofErr w:type="gramEnd"/>
      <w:r w:rsidRPr="008A7D5A">
        <w:rPr>
          <w:sz w:val="24"/>
          <w:szCs w:val="24"/>
          <w:lang w:val="cs-CZ"/>
        </w:rPr>
        <w:t xml:space="preserve"> </w:t>
      </w:r>
    </w:p>
    <w:p w:rsidR="00765510" w:rsidRDefault="00765510" w:rsidP="00765510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Některá</w:t>
      </w:r>
      <w:r w:rsidRPr="008A7D5A">
        <w:rPr>
          <w:sz w:val="24"/>
          <w:szCs w:val="24"/>
          <w:lang w:val="cs-CZ"/>
        </w:rPr>
        <w:t xml:space="preserve"> léčená zvířata mohou vykazovat známky klinické</w:t>
      </w:r>
      <w:r>
        <w:rPr>
          <w:sz w:val="24"/>
          <w:szCs w:val="24"/>
          <w:lang w:val="cs-CZ"/>
        </w:rPr>
        <w:t>ho</w:t>
      </w:r>
      <w:r w:rsidRPr="008A7D5A">
        <w:rPr>
          <w:sz w:val="24"/>
          <w:szCs w:val="24"/>
          <w:lang w:val="cs-CZ"/>
        </w:rPr>
        <w:t xml:space="preserve"> onemocnění (průjem), i když vylučování o</w:t>
      </w:r>
      <w:r>
        <w:rPr>
          <w:sz w:val="24"/>
          <w:szCs w:val="24"/>
          <w:lang w:val="cs-CZ"/>
        </w:rPr>
        <w:t>o</w:t>
      </w:r>
      <w:r w:rsidRPr="008A7D5A">
        <w:rPr>
          <w:sz w:val="24"/>
          <w:szCs w:val="24"/>
          <w:lang w:val="cs-CZ"/>
        </w:rPr>
        <w:t xml:space="preserve">cyst </w:t>
      </w:r>
      <w:r>
        <w:rPr>
          <w:sz w:val="24"/>
          <w:szCs w:val="24"/>
          <w:lang w:val="cs-CZ"/>
        </w:rPr>
        <w:t xml:space="preserve">je na velmi nízké úrovni. </w:t>
      </w:r>
    </w:p>
    <w:p w:rsidR="00765510" w:rsidRPr="008A7D5A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lang w:val="cs-CZ"/>
        </w:rPr>
      </w:pPr>
    </w:p>
    <w:p w:rsidR="00765510" w:rsidRPr="008A7D5A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Frekvence nežádoucích účinků jsou definovány</w:t>
      </w:r>
      <w:r w:rsidRPr="008A7D5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jako</w:t>
      </w:r>
      <w:r w:rsidRPr="008A7D5A">
        <w:rPr>
          <w:sz w:val="24"/>
          <w:szCs w:val="24"/>
          <w:lang w:val="cs-CZ"/>
        </w:rPr>
        <w:t xml:space="preserve">: </w:t>
      </w:r>
    </w:p>
    <w:p w:rsidR="00765510" w:rsidRPr="008A7D5A" w:rsidRDefault="00765510" w:rsidP="00765510">
      <w:pPr>
        <w:tabs>
          <w:tab w:val="clear" w:pos="567"/>
        </w:tabs>
        <w:spacing w:line="240" w:lineRule="auto"/>
        <w:ind w:left="142" w:hanging="142"/>
        <w:jc w:val="both"/>
        <w:rPr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>- Velmi časté (u více než 1 z 10 zvířat, která vykazují nežádoucí účinek</w:t>
      </w:r>
      <w:r>
        <w:rPr>
          <w:sz w:val="24"/>
          <w:szCs w:val="24"/>
          <w:lang w:val="cs-CZ"/>
        </w:rPr>
        <w:t xml:space="preserve"> (y) v</w:t>
      </w:r>
      <w:r w:rsidRPr="008A7D5A">
        <w:rPr>
          <w:sz w:val="24"/>
          <w:szCs w:val="24"/>
          <w:lang w:val="cs-CZ"/>
        </w:rPr>
        <w:t xml:space="preserve"> průběhu jednoho ošetření) </w:t>
      </w:r>
    </w:p>
    <w:p w:rsidR="00765510" w:rsidRPr="008A7D5A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 xml:space="preserve">- Časté (u více než 1, ale méně než 10 zvířat ze 100 zvířat) </w:t>
      </w:r>
    </w:p>
    <w:p w:rsidR="00765510" w:rsidRPr="008A7D5A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 xml:space="preserve">- Méně časté (více než 1, ale méně než 10 zvířat z 1000 zvířat) </w:t>
      </w:r>
    </w:p>
    <w:p w:rsidR="00765510" w:rsidRPr="008A7D5A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 xml:space="preserve">- Vzácné (více než 1, ale méně než 10 zvířat z 10.000 zvířat) </w:t>
      </w:r>
    </w:p>
    <w:p w:rsidR="00765510" w:rsidRPr="00F15219" w:rsidRDefault="00765510" w:rsidP="00765510">
      <w:pPr>
        <w:spacing w:line="240" w:lineRule="auto"/>
        <w:jc w:val="both"/>
        <w:rPr>
          <w:b/>
          <w:sz w:val="24"/>
          <w:szCs w:val="24"/>
          <w:lang w:val="cs-CZ"/>
        </w:rPr>
      </w:pPr>
      <w:r w:rsidRPr="008A7D5A">
        <w:rPr>
          <w:sz w:val="24"/>
          <w:szCs w:val="24"/>
          <w:lang w:val="cs-CZ"/>
        </w:rPr>
        <w:t xml:space="preserve">- Velmi vzácné (méně než 1 zvíře z 10000 zvířat, včetně ojedinělých </w:t>
      </w:r>
      <w:r>
        <w:rPr>
          <w:sz w:val="24"/>
          <w:szCs w:val="24"/>
          <w:lang w:val="cs-CZ"/>
        </w:rPr>
        <w:t>hlášení</w:t>
      </w:r>
      <w:r w:rsidRPr="008A7D5A">
        <w:rPr>
          <w:sz w:val="24"/>
          <w:szCs w:val="24"/>
          <w:lang w:val="cs-CZ"/>
        </w:rPr>
        <w:t>).</w:t>
      </w:r>
    </w:p>
    <w:p w:rsidR="007574FD" w:rsidRDefault="007574FD" w:rsidP="00765510">
      <w:pPr>
        <w:rPr>
          <w:sz w:val="24"/>
          <w:szCs w:val="24"/>
          <w:lang w:val="cs-CZ"/>
        </w:rPr>
      </w:pPr>
    </w:p>
    <w:p w:rsidR="00765510" w:rsidRPr="00467000" w:rsidRDefault="00765510" w:rsidP="00765510">
      <w:pPr>
        <w:rPr>
          <w:sz w:val="24"/>
          <w:szCs w:val="24"/>
          <w:lang w:val="cs-CZ"/>
        </w:rPr>
      </w:pPr>
      <w:r w:rsidRPr="00467000">
        <w:rPr>
          <w:sz w:val="24"/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7.</w:t>
      </w:r>
      <w:r w:rsidRPr="00F15219">
        <w:rPr>
          <w:b/>
          <w:sz w:val="24"/>
          <w:szCs w:val="24"/>
          <w:lang w:val="cs-CZ"/>
        </w:rPr>
        <w:tab/>
        <w:t>CÍLOVÝ DRUH ZVÍŘAT</w:t>
      </w:r>
    </w:p>
    <w:p w:rsidR="003B3016" w:rsidRPr="00F15219" w:rsidRDefault="003B3016" w:rsidP="000F184C">
      <w:pPr>
        <w:rPr>
          <w:bCs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Cs/>
          <w:sz w:val="24"/>
          <w:szCs w:val="24"/>
          <w:lang w:val="cs-CZ"/>
        </w:rPr>
        <w:t>Ovce (jehňata) a skot (telata).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8.</w:t>
      </w:r>
      <w:r w:rsidRPr="00F15219">
        <w:rPr>
          <w:b/>
          <w:sz w:val="24"/>
          <w:szCs w:val="24"/>
          <w:lang w:val="cs-CZ"/>
        </w:rPr>
        <w:tab/>
        <w:t xml:space="preserve">DÁVKOVÁNÍ PRO KAŽDÝ DRUH, </w:t>
      </w:r>
      <w:proofErr w:type="gramStart"/>
      <w:r w:rsidRPr="00F15219">
        <w:rPr>
          <w:b/>
          <w:sz w:val="24"/>
          <w:szCs w:val="24"/>
          <w:lang w:val="cs-CZ"/>
        </w:rPr>
        <w:t>CESTA(Y) A ZPŮSOB</w:t>
      </w:r>
      <w:proofErr w:type="gramEnd"/>
      <w:r w:rsidRPr="00F15219">
        <w:rPr>
          <w:b/>
          <w:sz w:val="24"/>
          <w:szCs w:val="24"/>
          <w:lang w:val="cs-CZ"/>
        </w:rPr>
        <w:t xml:space="preserve"> PODÁNÍ</w:t>
      </w: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u w:val="single"/>
          <w:lang w:val="cs-CZ"/>
        </w:rPr>
      </w:pP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  <w:r w:rsidRPr="00F15219">
        <w:rPr>
          <w:bCs/>
          <w:sz w:val="24"/>
          <w:szCs w:val="24"/>
          <w:u w:val="single"/>
          <w:lang w:val="cs-CZ"/>
        </w:rPr>
        <w:t>Jehňata:</w:t>
      </w:r>
      <w:r w:rsidRPr="00F15219">
        <w:rPr>
          <w:bCs/>
          <w:sz w:val="24"/>
          <w:szCs w:val="24"/>
          <w:lang w:val="cs-CZ"/>
        </w:rPr>
        <w:t xml:space="preserve"> 1 mg </w:t>
      </w:r>
      <w:proofErr w:type="spellStart"/>
      <w:r w:rsidRPr="00F15219">
        <w:rPr>
          <w:bCs/>
          <w:sz w:val="24"/>
          <w:szCs w:val="24"/>
          <w:lang w:val="cs-CZ"/>
        </w:rPr>
        <w:t>diclazurilu</w:t>
      </w:r>
      <w:proofErr w:type="spellEnd"/>
      <w:r w:rsidRPr="00F15219">
        <w:rPr>
          <w:bCs/>
          <w:sz w:val="24"/>
          <w:szCs w:val="24"/>
          <w:lang w:val="cs-CZ"/>
        </w:rPr>
        <w:t xml:space="preserve"> na </w:t>
      </w:r>
      <w:smartTag w:uri="urn:schemas-microsoft-com:office:smarttags" w:element="metricconverter">
        <w:smartTagPr>
          <w:attr w:name="ProductID" w:val="1 kg"/>
        </w:smartTagPr>
        <w:r w:rsidRPr="00F15219">
          <w:rPr>
            <w:bCs/>
            <w:sz w:val="24"/>
            <w:szCs w:val="24"/>
            <w:lang w:val="cs-CZ"/>
          </w:rPr>
          <w:t>1 kg</w:t>
        </w:r>
      </w:smartTag>
      <w:r w:rsidRPr="00F15219">
        <w:rPr>
          <w:bCs/>
          <w:sz w:val="24"/>
          <w:szCs w:val="24"/>
          <w:lang w:val="cs-CZ"/>
        </w:rPr>
        <w:t xml:space="preserve"> živé hmotnosti (tzn. 1 ml perorální suspenze na </w:t>
      </w:r>
      <w:smartTag w:uri="urn:schemas-microsoft-com:office:smarttags" w:element="metricconverter">
        <w:smartTagPr>
          <w:attr w:name="ProductID" w:val="2,5 kg"/>
        </w:smartTagPr>
        <w:r w:rsidRPr="00F15219">
          <w:rPr>
            <w:bCs/>
            <w:sz w:val="24"/>
            <w:szCs w:val="24"/>
            <w:lang w:val="cs-CZ"/>
          </w:rPr>
          <w:t>2,5 kg</w:t>
        </w:r>
      </w:smartTag>
      <w:r w:rsidRPr="00F15219">
        <w:rPr>
          <w:bCs/>
          <w:sz w:val="24"/>
          <w:szCs w:val="24"/>
          <w:lang w:val="cs-CZ"/>
        </w:rPr>
        <w:t xml:space="preserve"> ž. </w:t>
      </w:r>
      <w:proofErr w:type="gramStart"/>
      <w:r w:rsidRPr="00F15219">
        <w:rPr>
          <w:bCs/>
          <w:sz w:val="24"/>
          <w:szCs w:val="24"/>
          <w:lang w:val="cs-CZ"/>
        </w:rPr>
        <w:t>hm</w:t>
      </w:r>
      <w:proofErr w:type="gramEnd"/>
      <w:r w:rsidRPr="00F15219">
        <w:rPr>
          <w:bCs/>
          <w:sz w:val="24"/>
          <w:szCs w:val="24"/>
          <w:lang w:val="cs-CZ"/>
        </w:rPr>
        <w:t>.), v jednorázovém perorálním podání.</w:t>
      </w: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  <w:r w:rsidRPr="00F15219">
        <w:rPr>
          <w:bCs/>
          <w:sz w:val="24"/>
          <w:szCs w:val="24"/>
          <w:u w:val="single"/>
          <w:lang w:val="cs-CZ"/>
        </w:rPr>
        <w:t>Telata:</w:t>
      </w:r>
      <w:r w:rsidRPr="00F15219">
        <w:rPr>
          <w:bCs/>
          <w:sz w:val="24"/>
          <w:szCs w:val="24"/>
          <w:lang w:val="cs-CZ"/>
        </w:rPr>
        <w:t xml:space="preserve"> 1 mg </w:t>
      </w:r>
      <w:proofErr w:type="spellStart"/>
      <w:r w:rsidRPr="00F15219">
        <w:rPr>
          <w:bCs/>
          <w:sz w:val="24"/>
          <w:szCs w:val="24"/>
          <w:lang w:val="cs-CZ"/>
        </w:rPr>
        <w:t>diclazurilu</w:t>
      </w:r>
      <w:proofErr w:type="spellEnd"/>
      <w:r w:rsidRPr="00F15219">
        <w:rPr>
          <w:bCs/>
          <w:sz w:val="24"/>
          <w:szCs w:val="24"/>
          <w:lang w:val="cs-CZ"/>
        </w:rPr>
        <w:t xml:space="preserve"> na </w:t>
      </w:r>
      <w:smartTag w:uri="urn:schemas-microsoft-com:office:smarttags" w:element="metricconverter">
        <w:smartTagPr>
          <w:attr w:name="ProductID" w:val="1 kg"/>
        </w:smartTagPr>
        <w:r w:rsidRPr="00F15219">
          <w:rPr>
            <w:bCs/>
            <w:sz w:val="24"/>
            <w:szCs w:val="24"/>
            <w:lang w:val="cs-CZ"/>
          </w:rPr>
          <w:t>1 kg</w:t>
        </w:r>
      </w:smartTag>
      <w:r w:rsidRPr="00F15219">
        <w:rPr>
          <w:bCs/>
          <w:sz w:val="24"/>
          <w:szCs w:val="24"/>
          <w:lang w:val="cs-CZ"/>
        </w:rPr>
        <w:t xml:space="preserve"> živé hmotnosti (tzn. 1 ml perorální suspenze na </w:t>
      </w:r>
      <w:smartTag w:uri="urn:schemas-microsoft-com:office:smarttags" w:element="metricconverter">
        <w:smartTagPr>
          <w:attr w:name="ProductID" w:val="2,5 kg"/>
        </w:smartTagPr>
        <w:r w:rsidRPr="00F15219">
          <w:rPr>
            <w:bCs/>
            <w:sz w:val="24"/>
            <w:szCs w:val="24"/>
            <w:lang w:val="cs-CZ"/>
          </w:rPr>
          <w:t>2,5 kg</w:t>
        </w:r>
      </w:smartTag>
      <w:r w:rsidRPr="00F15219">
        <w:rPr>
          <w:bCs/>
          <w:sz w:val="24"/>
          <w:szCs w:val="24"/>
          <w:lang w:val="cs-CZ"/>
        </w:rPr>
        <w:t xml:space="preserve"> ž. hm.), v jednorázovém perorálním podání.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9.</w:t>
      </w:r>
      <w:r w:rsidRPr="00F15219">
        <w:rPr>
          <w:b/>
          <w:sz w:val="24"/>
          <w:szCs w:val="24"/>
          <w:lang w:val="cs-CZ"/>
        </w:rPr>
        <w:tab/>
        <w:t>POKYNY PRO SPRÁVNÉ PODÁNÍ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765510" w:rsidRDefault="00765510" w:rsidP="00765510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Před použitím dobře protřepejte. </w:t>
      </w:r>
      <w:r w:rsidRPr="008A00BE">
        <w:rPr>
          <w:bCs/>
          <w:sz w:val="24"/>
          <w:szCs w:val="24"/>
          <w:lang w:val="cs-CZ"/>
        </w:rPr>
        <w:t xml:space="preserve"> </w:t>
      </w:r>
    </w:p>
    <w:p w:rsidR="00E26985" w:rsidRPr="008A00BE" w:rsidRDefault="00E26985" w:rsidP="00765510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</w:p>
    <w:p w:rsidR="00765510" w:rsidRPr="008A00BE" w:rsidRDefault="00765510" w:rsidP="00765510">
      <w:pPr>
        <w:tabs>
          <w:tab w:val="clear" w:pos="567"/>
        </w:tabs>
        <w:spacing w:line="240" w:lineRule="auto"/>
        <w:jc w:val="both"/>
        <w:rPr>
          <w:bCs/>
          <w:sz w:val="24"/>
          <w:szCs w:val="24"/>
          <w:lang w:val="cs-CZ"/>
        </w:rPr>
      </w:pPr>
      <w:r w:rsidRPr="008A00BE">
        <w:rPr>
          <w:bCs/>
          <w:sz w:val="24"/>
          <w:szCs w:val="24"/>
          <w:lang w:val="cs-CZ"/>
        </w:rPr>
        <w:t>Pro zajištění správného dávkování by měla být hmotnost zvířete stanovena co nejpřesněji</w:t>
      </w:r>
      <w:r>
        <w:rPr>
          <w:bCs/>
          <w:sz w:val="24"/>
          <w:szCs w:val="24"/>
          <w:lang w:val="cs-CZ"/>
        </w:rPr>
        <w:t xml:space="preserve">. </w:t>
      </w:r>
      <w:r w:rsidRPr="008A00BE">
        <w:rPr>
          <w:bCs/>
          <w:sz w:val="24"/>
          <w:szCs w:val="24"/>
          <w:lang w:val="cs-CZ"/>
        </w:rPr>
        <w:t xml:space="preserve"> </w:t>
      </w:r>
    </w:p>
    <w:p w:rsidR="00E26985" w:rsidRPr="001D2C0E" w:rsidRDefault="00E26985" w:rsidP="00E26985">
      <w:pPr>
        <w:tabs>
          <w:tab w:val="clear" w:pos="567"/>
        </w:tabs>
        <w:spacing w:line="240" w:lineRule="auto"/>
        <w:jc w:val="both"/>
        <w:rPr>
          <w:bCs/>
          <w:color w:val="000000" w:themeColor="text1"/>
          <w:sz w:val="24"/>
          <w:szCs w:val="24"/>
          <w:lang w:val="cs-CZ"/>
        </w:rPr>
      </w:pPr>
      <w:r w:rsidRPr="001D2C0E">
        <w:rPr>
          <w:bCs/>
          <w:color w:val="000000" w:themeColor="text1"/>
          <w:sz w:val="24"/>
          <w:szCs w:val="24"/>
          <w:lang w:val="cs-CZ"/>
        </w:rPr>
        <w:t xml:space="preserve">Jestliže jsou zvířata léčena skupinově místo individuálně, měla by být rozdělena podle živé hmotnosti a každé skupině podána odpovídající dávka, aby se zabránilo pod - nebo předávkování. </w:t>
      </w:r>
    </w:p>
    <w:p w:rsidR="00765510" w:rsidRPr="00F15219" w:rsidRDefault="00765510" w:rsidP="000F184C">
      <w:pPr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10.</w:t>
      </w:r>
      <w:r w:rsidRPr="00F15219">
        <w:rPr>
          <w:b/>
          <w:sz w:val="24"/>
          <w:szCs w:val="24"/>
          <w:lang w:val="cs-CZ"/>
        </w:rPr>
        <w:tab/>
        <w:t xml:space="preserve">OCHRANNÁ LHŮTA 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C55295">
      <w:pPr>
        <w:pStyle w:val="ipidtekst"/>
        <w:widowControl/>
        <w:tabs>
          <w:tab w:val="left" w:pos="567"/>
        </w:tabs>
        <w:ind w:left="708" w:hanging="708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t>Maso jehňat: bez ochranných lhůt.</w:t>
      </w:r>
    </w:p>
    <w:p w:rsidR="003B3016" w:rsidRPr="00F15219" w:rsidRDefault="003B3016" w:rsidP="00C55295">
      <w:pPr>
        <w:pStyle w:val="ipidtekst"/>
        <w:widowControl/>
        <w:tabs>
          <w:tab w:val="left" w:pos="567"/>
        </w:tabs>
        <w:ind w:left="708" w:hanging="708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t>Maso telat: bez ochranných lhůt.</w:t>
      </w:r>
    </w:p>
    <w:p w:rsidR="003B3016" w:rsidRPr="00F15219" w:rsidRDefault="003B3016" w:rsidP="000F184C">
      <w:pPr>
        <w:rPr>
          <w:iCs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11.</w:t>
      </w:r>
      <w:r w:rsidRPr="00F15219">
        <w:rPr>
          <w:b/>
          <w:sz w:val="24"/>
          <w:szCs w:val="24"/>
          <w:lang w:val="cs-CZ"/>
        </w:rPr>
        <w:tab/>
        <w:t>ZVLÁŠTNÍ OPATŘENÍ PRO UCHOVÁVÁNÍ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F15219" w:rsidRDefault="003B3016" w:rsidP="00C55295">
      <w:pPr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Uchovávat mimo dosah dětí.</w:t>
      </w:r>
    </w:p>
    <w:p w:rsidR="003B3016" w:rsidRPr="00F15219" w:rsidRDefault="003B3016" w:rsidP="00C55295">
      <w:pPr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 xml:space="preserve">Nepoužívejte </w:t>
      </w:r>
      <w:r w:rsidR="004250BE">
        <w:rPr>
          <w:sz w:val="24"/>
          <w:szCs w:val="24"/>
          <w:lang w:val="cs-CZ"/>
        </w:rPr>
        <w:t xml:space="preserve">tento veterinární léčivý přípravek </w:t>
      </w:r>
      <w:r w:rsidRPr="00F15219">
        <w:rPr>
          <w:sz w:val="24"/>
          <w:szCs w:val="24"/>
          <w:lang w:val="cs-CZ"/>
        </w:rPr>
        <w:t xml:space="preserve">po uplynutí doby použitelnosti uvedené na kartonu </w:t>
      </w:r>
      <w:r w:rsidR="004250BE">
        <w:rPr>
          <w:sz w:val="24"/>
          <w:szCs w:val="24"/>
          <w:lang w:val="cs-CZ"/>
        </w:rPr>
        <w:t>po</w:t>
      </w:r>
      <w:r w:rsidRPr="00F15219">
        <w:rPr>
          <w:sz w:val="24"/>
          <w:szCs w:val="24"/>
          <w:lang w:val="cs-CZ"/>
        </w:rPr>
        <w:t xml:space="preserve"> EXP.</w:t>
      </w:r>
    </w:p>
    <w:p w:rsidR="003B3016" w:rsidRPr="00F15219" w:rsidRDefault="003B3016" w:rsidP="000F184C">
      <w:pPr>
        <w:ind w:right="-2"/>
        <w:rPr>
          <w:noProof/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Chraňte před mrazem.</w:t>
      </w:r>
    </w:p>
    <w:p w:rsidR="003B3016" w:rsidRPr="00F15219" w:rsidRDefault="003B3016" w:rsidP="000F184C">
      <w:pPr>
        <w:ind w:right="-2"/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Doba použitelnosti po prvním otevření vnitřního obalu: 3 měsíce</w:t>
      </w:r>
      <w:r w:rsidR="004250BE">
        <w:rPr>
          <w:sz w:val="24"/>
          <w:szCs w:val="24"/>
          <w:lang w:val="cs-CZ"/>
        </w:rPr>
        <w:t>.</w:t>
      </w:r>
      <w:r w:rsidRPr="00F15219">
        <w:rPr>
          <w:sz w:val="24"/>
          <w:szCs w:val="24"/>
          <w:lang w:val="cs-CZ"/>
        </w:rPr>
        <w:t xml:space="preserve"> </w:t>
      </w:r>
    </w:p>
    <w:p w:rsidR="003B3016" w:rsidRPr="00F15219" w:rsidRDefault="003B3016" w:rsidP="000F184C">
      <w:pPr>
        <w:ind w:right="-318"/>
        <w:rPr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12.</w:t>
      </w:r>
      <w:r w:rsidRPr="00F15219">
        <w:rPr>
          <w:b/>
          <w:sz w:val="24"/>
          <w:szCs w:val="24"/>
          <w:lang w:val="cs-CZ"/>
        </w:rPr>
        <w:tab/>
        <w:t>ZVLÁŠTNÍ UPOZORNĚNÍ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765510" w:rsidRPr="00952349" w:rsidRDefault="00765510" w:rsidP="00765510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lang w:val="cs-CZ"/>
        </w:rPr>
      </w:pPr>
      <w:r w:rsidRPr="00952349">
        <w:rPr>
          <w:sz w:val="24"/>
          <w:szCs w:val="24"/>
          <w:u w:val="single"/>
          <w:lang w:val="cs-CZ"/>
        </w:rPr>
        <w:t>Zvláštní upozornění pro každý cílový druh:</w:t>
      </w:r>
    </w:p>
    <w:p w:rsidR="00765510" w:rsidRDefault="00765510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Vyhněte se </w:t>
      </w:r>
      <w:proofErr w:type="spellStart"/>
      <w:r>
        <w:rPr>
          <w:sz w:val="24"/>
          <w:szCs w:val="24"/>
          <w:lang w:val="cs-CZ" w:eastAsia="cs-CZ"/>
        </w:rPr>
        <w:t>poddávkování</w:t>
      </w:r>
      <w:proofErr w:type="spellEnd"/>
      <w:r>
        <w:rPr>
          <w:sz w:val="24"/>
          <w:szCs w:val="24"/>
          <w:lang w:val="cs-CZ" w:eastAsia="cs-CZ"/>
        </w:rPr>
        <w:t>, které může být následkem</w:t>
      </w:r>
      <w:r w:rsidRPr="00BF7F1E">
        <w:rPr>
          <w:sz w:val="24"/>
          <w:szCs w:val="24"/>
          <w:lang w:val="cs-CZ" w:eastAsia="cs-CZ"/>
        </w:rPr>
        <w:t xml:space="preserve"> </w:t>
      </w:r>
      <w:r>
        <w:rPr>
          <w:sz w:val="24"/>
          <w:szCs w:val="24"/>
          <w:lang w:val="cs-CZ" w:eastAsia="cs-CZ"/>
        </w:rPr>
        <w:t>podhodnocení</w:t>
      </w:r>
      <w:r w:rsidRPr="00BF7F1E">
        <w:rPr>
          <w:sz w:val="24"/>
          <w:szCs w:val="24"/>
          <w:lang w:val="cs-CZ" w:eastAsia="cs-CZ"/>
        </w:rPr>
        <w:t xml:space="preserve"> živé hmotnosti, chybné</w:t>
      </w:r>
      <w:r>
        <w:rPr>
          <w:sz w:val="24"/>
          <w:szCs w:val="24"/>
          <w:lang w:val="cs-CZ" w:eastAsia="cs-CZ"/>
        </w:rPr>
        <w:t>ho podání</w:t>
      </w:r>
      <w:r w:rsidRPr="00BF7F1E">
        <w:rPr>
          <w:sz w:val="24"/>
          <w:szCs w:val="24"/>
          <w:lang w:val="cs-CZ" w:eastAsia="cs-CZ"/>
        </w:rPr>
        <w:t xml:space="preserve"> přípravku nebo nedostatečné kalibrace dávkovacího zařízení (je</w:t>
      </w:r>
      <w:r>
        <w:rPr>
          <w:sz w:val="24"/>
          <w:szCs w:val="24"/>
          <w:lang w:val="cs-CZ" w:eastAsia="cs-CZ"/>
        </w:rPr>
        <w:t>-li</w:t>
      </w:r>
      <w:r w:rsidRPr="00BF7F1E">
        <w:rPr>
          <w:sz w:val="24"/>
          <w:szCs w:val="24"/>
          <w:lang w:val="cs-CZ" w:eastAsia="cs-CZ"/>
        </w:rPr>
        <w:t xml:space="preserve"> k dispozici). </w:t>
      </w:r>
    </w:p>
    <w:p w:rsidR="00765510" w:rsidRDefault="00765510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lastRenderedPageBreak/>
        <w:t xml:space="preserve">Telata: v některých případech může být dosaženo </w:t>
      </w:r>
      <w:r w:rsidRPr="00B67A03">
        <w:rPr>
          <w:color w:val="000000"/>
          <w:sz w:val="24"/>
          <w:szCs w:val="24"/>
          <w:lang w:val="cs-CZ"/>
        </w:rPr>
        <w:t>pouze přechodného</w:t>
      </w:r>
      <w:r w:rsidRPr="00863B04">
        <w:rPr>
          <w:color w:val="0033CC"/>
          <w:lang w:val="cs-CZ"/>
        </w:rPr>
        <w:t xml:space="preserve"> </w:t>
      </w:r>
      <w:r w:rsidRPr="00F15219">
        <w:rPr>
          <w:sz w:val="24"/>
          <w:szCs w:val="24"/>
          <w:lang w:val="cs-CZ" w:eastAsia="cs-CZ"/>
        </w:rPr>
        <w:t xml:space="preserve">snížení </w:t>
      </w:r>
      <w:r w:rsidRPr="001D041B">
        <w:rPr>
          <w:color w:val="000000"/>
          <w:lang w:val="cs-CZ"/>
        </w:rPr>
        <w:t>vylučování</w:t>
      </w:r>
      <w:r w:rsidRPr="00863B04">
        <w:rPr>
          <w:color w:val="0033CC"/>
          <w:lang w:val="cs-CZ"/>
        </w:rPr>
        <w:t xml:space="preserve"> </w:t>
      </w:r>
      <w:r w:rsidRPr="00F15219">
        <w:rPr>
          <w:sz w:val="24"/>
          <w:szCs w:val="24"/>
          <w:lang w:val="cs-CZ" w:eastAsia="cs-CZ"/>
        </w:rPr>
        <w:t>oocyst.</w:t>
      </w:r>
    </w:p>
    <w:p w:rsidR="00E26985" w:rsidRPr="00F15219" w:rsidRDefault="00E26985" w:rsidP="00E26985">
      <w:pPr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>Telata: v některých případech může být dosaženo jen dočasného snížení uvolňování oocyst.</w:t>
      </w:r>
    </w:p>
    <w:p w:rsidR="00E26985" w:rsidRDefault="00E26985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</w:p>
    <w:p w:rsidR="00765510" w:rsidRDefault="00765510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  <w:r w:rsidRPr="00BC2839">
        <w:rPr>
          <w:sz w:val="24"/>
          <w:szCs w:val="24"/>
          <w:lang w:val="cs-CZ"/>
        </w:rPr>
        <w:t>Za použití vhodných testů (např. Testu redukce počtu vajíček - FECRT) mají být vyšetřeny podezřelé klinické případy na rezistenci k </w:t>
      </w:r>
      <w:proofErr w:type="spellStart"/>
      <w:r w:rsidRPr="00A92F1E">
        <w:rPr>
          <w:sz w:val="24"/>
          <w:szCs w:val="24"/>
          <w:lang w:val="cs-CZ"/>
        </w:rPr>
        <w:t>antikokcidikům</w:t>
      </w:r>
      <w:proofErr w:type="spellEnd"/>
      <w:r w:rsidRPr="00BC2839">
        <w:rPr>
          <w:sz w:val="24"/>
          <w:szCs w:val="24"/>
          <w:lang w:val="cs-CZ"/>
        </w:rPr>
        <w:t>.</w:t>
      </w:r>
      <w:r w:rsidRPr="00A92F1E">
        <w:rPr>
          <w:sz w:val="24"/>
          <w:szCs w:val="24"/>
          <w:lang w:val="cs-CZ"/>
        </w:rPr>
        <w:t xml:space="preserve"> </w:t>
      </w:r>
      <w:r w:rsidRPr="00BC2839">
        <w:rPr>
          <w:sz w:val="24"/>
          <w:szCs w:val="24"/>
          <w:lang w:val="cs-CZ"/>
        </w:rPr>
        <w:t>Tam, kde výsledky testu potvrzují rezistenci k</w:t>
      </w:r>
      <w:r w:rsidRPr="00A92F1E">
        <w:rPr>
          <w:sz w:val="24"/>
          <w:szCs w:val="24"/>
          <w:lang w:val="cs-CZ" w:eastAsia="cs-CZ"/>
        </w:rPr>
        <w:t xml:space="preserve"> danému </w:t>
      </w:r>
      <w:proofErr w:type="spellStart"/>
      <w:r w:rsidRPr="00A92F1E">
        <w:rPr>
          <w:sz w:val="24"/>
          <w:szCs w:val="24"/>
          <w:lang w:val="cs-CZ" w:eastAsia="cs-CZ"/>
        </w:rPr>
        <w:t>antiprotozoiku</w:t>
      </w:r>
      <w:proofErr w:type="spellEnd"/>
      <w:r w:rsidRPr="00A92F1E">
        <w:rPr>
          <w:sz w:val="24"/>
          <w:szCs w:val="24"/>
          <w:lang w:val="cs-CZ" w:eastAsia="cs-CZ"/>
        </w:rPr>
        <w:t xml:space="preserve">, mělo by být použito </w:t>
      </w:r>
      <w:proofErr w:type="spellStart"/>
      <w:r w:rsidRPr="00A92F1E">
        <w:rPr>
          <w:sz w:val="24"/>
          <w:szCs w:val="24"/>
          <w:lang w:val="cs-CZ" w:eastAsia="cs-CZ"/>
        </w:rPr>
        <w:t>antikokcidikum</w:t>
      </w:r>
      <w:proofErr w:type="spellEnd"/>
      <w:r w:rsidRPr="00A92F1E">
        <w:rPr>
          <w:sz w:val="24"/>
          <w:szCs w:val="24"/>
          <w:lang w:val="cs-CZ" w:eastAsia="cs-CZ"/>
        </w:rPr>
        <w:t xml:space="preserve"> patřící do jiné</w:t>
      </w:r>
      <w:r w:rsidRPr="00BF7F1E">
        <w:rPr>
          <w:sz w:val="24"/>
          <w:szCs w:val="24"/>
          <w:lang w:val="cs-CZ" w:eastAsia="cs-CZ"/>
        </w:rPr>
        <w:t xml:space="preserve"> farmakologické skupiny </w:t>
      </w:r>
      <w:r>
        <w:rPr>
          <w:sz w:val="24"/>
          <w:szCs w:val="24"/>
          <w:lang w:val="cs-CZ" w:eastAsia="cs-CZ"/>
        </w:rPr>
        <w:t>s</w:t>
      </w:r>
      <w:r w:rsidRPr="00BF7F1E">
        <w:rPr>
          <w:sz w:val="24"/>
          <w:szCs w:val="24"/>
          <w:lang w:val="cs-CZ" w:eastAsia="cs-CZ"/>
        </w:rPr>
        <w:t xml:space="preserve"> jiný</w:t>
      </w:r>
      <w:r>
        <w:rPr>
          <w:sz w:val="24"/>
          <w:szCs w:val="24"/>
          <w:lang w:val="cs-CZ" w:eastAsia="cs-CZ"/>
        </w:rPr>
        <w:t>m</w:t>
      </w:r>
      <w:r w:rsidRPr="00BF7F1E">
        <w:rPr>
          <w:sz w:val="24"/>
          <w:szCs w:val="24"/>
          <w:lang w:val="cs-CZ" w:eastAsia="cs-CZ"/>
        </w:rPr>
        <w:t xml:space="preserve"> způsob</w:t>
      </w:r>
      <w:r>
        <w:rPr>
          <w:sz w:val="24"/>
          <w:szCs w:val="24"/>
          <w:lang w:val="cs-CZ" w:eastAsia="cs-CZ"/>
        </w:rPr>
        <w:t>em</w:t>
      </w:r>
      <w:r w:rsidRPr="00BF7F1E">
        <w:rPr>
          <w:sz w:val="24"/>
          <w:szCs w:val="24"/>
          <w:lang w:val="cs-CZ" w:eastAsia="cs-CZ"/>
        </w:rPr>
        <w:t xml:space="preserve"> účinku.</w:t>
      </w:r>
    </w:p>
    <w:p w:rsidR="00765510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b/>
          <w:bCs/>
          <w:sz w:val="24"/>
          <w:szCs w:val="24"/>
          <w:u w:val="single"/>
          <w:lang w:val="cs-CZ" w:eastAsia="cs-CZ"/>
        </w:rPr>
      </w:pPr>
    </w:p>
    <w:p w:rsidR="00765510" w:rsidRPr="00952349" w:rsidRDefault="00765510" w:rsidP="0076551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  <w:lang w:val="cs-CZ"/>
        </w:rPr>
      </w:pPr>
      <w:r w:rsidRPr="00952349">
        <w:rPr>
          <w:bCs/>
          <w:sz w:val="24"/>
          <w:szCs w:val="24"/>
          <w:u w:val="single"/>
          <w:lang w:val="cs-CZ" w:eastAsia="cs-CZ"/>
        </w:rPr>
        <w:t xml:space="preserve">Zvláštní opatření při použití </w:t>
      </w:r>
      <w:r w:rsidRPr="00952349">
        <w:rPr>
          <w:szCs w:val="22"/>
          <w:u w:val="single"/>
          <w:lang w:val="cs-CZ"/>
        </w:rPr>
        <w:t>u zvířat:</w:t>
      </w:r>
    </w:p>
    <w:p w:rsidR="00765510" w:rsidRPr="00F15219" w:rsidRDefault="00765510" w:rsidP="00765510">
      <w:pPr>
        <w:pStyle w:val="ipidtekst"/>
        <w:widowControl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Preferované načasování léčby se řídí znalostí epidemiologie </w:t>
      </w:r>
      <w:proofErr w:type="spellStart"/>
      <w:r w:rsidRPr="00F15219">
        <w:rPr>
          <w:rFonts w:ascii="Times New Roman" w:hAnsi="Times New Roman"/>
          <w:i/>
          <w:iCs/>
          <w:sz w:val="24"/>
          <w:szCs w:val="24"/>
          <w:lang w:val="cs-CZ" w:eastAsia="cs-CZ"/>
        </w:rPr>
        <w:t>Eimeria</w:t>
      </w:r>
      <w:proofErr w:type="spellEnd"/>
      <w:r w:rsidRPr="00F15219">
        <w:rPr>
          <w:rFonts w:ascii="Times New Roman" w:hAnsi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F15219">
        <w:rPr>
          <w:rFonts w:ascii="Times New Roman" w:hAnsi="Times New Roman"/>
          <w:sz w:val="24"/>
          <w:szCs w:val="24"/>
          <w:lang w:val="cs-CZ" w:eastAsia="cs-CZ"/>
        </w:rPr>
        <w:t>spp</w:t>
      </w:r>
      <w:proofErr w:type="spellEnd"/>
      <w:r w:rsidRPr="00F15219">
        <w:rPr>
          <w:rFonts w:ascii="Times New Roman" w:hAnsi="Times New Roman"/>
          <w:i/>
          <w:iCs/>
          <w:sz w:val="24"/>
          <w:szCs w:val="24"/>
          <w:lang w:val="cs-CZ" w:eastAsia="cs-CZ"/>
        </w:rPr>
        <w:t>.</w:t>
      </w: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 a tím, že nebyla-li potvrzena žádná anamnéza průběhu klinické kokcidiózy, přítomnost kokcidií ve stádě nebo skupině by měla být potvrzena před ošetřením vyšetřením exkrementů.</w:t>
      </w:r>
    </w:p>
    <w:p w:rsidR="00765510" w:rsidRPr="00F15219" w:rsidRDefault="00765510" w:rsidP="00765510">
      <w:pPr>
        <w:pStyle w:val="ipidtekst"/>
        <w:widowControl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F15219">
        <w:rPr>
          <w:rFonts w:ascii="Times New Roman" w:hAnsi="Times New Roman"/>
          <w:sz w:val="24"/>
          <w:szCs w:val="24"/>
          <w:lang w:val="cs-CZ"/>
        </w:rPr>
        <w:br/>
      </w:r>
      <w:r w:rsidRPr="00F15219">
        <w:rPr>
          <w:rFonts w:ascii="Times New Roman" w:hAnsi="Times New Roman"/>
          <w:sz w:val="24"/>
          <w:szCs w:val="24"/>
          <w:lang w:val="cs-CZ" w:eastAsia="cs-CZ"/>
        </w:rPr>
        <w:t>Kokcidióza je indikátorem nedostatečné hygieny stáda/kotce. Je doporučeno zlepšit hygienu a ošetřit  všechna jehňata ve stádě či všechna telata v kotci.</w:t>
      </w:r>
    </w:p>
    <w:p w:rsidR="00765510" w:rsidRPr="00F15219" w:rsidRDefault="00765510" w:rsidP="00765510">
      <w:pPr>
        <w:pStyle w:val="ipidtekst"/>
        <w:widowControl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765510" w:rsidRPr="00F15219" w:rsidRDefault="00765510" w:rsidP="0076551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 xml:space="preserve">Časté a opakované použití </w:t>
      </w:r>
      <w:proofErr w:type="spellStart"/>
      <w:r w:rsidRPr="00F15219">
        <w:rPr>
          <w:sz w:val="24"/>
          <w:szCs w:val="24"/>
          <w:lang w:val="cs-CZ" w:eastAsia="cs-CZ"/>
        </w:rPr>
        <w:t>antiprotozoik</w:t>
      </w:r>
      <w:proofErr w:type="spellEnd"/>
      <w:r w:rsidRPr="00F15219">
        <w:rPr>
          <w:sz w:val="24"/>
          <w:szCs w:val="24"/>
          <w:lang w:val="cs-CZ" w:eastAsia="cs-CZ"/>
        </w:rPr>
        <w:t xml:space="preserve"> může vést u dotčených parazitů k nástupu resistence.</w:t>
      </w:r>
    </w:p>
    <w:p w:rsidR="00765510" w:rsidRPr="00F15219" w:rsidRDefault="00765510" w:rsidP="00765510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</w:p>
    <w:p w:rsidR="00765510" w:rsidRPr="00F15219" w:rsidRDefault="00765510" w:rsidP="00765510">
      <w:pPr>
        <w:spacing w:line="240" w:lineRule="auto"/>
        <w:jc w:val="both"/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 xml:space="preserve">K zlepšení průběhu onemocnění v případě potvrzené klinické kokcidiózy u jednotlivých zvířat, která již vykazují příznaky průjmu, může kromě terapie </w:t>
      </w:r>
      <w:proofErr w:type="spellStart"/>
      <w:r w:rsidRPr="00F15219">
        <w:rPr>
          <w:sz w:val="24"/>
          <w:szCs w:val="24"/>
          <w:lang w:val="cs-CZ"/>
        </w:rPr>
        <w:t>diklazurilem</w:t>
      </w:r>
      <w:proofErr w:type="spellEnd"/>
      <w:r w:rsidRPr="00F15219">
        <w:rPr>
          <w:sz w:val="24"/>
          <w:szCs w:val="24"/>
          <w:lang w:val="cs-CZ"/>
        </w:rPr>
        <w:t xml:space="preserve"> být nutná další podpůrná léčba, protože </w:t>
      </w:r>
      <w:proofErr w:type="spellStart"/>
      <w:r w:rsidRPr="00F15219">
        <w:rPr>
          <w:sz w:val="24"/>
          <w:szCs w:val="24"/>
          <w:lang w:val="cs-CZ"/>
        </w:rPr>
        <w:t>diklazuril</w:t>
      </w:r>
      <w:proofErr w:type="spellEnd"/>
      <w:r w:rsidRPr="00F15219">
        <w:rPr>
          <w:sz w:val="24"/>
          <w:szCs w:val="24"/>
          <w:lang w:val="cs-CZ"/>
        </w:rPr>
        <w:t xml:space="preserve"> nemá žádné antimikrobiální účinky.</w:t>
      </w:r>
    </w:p>
    <w:p w:rsidR="00765510" w:rsidRDefault="00765510" w:rsidP="00765510">
      <w:pPr>
        <w:spacing w:line="240" w:lineRule="auto"/>
        <w:jc w:val="both"/>
        <w:rPr>
          <w:b/>
          <w:sz w:val="24"/>
          <w:szCs w:val="24"/>
          <w:u w:val="single"/>
          <w:lang w:val="cs-CZ"/>
        </w:rPr>
      </w:pPr>
    </w:p>
    <w:p w:rsidR="00765510" w:rsidRPr="00952349" w:rsidRDefault="00765510" w:rsidP="00765510">
      <w:pPr>
        <w:spacing w:line="240" w:lineRule="auto"/>
        <w:jc w:val="both"/>
        <w:rPr>
          <w:sz w:val="24"/>
          <w:szCs w:val="24"/>
          <w:u w:val="single"/>
          <w:lang w:val="cs-CZ"/>
        </w:rPr>
      </w:pPr>
      <w:r w:rsidRPr="00952349">
        <w:rPr>
          <w:sz w:val="24"/>
          <w:szCs w:val="24"/>
          <w:u w:val="single"/>
          <w:lang w:val="cs-CZ"/>
        </w:rPr>
        <w:t>Zvláštní opatření určené osobám podávajícím veterinární léčivý přípravek zvířatům</w:t>
      </w:r>
    </w:p>
    <w:p w:rsidR="00765510" w:rsidRPr="00F15219" w:rsidRDefault="00765510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</w:p>
    <w:p w:rsidR="00765510" w:rsidRPr="00F15219" w:rsidRDefault="00765510" w:rsidP="00765510">
      <w:pPr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>Po použití přípravku si umyjte ruce.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7574FD" w:rsidRDefault="003B3016" w:rsidP="00C55295">
      <w:pPr>
        <w:tabs>
          <w:tab w:val="clear" w:pos="567"/>
        </w:tabs>
        <w:spacing w:line="240" w:lineRule="auto"/>
        <w:ind w:left="567" w:hanging="567"/>
        <w:jc w:val="both"/>
        <w:rPr>
          <w:sz w:val="24"/>
          <w:szCs w:val="24"/>
          <w:u w:val="single"/>
          <w:lang w:val="cs-CZ"/>
        </w:rPr>
      </w:pPr>
      <w:r w:rsidRPr="00952349">
        <w:rPr>
          <w:sz w:val="24"/>
          <w:szCs w:val="24"/>
          <w:u w:val="single"/>
          <w:lang w:val="cs-CZ"/>
        </w:rPr>
        <w:t xml:space="preserve">Použití v průběhu březosti a laktace </w:t>
      </w: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</w:p>
    <w:p w:rsidR="003B3016" w:rsidRPr="00F15219" w:rsidRDefault="003B3016" w:rsidP="00C55295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Neuplatňuje se.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3B3016" w:rsidRPr="00952349" w:rsidRDefault="003B3016" w:rsidP="00B7280D">
      <w:pPr>
        <w:pStyle w:val="Zkladntextodsazen"/>
        <w:jc w:val="both"/>
        <w:rPr>
          <w:b w:val="0"/>
          <w:sz w:val="24"/>
          <w:szCs w:val="24"/>
          <w:u w:val="single"/>
          <w:lang w:val="cs-CZ"/>
        </w:rPr>
      </w:pPr>
      <w:r w:rsidRPr="00952349">
        <w:rPr>
          <w:b w:val="0"/>
          <w:sz w:val="24"/>
          <w:szCs w:val="24"/>
          <w:u w:val="single"/>
          <w:lang w:val="cs-CZ"/>
        </w:rPr>
        <w:t>Předávkování</w:t>
      </w:r>
    </w:p>
    <w:p w:rsidR="003B3016" w:rsidRPr="00F15219" w:rsidRDefault="003B3016" w:rsidP="00B7280D">
      <w:pPr>
        <w:pStyle w:val="Zkladntextodsazen"/>
        <w:jc w:val="both"/>
        <w:rPr>
          <w:sz w:val="24"/>
          <w:szCs w:val="24"/>
          <w:u w:val="single"/>
          <w:lang w:val="cs-CZ"/>
        </w:rPr>
      </w:pPr>
    </w:p>
    <w:p w:rsidR="003B3016" w:rsidRPr="00F15219" w:rsidRDefault="003B3016" w:rsidP="00B7280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>Jehňata: po podání zvýšené dávky, 5 násobek doporučené dávky, nebyly zaznamenány žádné vedlejší příznaky.</w:t>
      </w:r>
    </w:p>
    <w:p w:rsidR="003B3016" w:rsidRPr="00F15219" w:rsidRDefault="003B3016" w:rsidP="00B7280D">
      <w:pPr>
        <w:tabs>
          <w:tab w:val="clear" w:pos="567"/>
        </w:tabs>
        <w:spacing w:line="240" w:lineRule="auto"/>
        <w:jc w:val="both"/>
        <w:rPr>
          <w:sz w:val="24"/>
          <w:szCs w:val="24"/>
          <w:lang w:val="cs-CZ" w:eastAsia="cs-CZ"/>
        </w:rPr>
      </w:pPr>
      <w:r w:rsidRPr="00F15219">
        <w:rPr>
          <w:sz w:val="24"/>
          <w:szCs w:val="24"/>
          <w:lang w:val="cs-CZ" w:eastAsia="cs-CZ"/>
        </w:rPr>
        <w:t>Telata: po jednorázovém podání 5 násobku doporučené dávky nebyly zaznamenány žádné vedlejší příznaky. V případě opakovaného podání 3 až 5 násobku doporučené dávky, po 3 za sebou jdoucí dny, může být pozorována u některých telat řidší a barevně změněná (tmavě hnědá) stolice. Jde o změnu přechodnou, která mizí bez specifického ošetření.</w:t>
      </w:r>
    </w:p>
    <w:p w:rsidR="003B3016" w:rsidRPr="00F15219" w:rsidRDefault="003B3016" w:rsidP="00B7280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  <w:lang w:val="cs-CZ" w:eastAsia="cs-CZ"/>
        </w:rPr>
      </w:pPr>
    </w:p>
    <w:p w:rsidR="00765510" w:rsidRPr="00952349" w:rsidRDefault="00765510" w:rsidP="00765510">
      <w:pPr>
        <w:rPr>
          <w:sz w:val="24"/>
          <w:szCs w:val="24"/>
          <w:u w:val="single"/>
          <w:lang w:val="cs-CZ"/>
        </w:rPr>
      </w:pPr>
      <w:r w:rsidRPr="00952349">
        <w:rPr>
          <w:sz w:val="24"/>
          <w:szCs w:val="24"/>
          <w:u w:val="single"/>
          <w:lang w:val="cs-CZ"/>
        </w:rPr>
        <w:t>Interakce s dalšími léčivými přípravky a další formy interakce:</w:t>
      </w:r>
    </w:p>
    <w:p w:rsidR="00765510" w:rsidRPr="00467000" w:rsidRDefault="00765510" w:rsidP="00765510">
      <w:pPr>
        <w:rPr>
          <w:b/>
          <w:sz w:val="24"/>
          <w:szCs w:val="24"/>
          <w:lang w:val="cs-CZ"/>
        </w:rPr>
      </w:pPr>
    </w:p>
    <w:p w:rsidR="00765510" w:rsidRPr="00467000" w:rsidRDefault="00765510" w:rsidP="00765510">
      <w:pPr>
        <w:rPr>
          <w:sz w:val="24"/>
          <w:szCs w:val="24"/>
          <w:lang w:val="cs-CZ"/>
        </w:rPr>
      </w:pPr>
      <w:r w:rsidRPr="00467000">
        <w:rPr>
          <w:sz w:val="24"/>
          <w:szCs w:val="24"/>
          <w:lang w:val="cs-CZ"/>
        </w:rPr>
        <w:t>Nejsou známy</w:t>
      </w:r>
    </w:p>
    <w:p w:rsidR="00765510" w:rsidRPr="00467000" w:rsidRDefault="00765510" w:rsidP="00765510">
      <w:pPr>
        <w:rPr>
          <w:sz w:val="24"/>
          <w:szCs w:val="24"/>
          <w:lang w:val="cs-CZ"/>
        </w:rPr>
      </w:pPr>
    </w:p>
    <w:p w:rsidR="00765510" w:rsidRPr="00952349" w:rsidRDefault="00765510" w:rsidP="00765510">
      <w:pPr>
        <w:rPr>
          <w:sz w:val="24"/>
          <w:szCs w:val="24"/>
          <w:u w:val="single"/>
          <w:lang w:val="cs-CZ"/>
        </w:rPr>
      </w:pPr>
      <w:r w:rsidRPr="00952349">
        <w:rPr>
          <w:sz w:val="24"/>
          <w:szCs w:val="24"/>
          <w:u w:val="single"/>
          <w:lang w:val="cs-CZ"/>
        </w:rPr>
        <w:t>Inkompatibility:</w:t>
      </w:r>
    </w:p>
    <w:p w:rsidR="00765510" w:rsidRPr="001D2C0E" w:rsidRDefault="00765510" w:rsidP="00765510">
      <w:pPr>
        <w:rPr>
          <w:sz w:val="24"/>
          <w:szCs w:val="24"/>
          <w:lang w:val="cs-CZ"/>
        </w:rPr>
      </w:pPr>
    </w:p>
    <w:p w:rsidR="00765510" w:rsidRPr="001D2C0E" w:rsidRDefault="00765510" w:rsidP="00765510">
      <w:pPr>
        <w:rPr>
          <w:sz w:val="24"/>
          <w:szCs w:val="24"/>
          <w:lang w:val="cs-CZ"/>
        </w:rPr>
      </w:pPr>
      <w:r w:rsidRPr="001D2C0E">
        <w:rPr>
          <w:sz w:val="24"/>
          <w:szCs w:val="24"/>
          <w:lang w:val="cs-CZ"/>
        </w:rPr>
        <w:t>Nejsou známy</w:t>
      </w:r>
    </w:p>
    <w:p w:rsidR="003B3016" w:rsidRPr="00765510" w:rsidRDefault="003B3016" w:rsidP="00B7280D">
      <w:pPr>
        <w:tabs>
          <w:tab w:val="clear" w:pos="567"/>
        </w:tabs>
        <w:spacing w:line="240" w:lineRule="auto"/>
        <w:jc w:val="both"/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13.</w:t>
      </w:r>
      <w:r w:rsidRPr="00F15219">
        <w:rPr>
          <w:b/>
          <w:sz w:val="24"/>
          <w:szCs w:val="24"/>
          <w:lang w:val="cs-CZ"/>
        </w:rPr>
        <w:tab/>
        <w:t>ZVLÁŠTNÍ OPATŘENÍ PRO ZNEŠKODŇOVÁNÍ NEPOUŽITÝCH PŘÍPRAVKŮ NEBO ODPADU, POKUD JE JICH TŘEBA</w:t>
      </w:r>
    </w:p>
    <w:p w:rsidR="003B3016" w:rsidRPr="00F15219" w:rsidRDefault="003B3016" w:rsidP="000F184C">
      <w:pPr>
        <w:ind w:right="-318"/>
        <w:rPr>
          <w:sz w:val="24"/>
          <w:szCs w:val="24"/>
          <w:lang w:val="cs-CZ"/>
        </w:rPr>
      </w:pPr>
    </w:p>
    <w:p w:rsidR="003B3016" w:rsidRPr="00F15219" w:rsidRDefault="003B3016" w:rsidP="00B7280D">
      <w:pPr>
        <w:ind w:right="-318"/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B3016" w:rsidRDefault="003B3016" w:rsidP="000F184C">
      <w:pPr>
        <w:rPr>
          <w:b/>
          <w:sz w:val="24"/>
          <w:szCs w:val="24"/>
          <w:lang w:val="cs-CZ"/>
        </w:rPr>
      </w:pPr>
    </w:p>
    <w:p w:rsidR="001D2C0E" w:rsidRPr="00F15219" w:rsidRDefault="001D2C0E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14.</w:t>
      </w:r>
      <w:r w:rsidRPr="00F15219">
        <w:rPr>
          <w:b/>
          <w:sz w:val="24"/>
          <w:szCs w:val="24"/>
          <w:lang w:val="cs-CZ"/>
        </w:rPr>
        <w:tab/>
        <w:t>DATUM POSLEDNÍ REVIZE PŘÍBALOVÉ INFORMACE</w:t>
      </w:r>
    </w:p>
    <w:p w:rsidR="003B3016" w:rsidRPr="00F15219" w:rsidRDefault="003B3016" w:rsidP="000F184C">
      <w:pPr>
        <w:ind w:right="-318"/>
        <w:rPr>
          <w:sz w:val="24"/>
          <w:szCs w:val="24"/>
          <w:lang w:val="cs-CZ"/>
        </w:rPr>
      </w:pPr>
    </w:p>
    <w:p w:rsidR="003B3016" w:rsidRPr="00F15219" w:rsidRDefault="00BB2C8A" w:rsidP="000F184C">
      <w:pPr>
        <w:ind w:right="-31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Srpen 2020</w:t>
      </w:r>
    </w:p>
    <w:p w:rsidR="003B3016" w:rsidRPr="00F15219" w:rsidRDefault="003B3016" w:rsidP="000F184C">
      <w:pPr>
        <w:rPr>
          <w:b/>
          <w:sz w:val="24"/>
          <w:szCs w:val="24"/>
          <w:lang w:val="cs-CZ"/>
        </w:rPr>
      </w:pPr>
    </w:p>
    <w:p w:rsidR="003B3016" w:rsidRPr="00F15219" w:rsidRDefault="003B3016" w:rsidP="000F184C">
      <w:pPr>
        <w:rPr>
          <w:sz w:val="24"/>
          <w:szCs w:val="24"/>
          <w:lang w:val="cs-CZ"/>
        </w:rPr>
      </w:pPr>
      <w:r w:rsidRPr="00F15219">
        <w:rPr>
          <w:b/>
          <w:sz w:val="24"/>
          <w:szCs w:val="24"/>
          <w:lang w:val="cs-CZ"/>
        </w:rPr>
        <w:t>15.</w:t>
      </w:r>
      <w:r w:rsidRPr="00F15219">
        <w:rPr>
          <w:b/>
          <w:sz w:val="24"/>
          <w:szCs w:val="24"/>
          <w:lang w:val="cs-CZ"/>
        </w:rPr>
        <w:tab/>
        <w:t>DALŠÍ INFORMACE</w:t>
      </w:r>
    </w:p>
    <w:p w:rsidR="003B3016" w:rsidRPr="00F15219" w:rsidRDefault="003B3016" w:rsidP="000F184C">
      <w:pPr>
        <w:rPr>
          <w:sz w:val="24"/>
          <w:szCs w:val="24"/>
          <w:lang w:val="cs-CZ"/>
        </w:rPr>
      </w:pPr>
    </w:p>
    <w:p w:rsidR="00765510" w:rsidRPr="00F15219" w:rsidRDefault="00765510" w:rsidP="00765510">
      <w:pPr>
        <w:spacing w:line="240" w:lineRule="auto"/>
        <w:ind w:right="567"/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 xml:space="preserve">Pouze pro zvířata </w:t>
      </w:r>
    </w:p>
    <w:p w:rsidR="00765510" w:rsidRPr="00F15219" w:rsidRDefault="00765510" w:rsidP="00765510">
      <w:pPr>
        <w:spacing w:line="240" w:lineRule="auto"/>
        <w:ind w:right="567"/>
        <w:rPr>
          <w:sz w:val="24"/>
          <w:szCs w:val="24"/>
          <w:lang w:val="cs-CZ"/>
        </w:rPr>
      </w:pPr>
      <w:r w:rsidRPr="00B6394F">
        <w:rPr>
          <w:sz w:val="24"/>
          <w:szCs w:val="24"/>
          <w:lang w:val="cs-CZ"/>
        </w:rPr>
        <w:t>Přípravek je vydáván pouze na veterinární předpis.</w:t>
      </w:r>
    </w:p>
    <w:p w:rsidR="00765510" w:rsidRPr="00B7280D" w:rsidRDefault="00765510" w:rsidP="00765510">
      <w:pPr>
        <w:rPr>
          <w:sz w:val="24"/>
          <w:szCs w:val="24"/>
          <w:lang w:val="cs-CZ"/>
        </w:rPr>
      </w:pPr>
    </w:p>
    <w:p w:rsidR="003B3016" w:rsidRPr="00F15219" w:rsidRDefault="003B3016" w:rsidP="00B7280D">
      <w:pPr>
        <w:pStyle w:val="ipidtekst"/>
        <w:widowControl/>
        <w:tabs>
          <w:tab w:val="left" w:pos="567"/>
          <w:tab w:val="left" w:pos="4962"/>
        </w:tabs>
        <w:ind w:left="0"/>
        <w:jc w:val="both"/>
        <w:rPr>
          <w:rFonts w:ascii="Times New Roman" w:hAnsi="Times New Roman"/>
          <w:bCs/>
          <w:iCs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Kartónová krabička s nádobou o obsahu </w:t>
      </w:r>
      <w:r w:rsidRPr="00F15219">
        <w:rPr>
          <w:rFonts w:ascii="Times New Roman" w:hAnsi="Times New Roman"/>
          <w:bCs/>
          <w:iCs/>
          <w:sz w:val="24"/>
          <w:szCs w:val="24"/>
          <w:lang w:val="cs-CZ"/>
        </w:rPr>
        <w:t xml:space="preserve">200 ml </w:t>
      </w: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s postrojem </w:t>
      </w:r>
      <w:r w:rsidRPr="00F15219">
        <w:rPr>
          <w:rFonts w:ascii="Times New Roman" w:hAnsi="Times New Roman"/>
          <w:sz w:val="24"/>
          <w:szCs w:val="24"/>
          <w:lang w:val="cs-CZ"/>
        </w:rPr>
        <w:t>a uzávěrem s nástavcem</w:t>
      </w:r>
    </w:p>
    <w:p w:rsidR="003B3016" w:rsidRPr="00F15219" w:rsidRDefault="003B3016" w:rsidP="00B7280D">
      <w:pPr>
        <w:pStyle w:val="ipidtekst"/>
        <w:widowControl/>
        <w:tabs>
          <w:tab w:val="left" w:pos="567"/>
          <w:tab w:val="left" w:pos="4962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Kartónová krabička s nádobou o obsahu </w:t>
      </w:r>
      <w:smartTag w:uri="urn:schemas-microsoft-com:office:smarttags" w:element="metricconverter">
        <w:smartTagPr>
          <w:attr w:name="ProductID" w:val="1 litr"/>
        </w:smartTagPr>
        <w:r w:rsidRPr="00F15219">
          <w:rPr>
            <w:rFonts w:ascii="Times New Roman" w:hAnsi="Times New Roman"/>
            <w:sz w:val="24"/>
            <w:szCs w:val="24"/>
            <w:lang w:val="cs-CZ" w:eastAsia="cs-CZ"/>
          </w:rPr>
          <w:t>1 litr</w:t>
        </w:r>
      </w:smartTag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 s postrojem </w:t>
      </w:r>
      <w:r w:rsidRPr="00F15219">
        <w:rPr>
          <w:rFonts w:ascii="Times New Roman" w:hAnsi="Times New Roman"/>
          <w:sz w:val="24"/>
          <w:szCs w:val="24"/>
          <w:lang w:val="cs-CZ"/>
        </w:rPr>
        <w:t xml:space="preserve">a uzávěrem s nástavcem </w:t>
      </w:r>
    </w:p>
    <w:p w:rsidR="003B3016" w:rsidRPr="00F15219" w:rsidRDefault="003B3016" w:rsidP="00B7280D">
      <w:pPr>
        <w:pStyle w:val="ipidtekst"/>
        <w:widowControl/>
        <w:tabs>
          <w:tab w:val="left" w:pos="567"/>
          <w:tab w:val="left" w:pos="4962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Kartónová krabička s nádobou o obsahu </w:t>
      </w:r>
      <w:smartTag w:uri="urn:schemas-microsoft-com:office:smarttags" w:element="metricconverter">
        <w:smartTagPr>
          <w:attr w:name="ProductID" w:val="2,5 litru"/>
        </w:smartTagPr>
        <w:r w:rsidRPr="00F15219">
          <w:rPr>
            <w:rFonts w:ascii="Times New Roman" w:hAnsi="Times New Roman"/>
            <w:sz w:val="24"/>
            <w:szCs w:val="24"/>
            <w:lang w:val="cs-CZ"/>
          </w:rPr>
          <w:t>2,5 litru</w:t>
        </w:r>
      </w:smartTag>
      <w:r w:rsidRPr="00F1521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s postrojem </w:t>
      </w:r>
      <w:r w:rsidRPr="00F15219">
        <w:rPr>
          <w:rFonts w:ascii="Times New Roman" w:hAnsi="Times New Roman"/>
          <w:sz w:val="24"/>
          <w:szCs w:val="24"/>
          <w:lang w:val="cs-CZ"/>
        </w:rPr>
        <w:t xml:space="preserve">a uzávěrem s nástavcem </w:t>
      </w:r>
    </w:p>
    <w:p w:rsidR="003B3016" w:rsidRPr="00F15219" w:rsidRDefault="003B3016" w:rsidP="00B7280D">
      <w:pPr>
        <w:pStyle w:val="ipidtekst"/>
        <w:widowControl/>
        <w:tabs>
          <w:tab w:val="left" w:pos="567"/>
          <w:tab w:val="left" w:pos="4962"/>
        </w:tabs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Kartónová krabička s nádobou o obsahu </w:t>
      </w:r>
      <w:smartTag w:uri="urn:schemas-microsoft-com:office:smarttags" w:element="metricconverter">
        <w:smartTagPr>
          <w:attr w:name="ProductID" w:val="5 litrů"/>
        </w:smartTagPr>
        <w:r w:rsidRPr="00F15219">
          <w:rPr>
            <w:rFonts w:ascii="Times New Roman" w:hAnsi="Times New Roman"/>
            <w:sz w:val="24"/>
            <w:szCs w:val="24"/>
            <w:lang w:val="cs-CZ"/>
          </w:rPr>
          <w:t>5 litrů</w:t>
        </w:r>
      </w:smartTag>
      <w:r w:rsidRPr="00F1521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15219">
        <w:rPr>
          <w:rFonts w:ascii="Times New Roman" w:hAnsi="Times New Roman"/>
          <w:sz w:val="24"/>
          <w:szCs w:val="24"/>
          <w:lang w:val="cs-CZ" w:eastAsia="cs-CZ"/>
        </w:rPr>
        <w:t xml:space="preserve">s postrojem </w:t>
      </w:r>
      <w:r w:rsidRPr="00F15219">
        <w:rPr>
          <w:rFonts w:ascii="Times New Roman" w:hAnsi="Times New Roman"/>
          <w:sz w:val="24"/>
          <w:szCs w:val="24"/>
          <w:lang w:val="cs-CZ"/>
        </w:rPr>
        <w:t>a uzávěrem s nástavcem</w:t>
      </w:r>
    </w:p>
    <w:p w:rsidR="003B3016" w:rsidRPr="00B7280D" w:rsidRDefault="003B3016">
      <w:pPr>
        <w:rPr>
          <w:sz w:val="24"/>
          <w:szCs w:val="24"/>
          <w:lang w:val="cs-CZ"/>
        </w:rPr>
      </w:pPr>
      <w:r w:rsidRPr="00F15219">
        <w:rPr>
          <w:sz w:val="24"/>
          <w:szCs w:val="24"/>
          <w:lang w:val="cs-CZ"/>
        </w:rPr>
        <w:t>Na trhu nemusí být všechny velikosti balení.</w:t>
      </w:r>
    </w:p>
    <w:sectPr w:rsidR="003B3016" w:rsidRPr="00B7280D" w:rsidSect="00944127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CC" w:rsidRDefault="007045CC" w:rsidP="00944127">
      <w:pPr>
        <w:spacing w:line="240" w:lineRule="auto"/>
      </w:pPr>
      <w:r>
        <w:separator/>
      </w:r>
    </w:p>
  </w:endnote>
  <w:endnote w:type="continuationSeparator" w:id="0">
    <w:p w:rsidR="007045CC" w:rsidRDefault="007045CC" w:rsidP="0094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16" w:rsidRDefault="003B301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3B3016" w:rsidRDefault="001169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46728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16" w:rsidRDefault="003B3016">
    <w:pPr>
      <w:pStyle w:val="Zpat"/>
      <w:tabs>
        <w:tab w:val="clear" w:pos="8930"/>
        <w:tab w:val="right" w:pos="8931"/>
      </w:tabs>
    </w:pPr>
  </w:p>
  <w:p w:rsidR="003B3016" w:rsidRDefault="001169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467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CC" w:rsidRDefault="007045CC" w:rsidP="00944127">
      <w:pPr>
        <w:spacing w:line="240" w:lineRule="auto"/>
      </w:pPr>
      <w:r>
        <w:separator/>
      </w:r>
    </w:p>
  </w:footnote>
  <w:footnote w:type="continuationSeparator" w:id="0">
    <w:p w:rsidR="007045CC" w:rsidRDefault="007045CC" w:rsidP="00944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16" w:rsidRPr="005677EC" w:rsidRDefault="005677EC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C"/>
    <w:rsid w:val="00011FF5"/>
    <w:rsid w:val="0003794B"/>
    <w:rsid w:val="000C1FC5"/>
    <w:rsid w:val="000D4177"/>
    <w:rsid w:val="000F184C"/>
    <w:rsid w:val="0011691C"/>
    <w:rsid w:val="00136B23"/>
    <w:rsid w:val="00151EB6"/>
    <w:rsid w:val="0016789B"/>
    <w:rsid w:val="00175F8E"/>
    <w:rsid w:val="001854A6"/>
    <w:rsid w:val="001870B0"/>
    <w:rsid w:val="001C5301"/>
    <w:rsid w:val="001D2C0E"/>
    <w:rsid w:val="001D61B4"/>
    <w:rsid w:val="002354B9"/>
    <w:rsid w:val="002455FC"/>
    <w:rsid w:val="00246917"/>
    <w:rsid w:val="00265814"/>
    <w:rsid w:val="002702B9"/>
    <w:rsid w:val="00284B69"/>
    <w:rsid w:val="002B0162"/>
    <w:rsid w:val="002C5892"/>
    <w:rsid w:val="002F74F7"/>
    <w:rsid w:val="00306A47"/>
    <w:rsid w:val="003152D8"/>
    <w:rsid w:val="003307C9"/>
    <w:rsid w:val="0033365C"/>
    <w:rsid w:val="00337B16"/>
    <w:rsid w:val="00363E9D"/>
    <w:rsid w:val="003A023A"/>
    <w:rsid w:val="003B3016"/>
    <w:rsid w:val="003D5F8B"/>
    <w:rsid w:val="00407512"/>
    <w:rsid w:val="004250BE"/>
    <w:rsid w:val="00446728"/>
    <w:rsid w:val="00450B51"/>
    <w:rsid w:val="00467000"/>
    <w:rsid w:val="004A5197"/>
    <w:rsid w:val="004B3DD5"/>
    <w:rsid w:val="004E2A19"/>
    <w:rsid w:val="004E72A8"/>
    <w:rsid w:val="004F46CA"/>
    <w:rsid w:val="00501AC5"/>
    <w:rsid w:val="0054077A"/>
    <w:rsid w:val="00550036"/>
    <w:rsid w:val="005677EC"/>
    <w:rsid w:val="005B6E2E"/>
    <w:rsid w:val="005B7EE9"/>
    <w:rsid w:val="005D22BF"/>
    <w:rsid w:val="00625DE0"/>
    <w:rsid w:val="00656AB0"/>
    <w:rsid w:val="006715A1"/>
    <w:rsid w:val="00694875"/>
    <w:rsid w:val="006A7B1F"/>
    <w:rsid w:val="006F2648"/>
    <w:rsid w:val="006F7FF9"/>
    <w:rsid w:val="007045CC"/>
    <w:rsid w:val="00742F24"/>
    <w:rsid w:val="007574FD"/>
    <w:rsid w:val="00765510"/>
    <w:rsid w:val="00772893"/>
    <w:rsid w:val="00786614"/>
    <w:rsid w:val="007B4101"/>
    <w:rsid w:val="007B6F12"/>
    <w:rsid w:val="0080224C"/>
    <w:rsid w:val="00846481"/>
    <w:rsid w:val="00850A09"/>
    <w:rsid w:val="00860E3E"/>
    <w:rsid w:val="008961B9"/>
    <w:rsid w:val="008A6F07"/>
    <w:rsid w:val="00944127"/>
    <w:rsid w:val="00952349"/>
    <w:rsid w:val="009615CC"/>
    <w:rsid w:val="00975676"/>
    <w:rsid w:val="0099216B"/>
    <w:rsid w:val="009C01F6"/>
    <w:rsid w:val="009C4CCF"/>
    <w:rsid w:val="009D1918"/>
    <w:rsid w:val="00A0094F"/>
    <w:rsid w:val="00A107F1"/>
    <w:rsid w:val="00A63D02"/>
    <w:rsid w:val="00A90362"/>
    <w:rsid w:val="00AA44EF"/>
    <w:rsid w:val="00AB0865"/>
    <w:rsid w:val="00AE71C3"/>
    <w:rsid w:val="00B6394F"/>
    <w:rsid w:val="00B7280D"/>
    <w:rsid w:val="00B76246"/>
    <w:rsid w:val="00BB2C8A"/>
    <w:rsid w:val="00BB36C4"/>
    <w:rsid w:val="00BC2F5B"/>
    <w:rsid w:val="00BF685B"/>
    <w:rsid w:val="00C55295"/>
    <w:rsid w:val="00C63C69"/>
    <w:rsid w:val="00C95985"/>
    <w:rsid w:val="00D15CAC"/>
    <w:rsid w:val="00D16A1C"/>
    <w:rsid w:val="00D248E4"/>
    <w:rsid w:val="00DA4777"/>
    <w:rsid w:val="00E05641"/>
    <w:rsid w:val="00E15BF3"/>
    <w:rsid w:val="00E26985"/>
    <w:rsid w:val="00E53FC3"/>
    <w:rsid w:val="00E733D5"/>
    <w:rsid w:val="00E9589B"/>
    <w:rsid w:val="00EA72DB"/>
    <w:rsid w:val="00EB4B04"/>
    <w:rsid w:val="00EB537A"/>
    <w:rsid w:val="00ED2141"/>
    <w:rsid w:val="00EE0219"/>
    <w:rsid w:val="00F1455B"/>
    <w:rsid w:val="00F15219"/>
    <w:rsid w:val="00F17167"/>
    <w:rsid w:val="00F7023A"/>
    <w:rsid w:val="00F7221A"/>
    <w:rsid w:val="00FA2FA0"/>
    <w:rsid w:val="00FC2F0B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MS ??" w:hAnsi="Franklin Gothic Boo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84C"/>
    <w:pPr>
      <w:tabs>
        <w:tab w:val="left" w:pos="567"/>
      </w:tabs>
      <w:spacing w:line="260" w:lineRule="exact"/>
    </w:pPr>
    <w:rPr>
      <w:rFonts w:ascii="Times New Roman" w:hAnsi="Times New Roman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F7221A"/>
    <w:pPr>
      <w:tabs>
        <w:tab w:val="clear" w:pos="567"/>
      </w:tabs>
      <w:spacing w:line="240" w:lineRule="auto"/>
    </w:pPr>
    <w:rPr>
      <w:rFonts w:ascii="Franklin Gothic Book" w:hAnsi="Franklin Gothic Book"/>
      <w:sz w:val="20"/>
      <w:lang w:val="en-US"/>
    </w:rPr>
  </w:style>
  <w:style w:type="paragraph" w:styleId="Zhlav">
    <w:name w:val="header"/>
    <w:basedOn w:val="Normln"/>
    <w:link w:val="ZhlavChar"/>
    <w:uiPriority w:val="99"/>
    <w:rsid w:val="000F184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F184C"/>
    <w:rPr>
      <w:rFonts w:ascii="Helvetica" w:hAnsi="Helvetica" w:cs="Times New Roman"/>
      <w:lang w:val="en-GB" w:eastAsia="en-US"/>
    </w:rPr>
  </w:style>
  <w:style w:type="paragraph" w:styleId="Zpat">
    <w:name w:val="footer"/>
    <w:basedOn w:val="Normln"/>
    <w:link w:val="ZpatChar"/>
    <w:uiPriority w:val="99"/>
    <w:rsid w:val="000F184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0F184C"/>
    <w:rPr>
      <w:rFonts w:ascii="Helvetica" w:hAnsi="Helvetica" w:cs="Times New Roman"/>
      <w:sz w:val="16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0F184C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F184C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pidtekst">
    <w:name w:val="ipid tekst"/>
    <w:basedOn w:val="Normln"/>
    <w:uiPriority w:val="99"/>
    <w:rsid w:val="000F184C"/>
    <w:pPr>
      <w:widowControl w:val="0"/>
      <w:tabs>
        <w:tab w:val="clear" w:pos="567"/>
      </w:tabs>
      <w:spacing w:line="240" w:lineRule="auto"/>
      <w:ind w:left="567"/>
    </w:pPr>
    <w:rPr>
      <w:rFonts w:ascii="Palatino" w:hAnsi="Palatino"/>
      <w:lang w:val="en-AU"/>
    </w:rPr>
  </w:style>
  <w:style w:type="paragraph" w:customStyle="1" w:styleId="ipidondertitelnr">
    <w:name w:val="ipid ondertitel+nr"/>
    <w:basedOn w:val="Normln"/>
    <w:uiPriority w:val="99"/>
    <w:rsid w:val="000F184C"/>
    <w:pPr>
      <w:widowControl w:val="0"/>
      <w:tabs>
        <w:tab w:val="clear" w:pos="567"/>
      </w:tabs>
      <w:spacing w:line="240" w:lineRule="auto"/>
      <w:ind w:left="560" w:hanging="560"/>
    </w:pPr>
    <w:rPr>
      <w:rFonts w:ascii="Palatino" w:hAnsi="Palatino"/>
      <w:b/>
      <w:lang w:val="en-AU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18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184C"/>
    <w:rPr>
      <w:rFonts w:ascii="Times New Roman" w:hAnsi="Times New Roman" w:cs="Times New Roman"/>
      <w:sz w:val="22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rsid w:val="00A107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107F1"/>
    <w:rPr>
      <w:rFonts w:ascii="Times New Roman" w:hAnsi="Times New Roman" w:cs="Times New Roman"/>
      <w:sz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510"/>
    <w:rPr>
      <w:rFonts w:ascii="Tahoma" w:hAnsi="Tahoma" w:cs="Tahoma"/>
      <w:sz w:val="16"/>
      <w:szCs w:val="16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69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98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985"/>
    <w:rPr>
      <w:rFonts w:ascii="Times New Roman" w:hAnsi="Times New Roman"/>
      <w:sz w:val="20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985"/>
    <w:rPr>
      <w:rFonts w:ascii="Times New Roman" w:hAnsi="Times New Roman"/>
      <w:b/>
      <w:bCs/>
      <w:sz w:val="20"/>
      <w:szCs w:val="20"/>
      <w:lang w:val="en-GB" w:eastAsia="en-US"/>
    </w:rPr>
  </w:style>
  <w:style w:type="paragraph" w:styleId="Bezmezer">
    <w:name w:val="No Spacing"/>
    <w:uiPriority w:val="1"/>
    <w:qFormat/>
    <w:rsid w:val="00BB2C8A"/>
    <w:pPr>
      <w:tabs>
        <w:tab w:val="left" w:pos="567"/>
      </w:tabs>
    </w:pPr>
    <w:rPr>
      <w:rFonts w:ascii="Times New Roman" w:eastAsia="Times New Roman" w:hAnsi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MS ??" w:hAnsi="Franklin Gothic Boo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84C"/>
    <w:pPr>
      <w:tabs>
        <w:tab w:val="left" w:pos="567"/>
      </w:tabs>
      <w:spacing w:line="260" w:lineRule="exact"/>
    </w:pPr>
    <w:rPr>
      <w:rFonts w:ascii="Times New Roman" w:hAnsi="Times New Roman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F7221A"/>
    <w:pPr>
      <w:tabs>
        <w:tab w:val="clear" w:pos="567"/>
      </w:tabs>
      <w:spacing w:line="240" w:lineRule="auto"/>
    </w:pPr>
    <w:rPr>
      <w:rFonts w:ascii="Franklin Gothic Book" w:hAnsi="Franklin Gothic Book"/>
      <w:sz w:val="20"/>
      <w:lang w:val="en-US"/>
    </w:rPr>
  </w:style>
  <w:style w:type="paragraph" w:styleId="Zhlav">
    <w:name w:val="header"/>
    <w:basedOn w:val="Normln"/>
    <w:link w:val="ZhlavChar"/>
    <w:uiPriority w:val="99"/>
    <w:rsid w:val="000F184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F184C"/>
    <w:rPr>
      <w:rFonts w:ascii="Helvetica" w:hAnsi="Helvetica" w:cs="Times New Roman"/>
      <w:lang w:val="en-GB" w:eastAsia="en-US"/>
    </w:rPr>
  </w:style>
  <w:style w:type="paragraph" w:styleId="Zpat">
    <w:name w:val="footer"/>
    <w:basedOn w:val="Normln"/>
    <w:link w:val="ZpatChar"/>
    <w:uiPriority w:val="99"/>
    <w:rsid w:val="000F184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0F184C"/>
    <w:rPr>
      <w:rFonts w:ascii="Helvetica" w:hAnsi="Helvetica" w:cs="Times New Roman"/>
      <w:sz w:val="16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0F184C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F184C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pidtekst">
    <w:name w:val="ipid tekst"/>
    <w:basedOn w:val="Normln"/>
    <w:uiPriority w:val="99"/>
    <w:rsid w:val="000F184C"/>
    <w:pPr>
      <w:widowControl w:val="0"/>
      <w:tabs>
        <w:tab w:val="clear" w:pos="567"/>
      </w:tabs>
      <w:spacing w:line="240" w:lineRule="auto"/>
      <w:ind w:left="567"/>
    </w:pPr>
    <w:rPr>
      <w:rFonts w:ascii="Palatino" w:hAnsi="Palatino"/>
      <w:lang w:val="en-AU"/>
    </w:rPr>
  </w:style>
  <w:style w:type="paragraph" w:customStyle="1" w:styleId="ipidondertitelnr">
    <w:name w:val="ipid ondertitel+nr"/>
    <w:basedOn w:val="Normln"/>
    <w:uiPriority w:val="99"/>
    <w:rsid w:val="000F184C"/>
    <w:pPr>
      <w:widowControl w:val="0"/>
      <w:tabs>
        <w:tab w:val="clear" w:pos="567"/>
      </w:tabs>
      <w:spacing w:line="240" w:lineRule="auto"/>
      <w:ind w:left="560" w:hanging="560"/>
    </w:pPr>
    <w:rPr>
      <w:rFonts w:ascii="Palatino" w:hAnsi="Palatino"/>
      <w:b/>
      <w:lang w:val="en-AU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18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184C"/>
    <w:rPr>
      <w:rFonts w:ascii="Times New Roman" w:hAnsi="Times New Roman" w:cs="Times New Roman"/>
      <w:sz w:val="22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rsid w:val="00A107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107F1"/>
    <w:rPr>
      <w:rFonts w:ascii="Times New Roman" w:hAnsi="Times New Roman" w:cs="Times New Roman"/>
      <w:sz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510"/>
    <w:rPr>
      <w:rFonts w:ascii="Tahoma" w:hAnsi="Tahoma" w:cs="Tahoma"/>
      <w:sz w:val="16"/>
      <w:szCs w:val="16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69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98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985"/>
    <w:rPr>
      <w:rFonts w:ascii="Times New Roman" w:hAnsi="Times New Roman"/>
      <w:sz w:val="20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985"/>
    <w:rPr>
      <w:rFonts w:ascii="Times New Roman" w:hAnsi="Times New Roman"/>
      <w:b/>
      <w:bCs/>
      <w:sz w:val="20"/>
      <w:szCs w:val="20"/>
      <w:lang w:val="en-GB" w:eastAsia="en-US"/>
    </w:rPr>
  </w:style>
  <w:style w:type="paragraph" w:styleId="Bezmezer">
    <w:name w:val="No Spacing"/>
    <w:uiPriority w:val="1"/>
    <w:qFormat/>
    <w:rsid w:val="00BB2C8A"/>
    <w:pPr>
      <w:tabs>
        <w:tab w:val="left" w:pos="567"/>
      </w:tabs>
    </w:pPr>
    <w:rPr>
      <w:rFonts w:ascii="Times New Roman" w:eastAsia="Times New Roman" w:hAnsi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Limanovský</dc:creator>
  <cp:lastModifiedBy>Šťastná Hana</cp:lastModifiedBy>
  <cp:revision>8</cp:revision>
  <cp:lastPrinted>2020-08-28T08:14:00Z</cp:lastPrinted>
  <dcterms:created xsi:type="dcterms:W3CDTF">2019-07-25T07:37:00Z</dcterms:created>
  <dcterms:modified xsi:type="dcterms:W3CDTF">2020-08-28T08:14:00Z</dcterms:modified>
</cp:coreProperties>
</file>