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57C1F" w14:textId="77777777" w:rsidR="00B46893" w:rsidRDefault="00B46893">
      <w:pPr>
        <w:tabs>
          <w:tab w:val="clear" w:pos="567"/>
        </w:tabs>
        <w:spacing w:line="240" w:lineRule="auto"/>
        <w:rPr>
          <w:szCs w:val="22"/>
        </w:rPr>
      </w:pPr>
    </w:p>
    <w:p w14:paraId="0B9697C7" w14:textId="77777777" w:rsidR="006E02A2" w:rsidRDefault="006E02A2">
      <w:pPr>
        <w:tabs>
          <w:tab w:val="clear" w:pos="567"/>
        </w:tabs>
        <w:spacing w:line="240" w:lineRule="auto"/>
        <w:rPr>
          <w:szCs w:val="22"/>
        </w:rPr>
      </w:pPr>
    </w:p>
    <w:p w14:paraId="2B4951B6" w14:textId="77777777" w:rsidR="006E02A2" w:rsidRDefault="006E02A2">
      <w:pPr>
        <w:tabs>
          <w:tab w:val="clear" w:pos="567"/>
        </w:tabs>
        <w:spacing w:line="240" w:lineRule="auto"/>
        <w:rPr>
          <w:szCs w:val="22"/>
        </w:rPr>
      </w:pPr>
    </w:p>
    <w:p w14:paraId="36D0713C" w14:textId="77777777" w:rsidR="006E02A2" w:rsidRDefault="006E02A2">
      <w:pPr>
        <w:tabs>
          <w:tab w:val="clear" w:pos="567"/>
        </w:tabs>
        <w:spacing w:line="240" w:lineRule="auto"/>
        <w:rPr>
          <w:szCs w:val="22"/>
        </w:rPr>
      </w:pPr>
    </w:p>
    <w:p w14:paraId="7594D486" w14:textId="77777777" w:rsidR="006E02A2" w:rsidRDefault="006E02A2">
      <w:pPr>
        <w:tabs>
          <w:tab w:val="clear" w:pos="567"/>
        </w:tabs>
        <w:spacing w:line="240" w:lineRule="auto"/>
        <w:rPr>
          <w:szCs w:val="22"/>
        </w:rPr>
      </w:pPr>
    </w:p>
    <w:p w14:paraId="69AA0EB1" w14:textId="77777777" w:rsidR="006E02A2" w:rsidRDefault="006E02A2">
      <w:pPr>
        <w:tabs>
          <w:tab w:val="clear" w:pos="567"/>
        </w:tabs>
        <w:spacing w:line="240" w:lineRule="auto"/>
        <w:rPr>
          <w:szCs w:val="22"/>
        </w:rPr>
      </w:pPr>
    </w:p>
    <w:p w14:paraId="3C027970" w14:textId="77777777" w:rsidR="006E02A2" w:rsidRDefault="006E02A2">
      <w:pPr>
        <w:tabs>
          <w:tab w:val="clear" w:pos="567"/>
        </w:tabs>
        <w:spacing w:line="240" w:lineRule="auto"/>
        <w:rPr>
          <w:szCs w:val="22"/>
        </w:rPr>
      </w:pPr>
    </w:p>
    <w:p w14:paraId="45F98F0F" w14:textId="77777777" w:rsidR="006E02A2" w:rsidRDefault="006E02A2">
      <w:pPr>
        <w:tabs>
          <w:tab w:val="clear" w:pos="567"/>
        </w:tabs>
        <w:spacing w:line="240" w:lineRule="auto"/>
        <w:rPr>
          <w:szCs w:val="22"/>
        </w:rPr>
      </w:pPr>
    </w:p>
    <w:p w14:paraId="11F21655" w14:textId="77777777" w:rsidR="006E02A2" w:rsidRDefault="006E02A2">
      <w:pPr>
        <w:tabs>
          <w:tab w:val="clear" w:pos="567"/>
        </w:tabs>
        <w:spacing w:line="240" w:lineRule="auto"/>
        <w:rPr>
          <w:szCs w:val="22"/>
        </w:rPr>
      </w:pPr>
    </w:p>
    <w:p w14:paraId="0F4F733A" w14:textId="77777777" w:rsidR="006E02A2" w:rsidRDefault="006E02A2">
      <w:pPr>
        <w:tabs>
          <w:tab w:val="clear" w:pos="567"/>
        </w:tabs>
        <w:spacing w:line="240" w:lineRule="auto"/>
        <w:rPr>
          <w:szCs w:val="22"/>
        </w:rPr>
      </w:pPr>
    </w:p>
    <w:p w14:paraId="32D797D7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13E8E023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67EB47B3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482A8594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225359A8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72A3422B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7C2E580A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18F4718B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74B4A959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51D1C2F4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7730DBC9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286CA35C" w14:textId="77777777" w:rsidR="003738AA" w:rsidRPr="00474C50" w:rsidRDefault="003738AA" w:rsidP="003738AA">
      <w:pPr>
        <w:tabs>
          <w:tab w:val="clear" w:pos="567"/>
        </w:tabs>
        <w:spacing w:line="240" w:lineRule="auto"/>
        <w:rPr>
          <w:szCs w:val="22"/>
        </w:rPr>
      </w:pPr>
    </w:p>
    <w:p w14:paraId="6AC3C547" w14:textId="6C80D71C" w:rsidR="003738AA" w:rsidRPr="00474C50" w:rsidRDefault="003738AA" w:rsidP="003738A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PŘÍBALOVÁ INFORMACE</w:t>
      </w:r>
    </w:p>
    <w:p w14:paraId="73743238" w14:textId="77777777" w:rsidR="00CA3EE5" w:rsidRPr="00190994" w:rsidRDefault="003738AA" w:rsidP="00CA3EE5">
      <w:pPr>
        <w:tabs>
          <w:tab w:val="clear" w:pos="567"/>
        </w:tabs>
        <w:spacing w:line="240" w:lineRule="auto"/>
        <w:rPr>
          <w:b/>
          <w:szCs w:val="22"/>
        </w:rPr>
      </w:pPr>
      <w:r>
        <w:br w:type="page"/>
      </w:r>
    </w:p>
    <w:p w14:paraId="4BB79118" w14:textId="77777777" w:rsidR="00C114FF" w:rsidRPr="00190994" w:rsidRDefault="007A635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Příbalová informace</w:t>
      </w:r>
    </w:p>
    <w:p w14:paraId="5C461E35" w14:textId="77777777" w:rsidR="004A7505" w:rsidRDefault="008F7E28" w:rsidP="00A9226B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DOXINYL, 500 mg/g prášek pro podání v pitné vodě pro prasata, </w:t>
      </w:r>
      <w:r w:rsidR="00217601">
        <w:rPr>
          <w:b/>
          <w:bCs/>
          <w:szCs w:val="22"/>
        </w:rPr>
        <w:t xml:space="preserve">kura domácího </w:t>
      </w:r>
      <w:r>
        <w:rPr>
          <w:b/>
          <w:bCs/>
          <w:szCs w:val="22"/>
        </w:rPr>
        <w:t>a krůty</w:t>
      </w:r>
    </w:p>
    <w:p w14:paraId="0901C4F4" w14:textId="77777777" w:rsidR="00C114FF" w:rsidRPr="0064428B" w:rsidRDefault="00C114FF" w:rsidP="00A9226B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</w:p>
    <w:p w14:paraId="23ED751F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B2EDBE" w14:textId="77777777" w:rsidR="00C114FF" w:rsidRPr="0064428B" w:rsidRDefault="00C114FF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1.</w:t>
      </w:r>
      <w:r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14:paraId="565776CD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757C13" w14:textId="77777777" w:rsidR="00C114FF" w:rsidRPr="0064428B" w:rsidRDefault="004A7505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Držitel rozhodnutí o registraci:</w:t>
      </w:r>
    </w:p>
    <w:p w14:paraId="5A25CA6E" w14:textId="77777777" w:rsidR="004A7505" w:rsidRPr="00500E92" w:rsidRDefault="004A7505" w:rsidP="004A7505">
      <w:pPr>
        <w:tabs>
          <w:tab w:val="clear" w:pos="567"/>
        </w:tabs>
        <w:spacing w:before="120" w:line="240" w:lineRule="auto"/>
        <w:rPr>
          <w:szCs w:val="22"/>
        </w:rPr>
      </w:pPr>
      <w:r>
        <w:t xml:space="preserve">LIVISTO </w:t>
      </w:r>
      <w:proofErr w:type="spellStart"/>
      <w:r>
        <w:t>Int’l</w:t>
      </w:r>
      <w:proofErr w:type="spellEnd"/>
      <w:r>
        <w:t xml:space="preserve">, </w:t>
      </w:r>
      <w:proofErr w:type="gramStart"/>
      <w:r>
        <w:t>S.L.</w:t>
      </w:r>
      <w:proofErr w:type="gramEnd"/>
    </w:p>
    <w:p w14:paraId="76D3BC98" w14:textId="77777777" w:rsidR="004A7505" w:rsidRPr="00500E92" w:rsidRDefault="004A7505" w:rsidP="004A7505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Av</w:t>
      </w:r>
      <w:proofErr w:type="spellEnd"/>
      <w:r>
        <w:t xml:space="preserve">.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>, 29</w:t>
      </w:r>
    </w:p>
    <w:p w14:paraId="33F6FCDE" w14:textId="77777777" w:rsidR="006A00C8" w:rsidRDefault="006A00C8" w:rsidP="004A7505">
      <w:pPr>
        <w:tabs>
          <w:tab w:val="clear" w:pos="567"/>
        </w:tabs>
        <w:spacing w:line="240" w:lineRule="auto"/>
        <w:rPr>
          <w:szCs w:val="22"/>
        </w:rPr>
      </w:pPr>
      <w:r>
        <w:t xml:space="preserve">08290 </w:t>
      </w:r>
      <w:proofErr w:type="spellStart"/>
      <w:r>
        <w:t>Cerdanyola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Vallès</w:t>
      </w:r>
      <w:proofErr w:type="spellEnd"/>
    </w:p>
    <w:p w14:paraId="254FAEFC" w14:textId="77777777" w:rsidR="004A7505" w:rsidRPr="00500E92" w:rsidRDefault="004A7505" w:rsidP="004A7505">
      <w:pPr>
        <w:tabs>
          <w:tab w:val="clear" w:pos="567"/>
        </w:tabs>
        <w:spacing w:line="240" w:lineRule="auto"/>
        <w:rPr>
          <w:szCs w:val="22"/>
        </w:rPr>
      </w:pPr>
      <w:r>
        <w:t>(Barcelona), Španělsko</w:t>
      </w:r>
    </w:p>
    <w:p w14:paraId="7CF8C752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038375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Výrobce odpovědný za uvolnění šarže</w:t>
      </w:r>
      <w:r>
        <w:t>:</w:t>
      </w:r>
    </w:p>
    <w:p w14:paraId="74D70448" w14:textId="77777777" w:rsidR="006A00C8" w:rsidRPr="00E0250C" w:rsidRDefault="006A00C8" w:rsidP="006A00C8">
      <w:pPr>
        <w:tabs>
          <w:tab w:val="clear" w:pos="567"/>
        </w:tabs>
        <w:spacing w:before="120" w:line="240" w:lineRule="auto"/>
        <w:rPr>
          <w:szCs w:val="22"/>
        </w:rPr>
      </w:pPr>
      <w:proofErr w:type="spellStart"/>
      <w:r>
        <w:t>aniMedica</w:t>
      </w:r>
      <w:proofErr w:type="spellEnd"/>
      <w:r>
        <w:t xml:space="preserve"> </w:t>
      </w:r>
      <w:proofErr w:type="spellStart"/>
      <w:r>
        <w:t>Herstellungs</w:t>
      </w:r>
      <w:proofErr w:type="spellEnd"/>
      <w:r>
        <w:t xml:space="preserve"> GmbH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2"/>
          <w:highlight w:val="lightGray"/>
        </w:rPr>
        <w:t>aniMedica</w:t>
      </w:r>
      <w:proofErr w:type="spellEnd"/>
      <w:r>
        <w:rPr>
          <w:szCs w:val="22"/>
          <w:highlight w:val="lightGray"/>
        </w:rPr>
        <w:t xml:space="preserve"> </w:t>
      </w:r>
      <w:proofErr w:type="spellStart"/>
      <w:r>
        <w:rPr>
          <w:szCs w:val="22"/>
          <w:highlight w:val="lightGray"/>
        </w:rPr>
        <w:t>Herstellungs</w:t>
      </w:r>
      <w:proofErr w:type="spellEnd"/>
      <w:r>
        <w:rPr>
          <w:szCs w:val="22"/>
          <w:highlight w:val="lightGray"/>
        </w:rPr>
        <w:t xml:space="preserve"> GmbH</w:t>
      </w:r>
    </w:p>
    <w:p w14:paraId="77CC23D5" w14:textId="77777777" w:rsidR="006A00C8" w:rsidRPr="00A957CA" w:rsidRDefault="006A00C8" w:rsidP="006A00C8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Im</w:t>
      </w:r>
      <w:proofErr w:type="spellEnd"/>
      <w:r>
        <w:t xml:space="preserve"> </w:t>
      </w:r>
      <w:proofErr w:type="spellStart"/>
      <w:r>
        <w:t>Südfeld</w:t>
      </w:r>
      <w:proofErr w:type="spellEnd"/>
      <w:r>
        <w:t xml:space="preserve">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2"/>
          <w:highlight w:val="lightGray"/>
        </w:rPr>
        <w:t>Pappelstraße</w:t>
      </w:r>
      <w:proofErr w:type="spellEnd"/>
      <w:r>
        <w:rPr>
          <w:szCs w:val="22"/>
          <w:highlight w:val="lightGray"/>
        </w:rPr>
        <w:t xml:space="preserve"> 7</w:t>
      </w:r>
    </w:p>
    <w:p w14:paraId="6D878EF3" w14:textId="77777777" w:rsidR="006A00C8" w:rsidRPr="00A957CA" w:rsidRDefault="006A00C8" w:rsidP="006A00C8">
      <w:pPr>
        <w:tabs>
          <w:tab w:val="clear" w:pos="567"/>
        </w:tabs>
        <w:spacing w:line="240" w:lineRule="auto"/>
        <w:rPr>
          <w:szCs w:val="22"/>
        </w:rPr>
      </w:pPr>
      <w:r>
        <w:t xml:space="preserve">48308 </w:t>
      </w:r>
      <w:proofErr w:type="spellStart"/>
      <w:r>
        <w:t>Senden-Bösensell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2"/>
          <w:highlight w:val="lightGray"/>
        </w:rPr>
        <w:t xml:space="preserve">72160 </w:t>
      </w:r>
      <w:proofErr w:type="spellStart"/>
      <w:r>
        <w:rPr>
          <w:szCs w:val="22"/>
          <w:highlight w:val="lightGray"/>
        </w:rPr>
        <w:t>Horb</w:t>
      </w:r>
      <w:proofErr w:type="spellEnd"/>
      <w:r>
        <w:rPr>
          <w:szCs w:val="22"/>
          <w:highlight w:val="lightGray"/>
        </w:rPr>
        <w:t xml:space="preserve"> </w:t>
      </w:r>
      <w:proofErr w:type="spellStart"/>
      <w:proofErr w:type="gramStart"/>
      <w:r>
        <w:rPr>
          <w:szCs w:val="22"/>
          <w:highlight w:val="lightGray"/>
        </w:rPr>
        <w:t>a.N</w:t>
      </w:r>
      <w:proofErr w:type="spellEnd"/>
      <w:r>
        <w:t>.</w:t>
      </w:r>
      <w:proofErr w:type="gramEnd"/>
      <w:r>
        <w:t xml:space="preserve"> </w:t>
      </w:r>
    </w:p>
    <w:p w14:paraId="0483E1C3" w14:textId="77777777" w:rsidR="006A00C8" w:rsidRPr="00476568" w:rsidRDefault="006A00C8" w:rsidP="006A00C8">
      <w:pPr>
        <w:tabs>
          <w:tab w:val="clear" w:pos="567"/>
        </w:tabs>
        <w:spacing w:line="240" w:lineRule="auto"/>
        <w:rPr>
          <w:szCs w:val="22"/>
        </w:rPr>
      </w:pPr>
      <w:r>
        <w:t>Německo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2"/>
          <w:highlight w:val="lightGray"/>
        </w:rPr>
        <w:t>Německo</w:t>
      </w:r>
      <w:proofErr w:type="spellEnd"/>
    </w:p>
    <w:p w14:paraId="5278B574" w14:textId="77777777" w:rsidR="006A00C8" w:rsidRPr="00476568" w:rsidRDefault="006A00C8" w:rsidP="006A00C8">
      <w:pPr>
        <w:tabs>
          <w:tab w:val="clear" w:pos="567"/>
        </w:tabs>
        <w:spacing w:line="240" w:lineRule="auto"/>
        <w:rPr>
          <w:szCs w:val="22"/>
        </w:rPr>
      </w:pPr>
    </w:p>
    <w:p w14:paraId="7BD60525" w14:textId="77777777" w:rsidR="006A00C8" w:rsidRPr="006A00C8" w:rsidRDefault="006A00C8" w:rsidP="006A00C8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highlight w:val="lightGray"/>
        </w:rPr>
        <w:t>Industrial</w:t>
      </w:r>
      <w:proofErr w:type="spellEnd"/>
      <w:r>
        <w:rPr>
          <w:szCs w:val="22"/>
          <w:highlight w:val="lightGray"/>
        </w:rPr>
        <w:t xml:space="preserve"> </w:t>
      </w:r>
      <w:proofErr w:type="spellStart"/>
      <w:r>
        <w:rPr>
          <w:szCs w:val="22"/>
          <w:highlight w:val="lightGray"/>
        </w:rPr>
        <w:t>Veterinaria</w:t>
      </w:r>
      <w:proofErr w:type="spellEnd"/>
      <w:r>
        <w:rPr>
          <w:szCs w:val="22"/>
          <w:highlight w:val="lightGray"/>
        </w:rPr>
        <w:t xml:space="preserve">, </w:t>
      </w:r>
      <w:proofErr w:type="gramStart"/>
      <w:r>
        <w:rPr>
          <w:szCs w:val="22"/>
          <w:highlight w:val="lightGray"/>
        </w:rPr>
        <w:t>S.A.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2"/>
          <w:highlight w:val="lightGray"/>
        </w:rPr>
        <w:t>Industria</w:t>
      </w:r>
      <w:proofErr w:type="spellEnd"/>
      <w:r>
        <w:rPr>
          <w:szCs w:val="22"/>
          <w:highlight w:val="lightGray"/>
        </w:rPr>
        <w:t xml:space="preserve"> </w:t>
      </w:r>
      <w:proofErr w:type="spellStart"/>
      <w:r>
        <w:rPr>
          <w:szCs w:val="22"/>
          <w:highlight w:val="lightGray"/>
        </w:rPr>
        <w:t>Italiana</w:t>
      </w:r>
      <w:proofErr w:type="spellEnd"/>
      <w:r>
        <w:rPr>
          <w:szCs w:val="22"/>
          <w:highlight w:val="lightGray"/>
        </w:rPr>
        <w:t xml:space="preserve"> </w:t>
      </w:r>
      <w:proofErr w:type="spellStart"/>
      <w:r>
        <w:rPr>
          <w:szCs w:val="22"/>
          <w:highlight w:val="lightGray"/>
        </w:rPr>
        <w:t>Integratori</w:t>
      </w:r>
      <w:proofErr w:type="spellEnd"/>
      <w:r>
        <w:rPr>
          <w:szCs w:val="22"/>
          <w:highlight w:val="lightGray"/>
        </w:rPr>
        <w:t xml:space="preserve"> TREI </w:t>
      </w:r>
      <w:proofErr w:type="spellStart"/>
      <w:r>
        <w:rPr>
          <w:szCs w:val="22"/>
          <w:highlight w:val="lightGray"/>
        </w:rPr>
        <w:t>S.p.A</w:t>
      </w:r>
      <w:proofErr w:type="spellEnd"/>
      <w:r>
        <w:rPr>
          <w:szCs w:val="22"/>
          <w:highlight w:val="lightGray"/>
        </w:rPr>
        <w:t>.</w:t>
      </w:r>
    </w:p>
    <w:p w14:paraId="5C904CC2" w14:textId="77777777" w:rsidR="006A00C8" w:rsidRPr="006A00C8" w:rsidRDefault="006A00C8" w:rsidP="006A00C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highlight w:val="lightGray"/>
        </w:rPr>
        <w:t>Esmeralda 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2"/>
          <w:highlight w:val="lightGray"/>
        </w:rPr>
        <w:t xml:space="preserve">Via </w:t>
      </w:r>
      <w:proofErr w:type="spellStart"/>
      <w:r>
        <w:rPr>
          <w:szCs w:val="22"/>
          <w:highlight w:val="lightGray"/>
        </w:rPr>
        <w:t>Affarosa</w:t>
      </w:r>
      <w:proofErr w:type="spellEnd"/>
      <w:r>
        <w:rPr>
          <w:szCs w:val="22"/>
          <w:highlight w:val="lightGray"/>
        </w:rPr>
        <w:t xml:space="preserve"> 4</w:t>
      </w:r>
    </w:p>
    <w:p w14:paraId="26DD931B" w14:textId="77777777" w:rsidR="006A00C8" w:rsidRPr="006A00C8" w:rsidRDefault="006A00C8" w:rsidP="006A00C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highlight w:val="lightGray"/>
        </w:rPr>
        <w:t xml:space="preserve">08950 </w:t>
      </w:r>
      <w:proofErr w:type="spellStart"/>
      <w:r>
        <w:rPr>
          <w:szCs w:val="22"/>
          <w:highlight w:val="lightGray"/>
        </w:rPr>
        <w:t>Esplugues</w:t>
      </w:r>
      <w:proofErr w:type="spellEnd"/>
      <w:r>
        <w:rPr>
          <w:szCs w:val="22"/>
          <w:highlight w:val="lightGray"/>
        </w:rPr>
        <w:t xml:space="preserve"> de </w:t>
      </w:r>
      <w:proofErr w:type="spellStart"/>
      <w:r>
        <w:rPr>
          <w:szCs w:val="22"/>
          <w:highlight w:val="lightGray"/>
        </w:rPr>
        <w:t>Llobregat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szCs w:val="22"/>
          <w:highlight w:val="lightGray"/>
        </w:rPr>
        <w:t xml:space="preserve">42010 Rio </w:t>
      </w:r>
      <w:proofErr w:type="spellStart"/>
      <w:r>
        <w:rPr>
          <w:szCs w:val="22"/>
          <w:highlight w:val="lightGray"/>
        </w:rPr>
        <w:t>Saliceto</w:t>
      </w:r>
      <w:proofErr w:type="spellEnd"/>
    </w:p>
    <w:p w14:paraId="1D614A7A" w14:textId="7238B812" w:rsidR="006A00C8" w:rsidRDefault="006A00C8" w:rsidP="006A00C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highlight w:val="lightGray"/>
        </w:rPr>
        <w:t>(Barcelona), Španělsko</w:t>
      </w:r>
      <w:r w:rsidR="00837011">
        <w:tab/>
      </w:r>
      <w:r w:rsidR="00837011">
        <w:tab/>
      </w:r>
      <w:r w:rsidR="00837011">
        <w:tab/>
      </w:r>
      <w:r w:rsidR="00837011">
        <w:tab/>
      </w:r>
      <w:r w:rsidR="00837011">
        <w:tab/>
      </w:r>
      <w:r w:rsidR="00837011">
        <w:tab/>
      </w:r>
      <w:r>
        <w:rPr>
          <w:szCs w:val="22"/>
          <w:highlight w:val="lightGray"/>
        </w:rPr>
        <w:t>Itálie</w:t>
      </w:r>
    </w:p>
    <w:p w14:paraId="3434548E" w14:textId="77777777" w:rsidR="007C7F7D" w:rsidRDefault="007C7F7D" w:rsidP="006A00C8">
      <w:pPr>
        <w:tabs>
          <w:tab w:val="clear" w:pos="567"/>
        </w:tabs>
        <w:spacing w:line="240" w:lineRule="auto"/>
        <w:rPr>
          <w:szCs w:val="22"/>
        </w:rPr>
      </w:pPr>
    </w:p>
    <w:p w14:paraId="38EDA0C1" w14:textId="77777777" w:rsidR="007C7F7D" w:rsidRDefault="007C7F7D" w:rsidP="007C7F7D">
      <w:pPr>
        <w:tabs>
          <w:tab w:val="clear" w:pos="567"/>
          <w:tab w:val="left" w:pos="708"/>
        </w:tabs>
        <w:spacing w:line="240" w:lineRule="auto"/>
        <w:rPr>
          <w:szCs w:val="22"/>
          <w:highlight w:val="lightGray"/>
        </w:rPr>
      </w:pPr>
      <w:proofErr w:type="spellStart"/>
      <w:r>
        <w:rPr>
          <w:szCs w:val="22"/>
          <w:highlight w:val="lightGray"/>
        </w:rPr>
        <w:t>aniMedica</w:t>
      </w:r>
      <w:proofErr w:type="spellEnd"/>
      <w:r>
        <w:rPr>
          <w:szCs w:val="22"/>
          <w:highlight w:val="lightGray"/>
        </w:rPr>
        <w:t xml:space="preserve"> GmbH</w:t>
      </w:r>
    </w:p>
    <w:p w14:paraId="0F3CDF96" w14:textId="77777777" w:rsidR="007C7F7D" w:rsidRDefault="007C7F7D" w:rsidP="007C7F7D">
      <w:pPr>
        <w:tabs>
          <w:tab w:val="clear" w:pos="567"/>
          <w:tab w:val="left" w:pos="708"/>
        </w:tabs>
        <w:spacing w:line="240" w:lineRule="auto"/>
        <w:rPr>
          <w:szCs w:val="22"/>
          <w:highlight w:val="lightGray"/>
        </w:rPr>
      </w:pPr>
      <w:proofErr w:type="spellStart"/>
      <w:r>
        <w:rPr>
          <w:szCs w:val="22"/>
          <w:highlight w:val="lightGray"/>
        </w:rPr>
        <w:t>Im</w:t>
      </w:r>
      <w:proofErr w:type="spellEnd"/>
      <w:r>
        <w:rPr>
          <w:szCs w:val="22"/>
          <w:highlight w:val="lightGray"/>
        </w:rPr>
        <w:t xml:space="preserve"> </w:t>
      </w:r>
      <w:proofErr w:type="spellStart"/>
      <w:r>
        <w:rPr>
          <w:szCs w:val="22"/>
          <w:highlight w:val="lightGray"/>
        </w:rPr>
        <w:t>Südfeld</w:t>
      </w:r>
      <w:proofErr w:type="spellEnd"/>
      <w:r>
        <w:rPr>
          <w:szCs w:val="22"/>
          <w:highlight w:val="lightGray"/>
        </w:rPr>
        <w:t xml:space="preserve"> 9</w:t>
      </w:r>
    </w:p>
    <w:p w14:paraId="2D5A3E4E" w14:textId="77777777" w:rsidR="007C7F7D" w:rsidRDefault="007C7F7D" w:rsidP="007C7F7D">
      <w:pPr>
        <w:tabs>
          <w:tab w:val="clear" w:pos="567"/>
          <w:tab w:val="left" w:pos="708"/>
        </w:tabs>
        <w:spacing w:line="240" w:lineRule="auto"/>
        <w:rPr>
          <w:szCs w:val="22"/>
          <w:highlight w:val="lightGray"/>
        </w:rPr>
      </w:pPr>
      <w:r>
        <w:rPr>
          <w:szCs w:val="22"/>
          <w:highlight w:val="lightGray"/>
        </w:rPr>
        <w:t xml:space="preserve">48308 </w:t>
      </w:r>
      <w:proofErr w:type="spellStart"/>
      <w:r>
        <w:rPr>
          <w:szCs w:val="22"/>
          <w:highlight w:val="lightGray"/>
        </w:rPr>
        <w:t>Senden-Bösensell</w:t>
      </w:r>
      <w:proofErr w:type="spellEnd"/>
      <w:r>
        <w:rPr>
          <w:szCs w:val="22"/>
          <w:highlight w:val="lightGray"/>
        </w:rPr>
        <w:t xml:space="preserve"> </w:t>
      </w:r>
    </w:p>
    <w:p w14:paraId="7A1514BE" w14:textId="77777777" w:rsidR="007C7F7D" w:rsidRDefault="007C7F7D" w:rsidP="007C7F7D">
      <w:pPr>
        <w:tabs>
          <w:tab w:val="clear" w:pos="567"/>
          <w:tab w:val="left" w:pos="708"/>
        </w:tabs>
        <w:spacing w:line="240" w:lineRule="auto"/>
        <w:rPr>
          <w:szCs w:val="22"/>
          <w:highlight w:val="lightGray"/>
        </w:rPr>
      </w:pPr>
      <w:r>
        <w:rPr>
          <w:szCs w:val="22"/>
          <w:highlight w:val="lightGray"/>
        </w:rPr>
        <w:t>Německo</w:t>
      </w:r>
    </w:p>
    <w:p w14:paraId="2CB04A62" w14:textId="77777777" w:rsidR="00C114FF" w:rsidRPr="001763D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2254F7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2.</w:t>
      </w:r>
      <w:r>
        <w:rPr>
          <w:b/>
          <w:szCs w:val="22"/>
        </w:rPr>
        <w:tab/>
        <w:t>NÁZEV VETERINÁRNÍHO LÉČIVÉHO PŘÍPRAVKU</w:t>
      </w:r>
    </w:p>
    <w:p w14:paraId="7A224684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F83E67" w14:textId="77777777" w:rsidR="00C114FF" w:rsidRPr="0064428B" w:rsidRDefault="008F7E28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DOXINYL, 500 mg/g prášek pro podání v pitné vodě pro prasata, </w:t>
      </w:r>
      <w:r w:rsidR="002D4217">
        <w:t xml:space="preserve">kura domácího </w:t>
      </w:r>
      <w:r>
        <w:t>a krůty</w:t>
      </w:r>
    </w:p>
    <w:p w14:paraId="417EB6FB" w14:textId="77777777" w:rsidR="00C114FF" w:rsidRPr="0064428B" w:rsidRDefault="00405FA1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Doxycyclinum</w:t>
      </w:r>
      <w:proofErr w:type="spellEnd"/>
    </w:p>
    <w:p w14:paraId="353E928D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88FD1F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3.</w:t>
      </w:r>
      <w:r>
        <w:rPr>
          <w:b/>
          <w:szCs w:val="22"/>
        </w:rPr>
        <w:tab/>
        <w:t>OBSAH LÉČIVÝCH A OSTATNÍCH LÁTEK</w:t>
      </w:r>
    </w:p>
    <w:p w14:paraId="6E635631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3EE7E06" w14:textId="77777777" w:rsidR="004A7505" w:rsidRPr="00911460" w:rsidRDefault="008F7E28" w:rsidP="004A7505">
      <w:pPr>
        <w:tabs>
          <w:tab w:val="clear" w:pos="567"/>
        </w:tabs>
        <w:spacing w:line="240" w:lineRule="auto"/>
        <w:rPr>
          <w:szCs w:val="22"/>
        </w:rPr>
      </w:pPr>
      <w:r>
        <w:t>Každý g obsahuje:</w:t>
      </w:r>
    </w:p>
    <w:p w14:paraId="1F659F7F" w14:textId="77777777" w:rsidR="004A7505" w:rsidRPr="00911460" w:rsidRDefault="004A7505" w:rsidP="006A00C8">
      <w:pPr>
        <w:tabs>
          <w:tab w:val="clear" w:pos="567"/>
        </w:tabs>
        <w:spacing w:before="120" w:line="240" w:lineRule="auto"/>
        <w:rPr>
          <w:b/>
          <w:szCs w:val="22"/>
        </w:rPr>
      </w:pPr>
      <w:r>
        <w:rPr>
          <w:b/>
          <w:szCs w:val="22"/>
        </w:rPr>
        <w:t>Léčivá látka:</w:t>
      </w:r>
    </w:p>
    <w:p w14:paraId="18A49398" w14:textId="77777777" w:rsidR="004A7505" w:rsidRPr="00911460" w:rsidRDefault="00405FA1" w:rsidP="005E5114">
      <w:pPr>
        <w:tabs>
          <w:tab w:val="clear" w:pos="567"/>
          <w:tab w:val="left" w:pos="2977"/>
        </w:tabs>
        <w:spacing w:line="240" w:lineRule="auto"/>
        <w:rPr>
          <w:iCs/>
          <w:szCs w:val="22"/>
        </w:rPr>
      </w:pPr>
      <w:proofErr w:type="spellStart"/>
      <w:r>
        <w:t>Doxycyclinum</w:t>
      </w:r>
      <w:proofErr w:type="spellEnd"/>
      <w:r>
        <w:tab/>
      </w:r>
      <w:r w:rsidR="004A7505">
        <w:t>500 mg</w:t>
      </w:r>
    </w:p>
    <w:p w14:paraId="7CBEFA7E" w14:textId="77777777" w:rsidR="004A7505" w:rsidRPr="00911460" w:rsidRDefault="004A7505" w:rsidP="004A7505">
      <w:pPr>
        <w:tabs>
          <w:tab w:val="clear" w:pos="567"/>
        </w:tabs>
        <w:spacing w:line="240" w:lineRule="auto"/>
        <w:rPr>
          <w:iCs/>
          <w:szCs w:val="22"/>
        </w:rPr>
      </w:pPr>
      <w:r>
        <w:t xml:space="preserve">(odpovídá </w:t>
      </w:r>
      <w:proofErr w:type="spellStart"/>
      <w:r w:rsidR="00405FA1">
        <w:t>doxycyclini</w:t>
      </w:r>
      <w:proofErr w:type="spellEnd"/>
      <w:r w:rsidR="00405FA1">
        <w:t xml:space="preserve"> </w:t>
      </w:r>
      <w:proofErr w:type="spellStart"/>
      <w:r w:rsidR="00405FA1">
        <w:t>hyclas</w:t>
      </w:r>
      <w:proofErr w:type="spellEnd"/>
      <w:r>
        <w:t xml:space="preserve"> 577 mg)</w:t>
      </w:r>
    </w:p>
    <w:p w14:paraId="459CB087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2D1585" w14:textId="77777777" w:rsidR="00715641" w:rsidRPr="00911460" w:rsidRDefault="00715641" w:rsidP="00715641">
      <w:pPr>
        <w:tabs>
          <w:tab w:val="clear" w:pos="567"/>
        </w:tabs>
        <w:spacing w:line="240" w:lineRule="auto"/>
        <w:rPr>
          <w:szCs w:val="22"/>
        </w:rPr>
      </w:pPr>
      <w:r>
        <w:t>Žlutý prášek.</w:t>
      </w:r>
    </w:p>
    <w:p w14:paraId="079F4711" w14:textId="77777777" w:rsidR="00190994" w:rsidRPr="0064428B" w:rsidRDefault="0019099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76100D" w14:textId="77777777" w:rsidR="00C114FF" w:rsidRPr="0064428B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4.</w:t>
      </w:r>
      <w:r>
        <w:rPr>
          <w:b/>
          <w:szCs w:val="22"/>
        </w:rPr>
        <w:tab/>
        <w:t>INDIKACE</w:t>
      </w:r>
    </w:p>
    <w:p w14:paraId="40527107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C6FD20" w14:textId="77777777" w:rsidR="004A7505" w:rsidRPr="00A91FC3" w:rsidRDefault="004A7505" w:rsidP="009C37D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Prasata: léčba respiračních infekcí </w:t>
      </w:r>
      <w:r w:rsidR="00320812">
        <w:t>vyvolaná</w:t>
      </w:r>
      <w:r>
        <w:t xml:space="preserve"> </w:t>
      </w:r>
      <w:proofErr w:type="spellStart"/>
      <w:r>
        <w:rPr>
          <w:i/>
          <w:szCs w:val="22"/>
        </w:rPr>
        <w:t>Mycoplasma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hyopneumoniae</w:t>
      </w:r>
      <w:proofErr w:type="spellEnd"/>
      <w:r>
        <w:t xml:space="preserve"> a </w:t>
      </w:r>
      <w:proofErr w:type="spellStart"/>
      <w:r>
        <w:rPr>
          <w:i/>
          <w:szCs w:val="22"/>
        </w:rPr>
        <w:t>Pasteurella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multocida</w:t>
      </w:r>
      <w:proofErr w:type="spellEnd"/>
      <w:r>
        <w:rPr>
          <w:i/>
          <w:szCs w:val="22"/>
        </w:rPr>
        <w:t xml:space="preserve"> </w:t>
      </w:r>
      <w:r>
        <w:t xml:space="preserve">citlivými </w:t>
      </w:r>
      <w:r w:rsidR="00320812">
        <w:t xml:space="preserve">k </w:t>
      </w:r>
      <w:r>
        <w:t>doxycyklin</w:t>
      </w:r>
      <w:r w:rsidR="00320812">
        <w:t>u</w:t>
      </w:r>
      <w:r>
        <w:t>.</w:t>
      </w:r>
    </w:p>
    <w:p w14:paraId="2DE97776" w14:textId="77777777" w:rsidR="004A7505" w:rsidRPr="004E52A1" w:rsidRDefault="00C96699" w:rsidP="009C37D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Kur domácí </w:t>
      </w:r>
      <w:r w:rsidR="004A7505">
        <w:t xml:space="preserve">a krůty: léčba respiračních infekcí souvisejících </w:t>
      </w:r>
      <w:proofErr w:type="spellStart"/>
      <w:r w:rsidR="004A7505">
        <w:rPr>
          <w:i/>
          <w:szCs w:val="22"/>
        </w:rPr>
        <w:t>Mycoplasma</w:t>
      </w:r>
      <w:proofErr w:type="spellEnd"/>
      <w:r w:rsidR="004A7505">
        <w:rPr>
          <w:i/>
          <w:szCs w:val="22"/>
        </w:rPr>
        <w:t xml:space="preserve"> </w:t>
      </w:r>
      <w:proofErr w:type="spellStart"/>
      <w:r w:rsidR="004A7505">
        <w:rPr>
          <w:i/>
          <w:szCs w:val="22"/>
        </w:rPr>
        <w:t>gallisepticum</w:t>
      </w:r>
      <w:proofErr w:type="spellEnd"/>
      <w:r w:rsidR="004A7505">
        <w:rPr>
          <w:i/>
          <w:szCs w:val="22"/>
        </w:rPr>
        <w:t xml:space="preserve"> </w:t>
      </w:r>
      <w:r w:rsidR="004A7505">
        <w:t>citliv</w:t>
      </w:r>
      <w:r w:rsidR="00320812">
        <w:t xml:space="preserve">ou k </w:t>
      </w:r>
      <w:r w:rsidR="004A7505">
        <w:t>doxycyklin</w:t>
      </w:r>
      <w:r w:rsidR="00320812">
        <w:t>u</w:t>
      </w:r>
      <w:r w:rsidR="004A7505">
        <w:t>.</w:t>
      </w:r>
    </w:p>
    <w:p w14:paraId="7098C49A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B46E0" w14:textId="77777777" w:rsidR="00C114FF" w:rsidRPr="0064428B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5.</w:t>
      </w:r>
      <w:r>
        <w:rPr>
          <w:b/>
          <w:szCs w:val="22"/>
        </w:rPr>
        <w:tab/>
        <w:t>KONTRAINDIKACE</w:t>
      </w:r>
    </w:p>
    <w:p w14:paraId="3E9ACDD3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D6F84F" w14:textId="77777777" w:rsidR="00EC38A6" w:rsidRPr="00A91FC3" w:rsidRDefault="00EC38A6" w:rsidP="009C37D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v případech známé přecitlivělosti na léčivou látku, nebo na některou z pomocných látek.</w:t>
      </w:r>
    </w:p>
    <w:p w14:paraId="7900D4AC" w14:textId="77777777" w:rsidR="00EC38A6" w:rsidRPr="00A91FC3" w:rsidRDefault="00EC38A6" w:rsidP="009C37D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Nepoužívejte, pokud byla ve stádu/hejnu zjištěna rezistence na tetracyklin </w:t>
      </w:r>
      <w:r w:rsidR="00E32D98">
        <w:t xml:space="preserve">z důvodu </w:t>
      </w:r>
      <w:r>
        <w:t>možné zkřížené rezistenc</w:t>
      </w:r>
      <w:r w:rsidR="00E32D98">
        <w:t>e</w:t>
      </w:r>
      <w:r>
        <w:t>.</w:t>
      </w:r>
    </w:p>
    <w:p w14:paraId="2FEBD2DB" w14:textId="77777777" w:rsidR="00C114FF" w:rsidRDefault="00EC38A6" w:rsidP="009C37D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>Nepoužívat u zvířat s poruchou funkce jater nebo ledvin.</w:t>
      </w:r>
    </w:p>
    <w:p w14:paraId="1223BF2E" w14:textId="77777777" w:rsidR="009F30E1" w:rsidRDefault="009F30E1" w:rsidP="00895A2F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</w:p>
    <w:p w14:paraId="27E5B725" w14:textId="77777777" w:rsidR="00C114FF" w:rsidRPr="0064428B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6.</w:t>
      </w:r>
      <w:r>
        <w:rPr>
          <w:b/>
          <w:szCs w:val="22"/>
        </w:rPr>
        <w:tab/>
        <w:t>NEŽÁDOUCÍ ÚČINKY</w:t>
      </w:r>
    </w:p>
    <w:p w14:paraId="32AFD724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DD4B9C" w14:textId="77777777" w:rsidR="00EC38A6" w:rsidRPr="001245E0" w:rsidRDefault="00EC38A6" w:rsidP="001921A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Tetracykliny mohou – ve vzácných případech – vyvolat </w:t>
      </w:r>
      <w:proofErr w:type="spellStart"/>
      <w:r w:rsidR="00C3178B">
        <w:t>fotosenzitivitu</w:t>
      </w:r>
      <w:proofErr w:type="spellEnd"/>
      <w:r w:rsidR="00C3178B">
        <w:t xml:space="preserve"> </w:t>
      </w:r>
      <w:r>
        <w:t xml:space="preserve">a alergické reakce. V případě podezření na nežádoucí účinky je třeba léčbu přerušit. </w:t>
      </w:r>
    </w:p>
    <w:p w14:paraId="2AAA56BF" w14:textId="77777777" w:rsidR="00EC38A6" w:rsidRPr="0064428B" w:rsidRDefault="00EC38A6" w:rsidP="001921A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CEA444" w14:textId="77777777" w:rsidR="00961156" w:rsidRPr="0064428B" w:rsidRDefault="00961156" w:rsidP="001921AC">
      <w:pPr>
        <w:keepNext/>
        <w:jc w:val="both"/>
        <w:rPr>
          <w:szCs w:val="22"/>
        </w:rPr>
      </w:pPr>
      <w:r>
        <w:t>Četnost nežádoucích účinků je charakterizována podle následujících pravidel:</w:t>
      </w:r>
    </w:p>
    <w:p w14:paraId="0980BE77" w14:textId="77777777" w:rsidR="00961156" w:rsidRPr="0064428B" w:rsidRDefault="00961156" w:rsidP="001921AC">
      <w:pPr>
        <w:jc w:val="both"/>
        <w:rPr>
          <w:szCs w:val="22"/>
        </w:rPr>
      </w:pPr>
      <w:r>
        <w:t xml:space="preserve">- velmi časté (nežádoucí </w:t>
      </w:r>
      <w:proofErr w:type="gramStart"/>
      <w:r>
        <w:t>účinek(</w:t>
      </w:r>
      <w:proofErr w:type="spellStart"/>
      <w:r>
        <w:t>nky</w:t>
      </w:r>
      <w:proofErr w:type="spellEnd"/>
      <w:proofErr w:type="gramEnd"/>
      <w:r>
        <w:t>) se projevil(y) u více než 1 z 10 ošetřených zvířat),</w:t>
      </w:r>
    </w:p>
    <w:p w14:paraId="2B179514" w14:textId="77777777" w:rsidR="00961156" w:rsidRPr="00C3178B" w:rsidRDefault="00961156" w:rsidP="001921AC">
      <w:pPr>
        <w:pStyle w:val="Odstavecseseznamem"/>
        <w:numPr>
          <w:ilvl w:val="0"/>
          <w:numId w:val="39"/>
        </w:numPr>
        <w:ind w:left="142" w:hanging="142"/>
        <w:jc w:val="both"/>
        <w:rPr>
          <w:szCs w:val="22"/>
        </w:rPr>
      </w:pPr>
      <w:r>
        <w:t>časté (u více než 1, ale méně než 10 ze 100 ošetřených zvířat)</w:t>
      </w:r>
    </w:p>
    <w:p w14:paraId="42BEDC6F" w14:textId="77777777" w:rsidR="00961156" w:rsidRPr="0064428B" w:rsidRDefault="00961156" w:rsidP="001921AC">
      <w:pPr>
        <w:jc w:val="both"/>
        <w:rPr>
          <w:szCs w:val="22"/>
        </w:rPr>
      </w:pPr>
      <w:r>
        <w:t>- neobvyklé (u více než 1, ale méně než 10 z 1 000 ošetřených zvířat),</w:t>
      </w:r>
    </w:p>
    <w:p w14:paraId="2F1B62B2" w14:textId="77777777" w:rsidR="00961156" w:rsidRPr="0064428B" w:rsidRDefault="00961156" w:rsidP="001921AC">
      <w:pPr>
        <w:jc w:val="both"/>
        <w:rPr>
          <w:szCs w:val="22"/>
        </w:rPr>
      </w:pPr>
      <w:r>
        <w:t>- vzácné (u více než 1, ale méně než 10 z 10 000 ošetřených zvířat),</w:t>
      </w:r>
    </w:p>
    <w:p w14:paraId="48A60E5F" w14:textId="77777777" w:rsidR="00961156" w:rsidRPr="0064428B" w:rsidRDefault="00961156" w:rsidP="001921A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- velmi vzácné (u méně než 1 z 10 000 ošetřených zvířat, včetně ojedinělých hlášení).</w:t>
      </w:r>
    </w:p>
    <w:p w14:paraId="258225D5" w14:textId="77777777" w:rsidR="00EB1A80" w:rsidRPr="0064428B" w:rsidRDefault="00EB1A80" w:rsidP="001921A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F2359F" w14:textId="77777777" w:rsidR="00EB1A80" w:rsidRPr="0064428B" w:rsidRDefault="00EB1A80" w:rsidP="001921AC">
      <w:pPr>
        <w:tabs>
          <w:tab w:val="clear" w:pos="567"/>
        </w:tabs>
        <w:spacing w:line="240" w:lineRule="auto"/>
        <w:jc w:val="both"/>
      </w:pPr>
      <w:r>
        <w:t xml:space="preserve">Jestliže zaznamenáte kterýkoliv z nežádoucích účinků a to i takové, které nejsou uvedeny v této příbalové informaci, nebo si myslíte, že léčivo </w:t>
      </w:r>
      <w:r w:rsidR="005446E7">
        <w:t>není účinné</w:t>
      </w:r>
      <w:r>
        <w:t>, oznamte to, prosím, vašemu veterinárnímu lékaři.</w:t>
      </w:r>
    </w:p>
    <w:p w14:paraId="42FFD50D" w14:textId="77777777" w:rsidR="00EC38A6" w:rsidRDefault="00EC38A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B9D27B7" w14:textId="77777777" w:rsidR="005446E7" w:rsidRDefault="005446E7" w:rsidP="005446E7">
      <w:pPr>
        <w:tabs>
          <w:tab w:val="clear" w:pos="567"/>
        </w:tabs>
        <w:spacing w:line="240" w:lineRule="auto"/>
      </w:pPr>
      <w:r>
        <w:t xml:space="preserve">Nežádoucí účinky můžete hlásit prostřednictvím formuláře na webových stránkách ÚSKVBL elektronicky, nebo také přímo na adresu: </w:t>
      </w:r>
    </w:p>
    <w:p w14:paraId="07098913" w14:textId="77777777" w:rsidR="005446E7" w:rsidRDefault="005446E7" w:rsidP="005446E7">
      <w:pPr>
        <w:tabs>
          <w:tab w:val="clear" w:pos="567"/>
        </w:tabs>
        <w:spacing w:line="240" w:lineRule="auto"/>
      </w:pPr>
      <w:r>
        <w:t xml:space="preserve">Ústav pro státní kontrolu veterinárních biopreparátů a léčiv </w:t>
      </w:r>
    </w:p>
    <w:p w14:paraId="13DC5F78" w14:textId="77777777" w:rsidR="005446E7" w:rsidRDefault="005446E7" w:rsidP="005446E7">
      <w:pPr>
        <w:tabs>
          <w:tab w:val="clear" w:pos="567"/>
        </w:tabs>
        <w:spacing w:line="240" w:lineRule="auto"/>
      </w:pPr>
      <w:r>
        <w:t>Hudcova 56a</w:t>
      </w:r>
    </w:p>
    <w:p w14:paraId="08472F9A" w14:textId="77777777" w:rsidR="005446E7" w:rsidRDefault="005446E7" w:rsidP="005446E7">
      <w:pPr>
        <w:tabs>
          <w:tab w:val="clear" w:pos="567"/>
        </w:tabs>
        <w:spacing w:line="240" w:lineRule="auto"/>
      </w:pPr>
      <w:r>
        <w:t xml:space="preserve">621 00 Brno </w:t>
      </w:r>
    </w:p>
    <w:p w14:paraId="2DF9D27B" w14:textId="77777777" w:rsidR="005446E7" w:rsidRDefault="005446E7" w:rsidP="005446E7">
      <w:pPr>
        <w:tabs>
          <w:tab w:val="clear" w:pos="567"/>
        </w:tabs>
        <w:spacing w:line="240" w:lineRule="auto"/>
      </w:pPr>
      <w:r>
        <w:t>Mail: adr@uskvbl.cz</w:t>
      </w:r>
    </w:p>
    <w:p w14:paraId="640C809D" w14:textId="77777777" w:rsidR="00261560" w:rsidRDefault="005446E7" w:rsidP="00EB1A80">
      <w:pPr>
        <w:tabs>
          <w:tab w:val="clear" w:pos="567"/>
        </w:tabs>
        <w:spacing w:line="240" w:lineRule="auto"/>
      </w:pPr>
      <w:r>
        <w:t xml:space="preserve">Webové stránky: </w:t>
      </w:r>
      <w:hyperlink r:id="rId9" w:history="1">
        <w:r w:rsidR="00261560" w:rsidRPr="0006432F">
          <w:rPr>
            <w:rStyle w:val="Hypertextovodkaz"/>
          </w:rPr>
          <w:t>http://www.uskvbl.cz/cs/farmakovigilance</w:t>
        </w:r>
      </w:hyperlink>
    </w:p>
    <w:p w14:paraId="4EAEEF43" w14:textId="77777777" w:rsidR="00EB457B" w:rsidRPr="0064428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81DAA38" w14:textId="77777777" w:rsidR="00C114FF" w:rsidRPr="0064428B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7.</w:t>
      </w:r>
      <w:r>
        <w:rPr>
          <w:b/>
          <w:szCs w:val="22"/>
        </w:rPr>
        <w:tab/>
        <w:t>CÍLOVÝ DRUH ZVÍŘAT</w:t>
      </w:r>
    </w:p>
    <w:p w14:paraId="1517E7C2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22C6E8" w14:textId="77777777" w:rsidR="008F7E28" w:rsidRPr="00911460" w:rsidRDefault="008F7E28" w:rsidP="008F7E28">
      <w:pPr>
        <w:tabs>
          <w:tab w:val="clear" w:pos="567"/>
        </w:tabs>
        <w:spacing w:line="240" w:lineRule="auto"/>
        <w:rPr>
          <w:szCs w:val="22"/>
        </w:rPr>
      </w:pPr>
      <w:r>
        <w:t xml:space="preserve">Prasata (prasata určená na výkrm), </w:t>
      </w:r>
      <w:r w:rsidR="00AE20FB">
        <w:t xml:space="preserve">kur domácí </w:t>
      </w:r>
      <w:r>
        <w:t xml:space="preserve">(brojleři a </w:t>
      </w:r>
      <w:r w:rsidR="00AE20FB">
        <w:t xml:space="preserve">jedinci </w:t>
      </w:r>
      <w:r>
        <w:t>určen</w:t>
      </w:r>
      <w:r w:rsidR="00AE20FB">
        <w:t>í</w:t>
      </w:r>
      <w:r>
        <w:t xml:space="preserve"> na reprodukci) a krůty (</w:t>
      </w:r>
      <w:r w:rsidR="00AE20FB">
        <w:t>brojleři</w:t>
      </w:r>
      <w:r>
        <w:t xml:space="preserve"> a </w:t>
      </w:r>
      <w:r w:rsidR="00AE20FB">
        <w:t xml:space="preserve">krůty určené </w:t>
      </w:r>
      <w:r>
        <w:t>na reprodukci).</w:t>
      </w:r>
    </w:p>
    <w:p w14:paraId="3E358C6C" w14:textId="77777777" w:rsidR="00937B77" w:rsidRPr="0064428B" w:rsidRDefault="00937B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58D26B" w14:textId="77777777" w:rsidR="00C114FF" w:rsidRPr="0064428B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8.</w:t>
      </w:r>
      <w:r>
        <w:rPr>
          <w:b/>
          <w:szCs w:val="22"/>
        </w:rPr>
        <w:tab/>
        <w:t xml:space="preserve">DÁVKOVÁNÍ PRO KAŽDÝ DRUH, </w:t>
      </w:r>
      <w:proofErr w:type="gramStart"/>
      <w:r>
        <w:rPr>
          <w:b/>
          <w:szCs w:val="22"/>
        </w:rPr>
        <w:t>CESTA(Y) A ZPŮSOB</w:t>
      </w:r>
      <w:proofErr w:type="gramEnd"/>
      <w:r>
        <w:rPr>
          <w:b/>
          <w:szCs w:val="22"/>
        </w:rPr>
        <w:t xml:space="preserve"> PODÁNÍ</w:t>
      </w:r>
    </w:p>
    <w:p w14:paraId="158D1BC7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6F7104" w14:textId="77777777" w:rsidR="00EC38A6" w:rsidRDefault="004F28E2" w:rsidP="00EC38A6">
      <w:pPr>
        <w:tabs>
          <w:tab w:val="clear" w:pos="567"/>
        </w:tabs>
        <w:spacing w:line="240" w:lineRule="auto"/>
      </w:pPr>
      <w:r>
        <w:t>P</w:t>
      </w:r>
      <w:r w:rsidR="00091724">
        <w:t>erorální podání v pitné vodě.</w:t>
      </w:r>
    </w:p>
    <w:p w14:paraId="0B4F8A7C" w14:textId="77777777" w:rsidR="004F28E2" w:rsidRPr="001245E0" w:rsidRDefault="004F28E2" w:rsidP="00EC38A6">
      <w:pPr>
        <w:tabs>
          <w:tab w:val="clear" w:pos="567"/>
        </w:tabs>
        <w:spacing w:line="240" w:lineRule="auto"/>
        <w:rPr>
          <w:szCs w:val="22"/>
        </w:rPr>
      </w:pPr>
    </w:p>
    <w:p w14:paraId="05807D55" w14:textId="77777777" w:rsidR="00EC38A6" w:rsidRPr="00EC38A6" w:rsidRDefault="00EC38A6" w:rsidP="00EC38A6">
      <w:pPr>
        <w:tabs>
          <w:tab w:val="clear" w:pos="567"/>
        </w:tabs>
        <w:spacing w:after="120" w:line="240" w:lineRule="auto"/>
        <w:jc w:val="both"/>
        <w:rPr>
          <w:i/>
          <w:szCs w:val="22"/>
          <w:u w:val="single"/>
        </w:rPr>
      </w:pPr>
      <w:r>
        <w:rPr>
          <w:i/>
          <w:szCs w:val="22"/>
          <w:u w:val="single"/>
        </w:rPr>
        <w:t>Dávkování:</w:t>
      </w:r>
    </w:p>
    <w:p w14:paraId="2D54E7E4" w14:textId="77777777" w:rsidR="00EC38A6" w:rsidRPr="001245E0" w:rsidRDefault="00EC38A6" w:rsidP="00EC38A6">
      <w:pPr>
        <w:tabs>
          <w:tab w:val="clear" w:pos="567"/>
        </w:tabs>
        <w:spacing w:line="240" w:lineRule="auto"/>
        <w:ind w:right="-1"/>
        <w:jc w:val="both"/>
        <w:rPr>
          <w:szCs w:val="22"/>
          <w:u w:val="single"/>
        </w:rPr>
      </w:pPr>
      <w:r>
        <w:rPr>
          <w:szCs w:val="22"/>
          <w:u w:val="single"/>
        </w:rPr>
        <w:t>Prasata a kuřata</w:t>
      </w:r>
    </w:p>
    <w:p w14:paraId="2D50F0A5" w14:textId="77777777" w:rsidR="00EC38A6" w:rsidRDefault="00EC38A6" w:rsidP="00EC38A6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>
        <w:t xml:space="preserve">20 mg doxycyklinu na 1 kg </w:t>
      </w:r>
      <w:r w:rsidR="004F28E2">
        <w:t>živé</w:t>
      </w:r>
      <w:r>
        <w:t xml:space="preserve"> hmotnosti a den (odpovídá 40 mg přípravku na 1 kg </w:t>
      </w:r>
      <w:r w:rsidR="004F28E2">
        <w:t>živé</w:t>
      </w:r>
      <w:r>
        <w:t xml:space="preserve"> hmotnosti) podávaného v pitné vodě po dobu 5 po sobě jdoucích dnů.</w:t>
      </w:r>
    </w:p>
    <w:p w14:paraId="152CA31D" w14:textId="77777777" w:rsidR="00EC38A6" w:rsidRPr="001245E0" w:rsidRDefault="00EC38A6" w:rsidP="00EC38A6">
      <w:pPr>
        <w:tabs>
          <w:tab w:val="clear" w:pos="567"/>
        </w:tabs>
        <w:spacing w:line="240" w:lineRule="auto"/>
        <w:ind w:right="-1"/>
        <w:jc w:val="both"/>
        <w:rPr>
          <w:szCs w:val="22"/>
          <w:lang w:eastAsia="hu-HU"/>
        </w:rPr>
      </w:pPr>
    </w:p>
    <w:p w14:paraId="6C7A59B6" w14:textId="77777777" w:rsidR="00EC38A6" w:rsidRPr="001245E0" w:rsidRDefault="00EC38A6" w:rsidP="00EC38A6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Krůty</w:t>
      </w:r>
    </w:p>
    <w:p w14:paraId="2CD09494" w14:textId="77777777" w:rsidR="00EC38A6" w:rsidRDefault="00EC38A6" w:rsidP="00EC38A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25 mg doxycyklinu na 1 kg </w:t>
      </w:r>
      <w:r w:rsidR="004F28E2">
        <w:t>živé</w:t>
      </w:r>
      <w:r>
        <w:t xml:space="preserve"> hmotnosti a den (odpovídá 50 mg přípravku na 1 kg </w:t>
      </w:r>
      <w:r w:rsidR="004F28E2">
        <w:t>živé</w:t>
      </w:r>
      <w:r>
        <w:t xml:space="preserve"> hmotnosti) podávaného v pitné vodě po dobu 5 po sobě jdoucích dnů.</w:t>
      </w:r>
    </w:p>
    <w:p w14:paraId="58E0B62D" w14:textId="77777777" w:rsidR="00EC38A6" w:rsidRPr="001245E0" w:rsidRDefault="00EC38A6" w:rsidP="00EC38A6">
      <w:pPr>
        <w:tabs>
          <w:tab w:val="clear" w:pos="567"/>
        </w:tabs>
        <w:spacing w:line="240" w:lineRule="auto"/>
        <w:jc w:val="both"/>
        <w:rPr>
          <w:szCs w:val="22"/>
          <w:lang w:eastAsia="hu-HU"/>
        </w:rPr>
      </w:pPr>
    </w:p>
    <w:p w14:paraId="3FB9AFF8" w14:textId="77777777" w:rsidR="00EC38A6" w:rsidRPr="001245E0" w:rsidRDefault="00EC38A6" w:rsidP="00EC38A6">
      <w:pPr>
        <w:tabs>
          <w:tab w:val="clear" w:pos="567"/>
        </w:tabs>
        <w:spacing w:line="240" w:lineRule="auto"/>
        <w:jc w:val="both"/>
        <w:rPr>
          <w:i/>
          <w:szCs w:val="22"/>
          <w:u w:val="single"/>
        </w:rPr>
      </w:pPr>
      <w:r>
        <w:rPr>
          <w:i/>
          <w:szCs w:val="22"/>
          <w:u w:val="single"/>
        </w:rPr>
        <w:t>Podávání:</w:t>
      </w:r>
    </w:p>
    <w:p w14:paraId="51A08BD8" w14:textId="77777777" w:rsidR="00EC38A6" w:rsidRDefault="00EC38A6" w:rsidP="00EC38A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Na základě doporučené dávky a počtu a hmotnosti ošetřovaných zvířat je třeba vypočítat přesné denní množství přípravku podle následujícího vzorce:</w:t>
      </w:r>
    </w:p>
    <w:p w14:paraId="1721B3A4" w14:textId="77777777" w:rsidR="001763DC" w:rsidRDefault="001763DC" w:rsidP="00EC38A6">
      <w:pPr>
        <w:tabs>
          <w:tab w:val="clear" w:pos="567"/>
        </w:tabs>
        <w:spacing w:line="240" w:lineRule="auto"/>
        <w:jc w:val="both"/>
        <w:rPr>
          <w:szCs w:val="22"/>
          <w:lang w:eastAsia="hu-HU"/>
        </w:rPr>
      </w:pPr>
    </w:p>
    <w:p w14:paraId="02F549B6" w14:textId="77777777" w:rsidR="001763DC" w:rsidRPr="001245E0" w:rsidRDefault="00337F0D" w:rsidP="00EC38A6">
      <w:pPr>
        <w:tabs>
          <w:tab w:val="clear" w:pos="567"/>
        </w:tabs>
        <w:spacing w:line="240" w:lineRule="auto"/>
        <w:jc w:val="both"/>
        <w:rPr>
          <w:szCs w:val="22"/>
        </w:rPr>
      </w:pPr>
      <m:oMathPara>
        <m:oMath>
          <m:f>
            <m:fPr>
              <m:ctrlPr>
                <w:rPr>
                  <w:rFonts w:ascii="Cambria Math" w:eastAsiaTheme="minorHAnsi" w:hAnsi="Cambria Math" w:cstheme="minorBidi"/>
                  <w:sz w:val="20"/>
                </w:rPr>
              </m:ctrlPr>
            </m:fPr>
            <m:nu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HAnsi" w:hAnsi="Cambria Math" w:cstheme="minorBidi"/>
                      <w:i/>
                      <w:sz w:val="20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  <w:highlight w:val="lightGray"/>
                      </w:rPr>
                      <m:t>…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 xml:space="preserve"> mg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  <w:highlight w:val="lightGray"/>
                      </w:rPr>
                      <m:t>přípravku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>na 1 kg živé hmotnosti a den</m:t>
                    </m:r>
                  </m:e>
                </m:mr>
              </m:m>
              <m:r>
                <w:rPr>
                  <w:rFonts w:ascii="Cambria Math" w:hAnsi="Cambria Math"/>
                  <w:sz w:val="20"/>
                </w:rPr>
                <m:t xml:space="preserve"> ×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HAnsi" w:hAnsi="Cambria Math" w:cstheme="minorBidi"/>
                      <w:i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hu-HU"/>
                      </w:rPr>
                      <m:t xml:space="preserve">Průměrná živá hmotnost 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lang w:eastAsia="hu-H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lang w:eastAsia="hu-HU"/>
                          </w:rPr>
                          <m:t>kg</m:t>
                        </m:r>
                      </m:e>
                    </m:d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hu-HU"/>
                      </w:rPr>
                      <m:t>léčených zvířat</m:t>
                    </m:r>
                  </m:e>
                </m:mr>
              </m:m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hu-HU"/>
                </w:rPr>
                <m:t xml:space="preserve">Průměrná denní spotřeba vody </m:t>
              </m:r>
              <m:d>
                <m:dPr>
                  <m:ctrlPr>
                    <w:rPr>
                      <w:rFonts w:ascii="Cambria Math" w:hAnsi="Cambria Math"/>
                      <w:sz w:val="20"/>
                      <w:lang w:eastAsia="hu-H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hu-HU"/>
                    </w:rPr>
                    <m:t>litrů na zvíře</m:t>
                  </m:r>
                </m:e>
              </m:d>
            </m:den>
          </m:f>
          <m:r>
            <w:rPr>
              <w:rFonts w:ascii="Cambria Math" w:hAnsi="Cambria Math"/>
              <w:sz w:val="20"/>
            </w:rPr>
            <m:t>=</m:t>
          </m:r>
          <m:r>
            <m:rPr>
              <m:sty m:val="p"/>
            </m:rPr>
            <w:rPr>
              <w:rFonts w:ascii="Cambria Math" w:hAnsi="Cambria Math"/>
              <w:sz w:val="20"/>
              <w:shd w:val="pct12" w:color="auto" w:fill="FFFFFF"/>
              <w:lang w:eastAsia="hu-HU"/>
            </w:rPr>
            <m:t xml:space="preserve">... </m:t>
          </m:r>
          <m:r>
            <m:rPr>
              <m:sty m:val="p"/>
            </m:rPr>
            <w:rPr>
              <w:rFonts w:ascii="Cambria Math" w:hAnsi="Cambria Math"/>
              <w:sz w:val="20"/>
              <w:lang w:eastAsia="hu-HU"/>
            </w:rPr>
            <m:t xml:space="preserve">mg </m:t>
          </m:r>
          <m:r>
            <m:rPr>
              <m:sty m:val="p"/>
            </m:rPr>
            <w:rPr>
              <w:rFonts w:ascii="Cambria Math" w:hAnsi="Cambria Math"/>
              <w:sz w:val="20"/>
              <w:shd w:val="pct12" w:color="auto" w:fill="FFFFFF"/>
              <w:lang w:eastAsia="hu-HU"/>
            </w:rPr>
            <m:t>přípravku</m:t>
          </m:r>
          <m:r>
            <m:rPr>
              <m:sty m:val="p"/>
            </m:rPr>
            <w:rPr>
              <w:rFonts w:ascii="Cambria Math" w:hAnsi="Cambria Math"/>
              <w:sz w:val="20"/>
              <w:lang w:eastAsia="hu-HU"/>
            </w:rPr>
            <m:t xml:space="preserve"> na 1 litr pitné vody</m:t>
          </m:r>
        </m:oMath>
      </m:oMathPara>
    </w:p>
    <w:p w14:paraId="17198843" w14:textId="77777777" w:rsidR="00EC38A6" w:rsidRPr="001245E0" w:rsidRDefault="00EC38A6" w:rsidP="00EC38A6">
      <w:pPr>
        <w:tabs>
          <w:tab w:val="clear" w:pos="567"/>
        </w:tabs>
        <w:spacing w:line="240" w:lineRule="auto"/>
        <w:ind w:right="-1"/>
        <w:jc w:val="both"/>
        <w:rPr>
          <w:szCs w:val="22"/>
          <w:lang w:eastAsia="hu-HU"/>
        </w:rPr>
      </w:pPr>
    </w:p>
    <w:p w14:paraId="498D2E36" w14:textId="77777777" w:rsidR="00C42B29" w:rsidRDefault="00C42B29" w:rsidP="00EC38A6">
      <w:pPr>
        <w:tabs>
          <w:tab w:val="clear" w:pos="567"/>
        </w:tabs>
        <w:spacing w:line="240" w:lineRule="auto"/>
        <w:jc w:val="both"/>
      </w:pPr>
      <w:r w:rsidRPr="00C42B29">
        <w:t>Pro dosažení správné dávky musí být stanovena co možná nejpřesněji živá hmotnost zvířat</w:t>
      </w:r>
      <w:r>
        <w:t>, aby se předešlo poddávkování.</w:t>
      </w:r>
    </w:p>
    <w:p w14:paraId="48329D1E" w14:textId="77777777" w:rsidR="00EC38A6" w:rsidRPr="001245E0" w:rsidRDefault="00EC38A6" w:rsidP="00EC38A6">
      <w:pPr>
        <w:tabs>
          <w:tab w:val="clear" w:pos="567"/>
        </w:tabs>
        <w:spacing w:line="240" w:lineRule="auto"/>
        <w:jc w:val="both"/>
        <w:rPr>
          <w:szCs w:val="22"/>
          <w:lang w:eastAsia="hu-HU"/>
        </w:rPr>
      </w:pPr>
    </w:p>
    <w:p w14:paraId="58C25706" w14:textId="77777777" w:rsidR="00EC38A6" w:rsidRPr="001245E0" w:rsidRDefault="00EC38A6" w:rsidP="009C37D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Příjem </w:t>
      </w:r>
      <w:proofErr w:type="spellStart"/>
      <w:r>
        <w:t>medikované</w:t>
      </w:r>
      <w:proofErr w:type="spellEnd"/>
      <w:r>
        <w:t xml:space="preserve"> vody závisí na klinick</w:t>
      </w:r>
      <w:r w:rsidR="00C83230">
        <w:t xml:space="preserve">ém stavu </w:t>
      </w:r>
      <w:r>
        <w:t xml:space="preserve">zvířat. K dosažení správného dávkování může být nutné upravit koncentraci v pitné vodě. </w:t>
      </w:r>
      <w:r w:rsidR="003347EA" w:rsidRPr="003347EA">
        <w:t xml:space="preserve">V případě použití části balení </w:t>
      </w:r>
      <w:r w:rsidR="003347EA">
        <w:t xml:space="preserve">se </w:t>
      </w:r>
      <w:r>
        <w:t xml:space="preserve">doporučuje odvažovat </w:t>
      </w:r>
      <w:r w:rsidR="003347EA">
        <w:lastRenderedPageBreak/>
        <w:t xml:space="preserve">přípravek </w:t>
      </w:r>
      <w:r>
        <w:t>pomocí řádně kalibrované váhy. Denní množství se přidává do pitné vody tak, aby byl</w:t>
      </w:r>
      <w:r w:rsidR="00A2687C">
        <w:t xml:space="preserve">a </w:t>
      </w:r>
      <w:r>
        <w:t>vešker</w:t>
      </w:r>
      <w:r w:rsidR="00D354B6">
        <w:t xml:space="preserve">á medikovaná voda </w:t>
      </w:r>
      <w:r>
        <w:t>spotřebován</w:t>
      </w:r>
      <w:r w:rsidR="00D354B6">
        <w:t>a</w:t>
      </w:r>
      <w:r>
        <w:t xml:space="preserve"> do 24 hodin. Medikovanou pitnou vodu </w:t>
      </w:r>
      <w:r w:rsidR="0024645D">
        <w:t xml:space="preserve">připravujte </w:t>
      </w:r>
      <w:r>
        <w:t xml:space="preserve">každých 24 hodin. Doporučuje se připravit předem koncentrovaný roztok – přibližně 50 g přípravku na litr pitné vody – a podle potřeby jej dále zředit </w:t>
      </w:r>
      <w:r w:rsidR="00E231CA">
        <w:t xml:space="preserve">na </w:t>
      </w:r>
      <w:r>
        <w:t>léčebn</w:t>
      </w:r>
      <w:r w:rsidR="00E231CA">
        <w:t>ou</w:t>
      </w:r>
      <w:r>
        <w:t xml:space="preserve"> koncentrac</w:t>
      </w:r>
      <w:r w:rsidR="00E231CA">
        <w:t>i</w:t>
      </w:r>
      <w:r>
        <w:t xml:space="preserve">. Maximální rozpustnost přípravku ve vodě je 50 g/l. </w:t>
      </w:r>
      <w:r w:rsidR="00E231CA">
        <w:t>K</w:t>
      </w:r>
      <w:r>
        <w:t xml:space="preserve">oncentrovaný roztok </w:t>
      </w:r>
      <w:r w:rsidR="00E231CA">
        <w:t xml:space="preserve">lze </w:t>
      </w:r>
      <w:r>
        <w:t xml:space="preserve">použít v </w:t>
      </w:r>
      <w:r w:rsidR="00E231CA">
        <w:t>proporcionálním</w:t>
      </w:r>
      <w:r>
        <w:t xml:space="preserve"> </w:t>
      </w:r>
      <w:proofErr w:type="spellStart"/>
      <w:r>
        <w:t>medikátoru</w:t>
      </w:r>
      <w:proofErr w:type="spellEnd"/>
      <w:r>
        <w:t>.</w:t>
      </w:r>
    </w:p>
    <w:p w14:paraId="329153D4" w14:textId="77777777" w:rsidR="00EC38A6" w:rsidRPr="004E52A1" w:rsidRDefault="00EC38A6" w:rsidP="009C37D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Je třeba zajistit, aby všechna zvířata, pro kter</w:t>
      </w:r>
      <w:r w:rsidR="005F6125">
        <w:t>á</w:t>
      </w:r>
      <w:r>
        <w:t xml:space="preserve"> je léčba určena, měla volný přístup k</w:t>
      </w:r>
      <w:r w:rsidR="005F6125">
        <w:t> napájecím zařízením</w:t>
      </w:r>
      <w:r>
        <w:t xml:space="preserve">. Po ukončení léčby by mělo být </w:t>
      </w:r>
      <w:r w:rsidR="005F6125">
        <w:t xml:space="preserve">napájecí </w:t>
      </w:r>
      <w:r>
        <w:t xml:space="preserve">zařízení řádně vyčištěno, aby se zabránilo příjmu </w:t>
      </w:r>
      <w:r w:rsidR="005F6125">
        <w:t>zbytků přípravku</w:t>
      </w:r>
      <w:r>
        <w:t xml:space="preserve"> v subterapeutických dávkách. Medikovaná voda by měla být jediným zdrojem pitné vody po celou dobu léčby. Medikovaná voda nesmí být připravována ani skladována v kovové nádobě a používaná v</w:t>
      </w:r>
      <w:r w:rsidR="005F6125">
        <w:t> korodovaném napájecím</w:t>
      </w:r>
      <w:r>
        <w:t xml:space="preserve"> zařízení. Rozpustnost přípravku závisí na pH a při smíchání </w:t>
      </w:r>
      <w:r w:rsidR="00FD0D8D">
        <w:t xml:space="preserve">s </w:t>
      </w:r>
      <w:r>
        <w:t>alkalick</w:t>
      </w:r>
      <w:r w:rsidR="00FD0D8D">
        <w:t>ý</w:t>
      </w:r>
      <w:r>
        <w:t>m roztok</w:t>
      </w:r>
      <w:r w:rsidR="00FD0D8D">
        <w:t>em</w:t>
      </w:r>
      <w:r>
        <w:t xml:space="preserve"> se sráží.</w:t>
      </w:r>
    </w:p>
    <w:p w14:paraId="0C49ACE8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17AFF4D" w14:textId="77777777" w:rsidR="00C114FF" w:rsidRPr="0064428B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9.</w:t>
      </w:r>
      <w:r>
        <w:rPr>
          <w:b/>
          <w:szCs w:val="22"/>
        </w:rPr>
        <w:tab/>
        <w:t>POKYNY PRO SPRÁVNÉ PODÁNÍ</w:t>
      </w:r>
    </w:p>
    <w:p w14:paraId="66A0D73B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6DDD5C" w14:textId="77777777" w:rsidR="00FA2BD2" w:rsidRPr="002A6FAD" w:rsidRDefault="00FA2BD2" w:rsidP="00FA2BD2">
      <w:pPr>
        <w:spacing w:before="120" w:after="240"/>
        <w:contextualSpacing/>
        <w:jc w:val="both"/>
      </w:pPr>
      <w:r>
        <w:t xml:space="preserve">Viz také bod „Dávkování pro každý druh, </w:t>
      </w:r>
      <w:proofErr w:type="gramStart"/>
      <w:r>
        <w:t>cesta(y) a způsob</w:t>
      </w:r>
      <w:proofErr w:type="gramEnd"/>
      <w:r>
        <w:t xml:space="preserve"> podání“.</w:t>
      </w:r>
    </w:p>
    <w:p w14:paraId="68D1D914" w14:textId="77777777" w:rsidR="00C80401" w:rsidRPr="0064428B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1B91E" w14:textId="77777777" w:rsidR="00C80401" w:rsidRPr="0064428B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A7A078" w14:textId="77777777" w:rsidR="00C114FF" w:rsidRPr="0064428B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10.</w:t>
      </w:r>
      <w:r>
        <w:rPr>
          <w:b/>
          <w:szCs w:val="22"/>
        </w:rPr>
        <w:tab/>
        <w:t xml:space="preserve">OCHRANNÁ(É) </w:t>
      </w:r>
      <w:proofErr w:type="gramStart"/>
      <w:r>
        <w:rPr>
          <w:b/>
          <w:szCs w:val="22"/>
        </w:rPr>
        <w:t>LHŮTA(Y)</w:t>
      </w:r>
      <w:proofErr w:type="gramEnd"/>
    </w:p>
    <w:p w14:paraId="75C3FCFF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CDC7EE" w14:textId="32D039E8" w:rsidR="00EC38A6" w:rsidRPr="001245E0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 xml:space="preserve">Prasata: </w:t>
      </w:r>
      <w:r>
        <w:tab/>
        <w:t>Maso:</w:t>
      </w:r>
      <w:r w:rsidR="00B111FE">
        <w:t xml:space="preserve"> </w:t>
      </w:r>
      <w:r>
        <w:t>4 dn</w:t>
      </w:r>
      <w:r w:rsidR="00D15EE6">
        <w:t>y</w:t>
      </w:r>
    </w:p>
    <w:p w14:paraId="437BFB0F" w14:textId="77777777" w:rsidR="00EC38A6" w:rsidRPr="001245E0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>Ku</w:t>
      </w:r>
      <w:r w:rsidR="00B111FE">
        <w:t>r domácí</w:t>
      </w:r>
      <w:r>
        <w:t>: Maso:</w:t>
      </w:r>
      <w:r w:rsidR="00B111FE">
        <w:t xml:space="preserve"> </w:t>
      </w:r>
      <w:r>
        <w:t>5 dní</w:t>
      </w:r>
    </w:p>
    <w:p w14:paraId="065B4332" w14:textId="77777777" w:rsidR="00EC38A6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 xml:space="preserve">Krůty: </w:t>
      </w:r>
      <w:r>
        <w:tab/>
        <w:t>Maso:</w:t>
      </w:r>
      <w:r w:rsidR="00B111FE">
        <w:t xml:space="preserve"> </w:t>
      </w:r>
      <w:r>
        <w:t>12 dní</w:t>
      </w:r>
    </w:p>
    <w:p w14:paraId="762D9959" w14:textId="77777777" w:rsidR="00EC38A6" w:rsidRPr="001245E0" w:rsidRDefault="00EC38A6" w:rsidP="00EC38A6">
      <w:pPr>
        <w:tabs>
          <w:tab w:val="clear" w:pos="567"/>
        </w:tabs>
        <w:spacing w:line="240" w:lineRule="auto"/>
        <w:rPr>
          <w:szCs w:val="22"/>
        </w:rPr>
      </w:pPr>
    </w:p>
    <w:p w14:paraId="4E60D069" w14:textId="77777777" w:rsidR="00EC38A6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>Nepoužívat u nosnic, jejichž vejce jsou určena pro lidskou spotřebu.</w:t>
      </w:r>
    </w:p>
    <w:p w14:paraId="73282754" w14:textId="77777777" w:rsidR="00D5752C" w:rsidRPr="00190994" w:rsidRDefault="00D5752C" w:rsidP="00D5752C">
      <w:pPr>
        <w:tabs>
          <w:tab w:val="clear" w:pos="567"/>
        </w:tabs>
        <w:spacing w:line="240" w:lineRule="auto"/>
        <w:rPr>
          <w:szCs w:val="22"/>
        </w:rPr>
      </w:pPr>
      <w:r>
        <w:t>Nepoužívat během 4 týdnů před počátkem snášky.</w:t>
      </w:r>
    </w:p>
    <w:p w14:paraId="6679C3E4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5CDDC3" w14:textId="77777777" w:rsidR="00C114FF" w:rsidRPr="0064428B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11.</w:t>
      </w:r>
      <w:r>
        <w:rPr>
          <w:b/>
          <w:szCs w:val="22"/>
        </w:rPr>
        <w:tab/>
        <w:t>ZVLÁŠTNÍ OPATŘENÍ PRO UCHOVÁVÁNÍ</w:t>
      </w:r>
    </w:p>
    <w:p w14:paraId="4DB47D2C" w14:textId="77777777" w:rsidR="00C114FF" w:rsidRPr="0064428B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032DA14" w14:textId="77777777" w:rsidR="00C114FF" w:rsidRPr="009C37D6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rStyle w:val="Zvraznn"/>
          <w:i w:val="0"/>
          <w:iCs w:val="0"/>
        </w:rPr>
      </w:pPr>
      <w:r>
        <w:rPr>
          <w:rStyle w:val="Zvraznn"/>
          <w:i w:val="0"/>
          <w:iCs w:val="0"/>
        </w:rPr>
        <w:t>Uchovávat mimo dohled a dosah dětí.</w:t>
      </w:r>
    </w:p>
    <w:p w14:paraId="59E4E39E" w14:textId="794A4CC0" w:rsidR="00EC38A6" w:rsidRPr="004E52A1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 xml:space="preserve">Uchovávejte při teplotě </w:t>
      </w:r>
      <w:r w:rsidR="00ED3B73">
        <w:t xml:space="preserve">do </w:t>
      </w:r>
      <w:r>
        <w:t>25 </w:t>
      </w:r>
      <w:r>
        <w:sym w:font="Symbol" w:char="F0B0"/>
      </w:r>
      <w:r>
        <w:t>C.</w:t>
      </w:r>
    </w:p>
    <w:p w14:paraId="3CFD00A3" w14:textId="326F48ED" w:rsidR="00EC38A6" w:rsidRDefault="00ED3B73" w:rsidP="00EC38A6">
      <w:pPr>
        <w:tabs>
          <w:tab w:val="clear" w:pos="567"/>
        </w:tabs>
        <w:spacing w:line="240" w:lineRule="auto"/>
        <w:rPr>
          <w:szCs w:val="22"/>
        </w:rPr>
      </w:pPr>
      <w:r>
        <w:t xml:space="preserve">Uchovávejte </w:t>
      </w:r>
      <w:r w:rsidR="00EC38A6">
        <w:t xml:space="preserve">v </w:t>
      </w:r>
      <w:r w:rsidR="00405FA1">
        <w:t>původním</w:t>
      </w:r>
      <w:r w:rsidR="00EC38A6">
        <w:t xml:space="preserve">, dobře uzavřeném obalu, aby byl obsah chráněn </w:t>
      </w:r>
      <w:r w:rsidR="00405FA1">
        <w:t>před vlhkostí</w:t>
      </w:r>
      <w:r w:rsidR="00EC38A6">
        <w:t>.</w:t>
      </w:r>
    </w:p>
    <w:p w14:paraId="510E37B1" w14:textId="77777777" w:rsidR="003738AA" w:rsidRDefault="003738AA" w:rsidP="00EC38A6">
      <w:pPr>
        <w:tabs>
          <w:tab w:val="clear" w:pos="567"/>
        </w:tabs>
        <w:spacing w:line="240" w:lineRule="auto"/>
        <w:rPr>
          <w:szCs w:val="22"/>
        </w:rPr>
      </w:pPr>
    </w:p>
    <w:p w14:paraId="297B7045" w14:textId="77777777" w:rsidR="003738AA" w:rsidRPr="00BF0FA7" w:rsidRDefault="003738AA" w:rsidP="003738AA">
      <w:p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12 měsíců</w:t>
      </w:r>
    </w:p>
    <w:p w14:paraId="7F8EE147" w14:textId="77777777" w:rsidR="003738AA" w:rsidRPr="00500E92" w:rsidRDefault="003738AA" w:rsidP="003738AA">
      <w:pPr>
        <w:tabs>
          <w:tab w:val="clear" w:pos="567"/>
        </w:tabs>
        <w:spacing w:line="240" w:lineRule="auto"/>
        <w:rPr>
          <w:szCs w:val="22"/>
        </w:rPr>
      </w:pPr>
      <w:r>
        <w:t>Doba použitelnosti po rozpuštění podle návodu: 24 hodin</w:t>
      </w:r>
    </w:p>
    <w:p w14:paraId="2765554F" w14:textId="23CA51D8" w:rsidR="00A509B8" w:rsidRPr="00474C50" w:rsidRDefault="00A509B8" w:rsidP="00A509B8">
      <w:pPr>
        <w:tabs>
          <w:tab w:val="clear" w:pos="567"/>
        </w:tabs>
        <w:spacing w:line="240" w:lineRule="auto"/>
        <w:rPr>
          <w:szCs w:val="22"/>
        </w:rPr>
      </w:pPr>
      <w:r>
        <w:t xml:space="preserve">Medikovaná voda, která </w:t>
      </w:r>
      <w:r w:rsidR="00070152">
        <w:t xml:space="preserve">není </w:t>
      </w:r>
      <w:r>
        <w:t>spotřebov</w:t>
      </w:r>
      <w:r w:rsidR="00070152">
        <w:t>ána</w:t>
      </w:r>
      <w:r>
        <w:t xml:space="preserve"> do 24 hodin, musí být zlikvidována.</w:t>
      </w:r>
    </w:p>
    <w:p w14:paraId="75867C8E" w14:textId="77777777" w:rsidR="00A509B8" w:rsidRPr="00C52CD8" w:rsidRDefault="00A509B8" w:rsidP="00EC38A6">
      <w:pPr>
        <w:tabs>
          <w:tab w:val="clear" w:pos="567"/>
        </w:tabs>
        <w:spacing w:line="240" w:lineRule="auto"/>
        <w:rPr>
          <w:szCs w:val="22"/>
        </w:rPr>
      </w:pPr>
    </w:p>
    <w:p w14:paraId="43655104" w14:textId="77777777" w:rsidR="00A509B8" w:rsidRDefault="00A509B8" w:rsidP="00A509B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použitelnosti uvedené na etiketě.</w:t>
      </w:r>
    </w:p>
    <w:p w14:paraId="20E1E2FE" w14:textId="77777777" w:rsidR="00542422" w:rsidRPr="00474C50" w:rsidRDefault="00542422" w:rsidP="00A509B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končí posledním dnem v uvedeném měsíci.</w:t>
      </w:r>
    </w:p>
    <w:p w14:paraId="14CDEA44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A0EAD3" w14:textId="77777777" w:rsidR="00C114FF" w:rsidRPr="0064428B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12.</w:t>
      </w:r>
      <w:r>
        <w:rPr>
          <w:b/>
          <w:szCs w:val="22"/>
        </w:rPr>
        <w:tab/>
        <w:t>ZVLÁŠTNÍ UPOZORNĚNÍ</w:t>
      </w:r>
    </w:p>
    <w:p w14:paraId="4A5D7C5D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78E235" w14:textId="77777777" w:rsidR="0043320A" w:rsidRPr="0064428B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Zvláštní upozornění pro každý cílový druh:</w:t>
      </w:r>
    </w:p>
    <w:p w14:paraId="5B8B1712" w14:textId="77777777" w:rsidR="00EC38A6" w:rsidRPr="00911460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>Příjem léčebného přípravku u zvířat může být nepříznivě ovlivněn následkem onemocnění. V případě nedostatečného příjmu pitné vody je třeba léčit zvířata parenterálně.</w:t>
      </w:r>
    </w:p>
    <w:p w14:paraId="0200E549" w14:textId="77777777" w:rsidR="0043320A" w:rsidRPr="0064428B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7768C987" w14:textId="77777777" w:rsidR="0043320A" w:rsidRPr="0064428B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Zvláštní opatření pro použití u zvířat</w:t>
      </w:r>
      <w:r>
        <w:t>:</w:t>
      </w:r>
    </w:p>
    <w:p w14:paraId="0A08401A" w14:textId="77777777" w:rsidR="007F3779" w:rsidRPr="007F3779" w:rsidRDefault="007F3779" w:rsidP="007F3779">
      <w:pPr>
        <w:tabs>
          <w:tab w:val="clear" w:pos="567"/>
        </w:tabs>
        <w:autoSpaceDE w:val="0"/>
        <w:autoSpaceDN w:val="0"/>
        <w:adjustRightInd w:val="0"/>
        <w:spacing w:line="240" w:lineRule="atLeast"/>
        <w:jc w:val="both"/>
      </w:pPr>
      <w:r w:rsidRPr="007F3779">
        <w:t xml:space="preserve">Při použití přípravku je nutno vzít v úvahu oficiální a místní pravidla antibiotické politiky. </w:t>
      </w:r>
    </w:p>
    <w:p w14:paraId="798FD9D1" w14:textId="77777777" w:rsidR="007F3779" w:rsidRPr="007F3779" w:rsidRDefault="007F3779" w:rsidP="007F3779">
      <w:pPr>
        <w:tabs>
          <w:tab w:val="clear" w:pos="567"/>
        </w:tabs>
        <w:autoSpaceDE w:val="0"/>
        <w:autoSpaceDN w:val="0"/>
        <w:adjustRightInd w:val="0"/>
        <w:spacing w:line="240" w:lineRule="atLeast"/>
        <w:jc w:val="both"/>
      </w:pPr>
      <w:r w:rsidRPr="007F3779">
        <w:t xml:space="preserve">Použití přípravku by mělo být založeno na kultivaci a stanovení citlivosti mikroorganizmů pocházejících z výskytů případů onemocnění na farmě. Pokud to není možné, je nutné založit terapii na místních (regionální, na úrovni farmy) </w:t>
      </w:r>
      <w:proofErr w:type="spellStart"/>
      <w:r w:rsidRPr="007F3779">
        <w:t>epizootologických</w:t>
      </w:r>
      <w:proofErr w:type="spellEnd"/>
      <w:r w:rsidRPr="007F3779">
        <w:t xml:space="preserve"> informacích o citlivosti cílové bakterie.</w:t>
      </w:r>
    </w:p>
    <w:p w14:paraId="1EA425DB" w14:textId="77777777" w:rsidR="007F3779" w:rsidRPr="007F3779" w:rsidRDefault="007F3779" w:rsidP="007F3779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r w:rsidRPr="007F3779">
        <w:t>Použití přípravku, které je odlišné od pokynů uvedených v</w:t>
      </w:r>
      <w:r>
        <w:t> této příbalové informaci</w:t>
      </w:r>
      <w:r w:rsidRPr="007F3779">
        <w:t>, může zvýšit prevalenci bakterií rezistentních k doxycyklinu a snížit účinnost terapie ostatními tetracykliny z důvodu možné zkřížené rezistence.</w:t>
      </w:r>
    </w:p>
    <w:p w14:paraId="1A4D1103" w14:textId="77777777" w:rsidR="00EC38A6" w:rsidRPr="001245E0" w:rsidRDefault="00EC38A6" w:rsidP="009C37D6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19925A63" w14:textId="77777777" w:rsidR="00EC38A6" w:rsidRPr="001245E0" w:rsidRDefault="00EC38A6" w:rsidP="009C37D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Vzhledem k variabilitě (časové, geografické) citlivosti bakterií na doxycyklin se důrazně doporučuje bakteriologický odběr vzorků a testování citlivosti </w:t>
      </w:r>
      <w:r w:rsidR="00B066D6">
        <w:t>izolátů</w:t>
      </w:r>
      <w:r>
        <w:t xml:space="preserve"> z nemocných zvířat.</w:t>
      </w:r>
    </w:p>
    <w:p w14:paraId="1EA24795" w14:textId="77777777" w:rsidR="00EC38A6" w:rsidRPr="001245E0" w:rsidRDefault="00EC38A6" w:rsidP="009C37D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A0DAC5" w14:textId="77777777" w:rsidR="008F7E28" w:rsidRPr="00154DD8" w:rsidRDefault="008F7E28" w:rsidP="008F7E28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V některých zemí</w:t>
      </w:r>
      <w:r w:rsidR="009902E6">
        <w:t>ch</w:t>
      </w:r>
      <w:r>
        <w:t xml:space="preserve"> EU byla také hlášena rezistence na tetracykliny u respiračních patogenů prasat (</w:t>
      </w:r>
      <w:proofErr w:type="spellStart"/>
      <w:r>
        <w:rPr>
          <w:i/>
          <w:iCs/>
          <w:szCs w:val="22"/>
        </w:rPr>
        <w:t>Actinobacillus</w:t>
      </w:r>
      <w:proofErr w:type="spellEnd"/>
      <w:r>
        <w:rPr>
          <w:i/>
          <w:iCs/>
          <w:szCs w:val="22"/>
        </w:rPr>
        <w:t xml:space="preserve"> </w:t>
      </w:r>
      <w:proofErr w:type="spellStart"/>
      <w:r>
        <w:rPr>
          <w:i/>
          <w:iCs/>
          <w:szCs w:val="22"/>
        </w:rPr>
        <w:t>pleuropneumoniae</w:t>
      </w:r>
      <w:proofErr w:type="spellEnd"/>
      <w:r>
        <w:t xml:space="preserve">, </w:t>
      </w:r>
      <w:proofErr w:type="spellStart"/>
      <w:r>
        <w:rPr>
          <w:i/>
          <w:iCs/>
          <w:szCs w:val="22"/>
        </w:rPr>
        <w:t>Streptococcus</w:t>
      </w:r>
      <w:proofErr w:type="spellEnd"/>
      <w:r>
        <w:rPr>
          <w:i/>
          <w:iCs/>
          <w:szCs w:val="22"/>
        </w:rPr>
        <w:t xml:space="preserve"> </w:t>
      </w:r>
      <w:proofErr w:type="spellStart"/>
      <w:r>
        <w:rPr>
          <w:i/>
          <w:iCs/>
          <w:szCs w:val="22"/>
        </w:rPr>
        <w:t>suis</w:t>
      </w:r>
      <w:proofErr w:type="spellEnd"/>
      <w:r>
        <w:t>).</w:t>
      </w:r>
    </w:p>
    <w:p w14:paraId="7FF5A7E1" w14:textId="77777777" w:rsidR="008F7E28" w:rsidRDefault="008F7E28" w:rsidP="008F7E28">
      <w:pPr>
        <w:tabs>
          <w:tab w:val="clear" w:pos="567"/>
        </w:tabs>
        <w:spacing w:line="240" w:lineRule="auto"/>
        <w:rPr>
          <w:szCs w:val="22"/>
        </w:rPr>
      </w:pPr>
      <w:r>
        <w:t xml:space="preserve">Jelikož nelze dosáhnout vymýcení cílových patogenů, měla by být léčba kombinována se </w:t>
      </w:r>
      <w:r w:rsidR="009902E6">
        <w:t xml:space="preserve">správnou </w:t>
      </w:r>
      <w:r>
        <w:t>chovatelsk</w:t>
      </w:r>
      <w:r w:rsidR="009902E6">
        <w:t>ou praxí</w:t>
      </w:r>
      <w:r>
        <w:t>, jako je dodržování řádné hygieny, dostatečného větrání a zajištění dostatečného prostoru pro zvířata.</w:t>
      </w:r>
    </w:p>
    <w:p w14:paraId="0E366DA9" w14:textId="77777777" w:rsidR="008F7E28" w:rsidRPr="004E52A1" w:rsidRDefault="008F7E28" w:rsidP="00EC38A6">
      <w:pPr>
        <w:tabs>
          <w:tab w:val="clear" w:pos="567"/>
        </w:tabs>
        <w:spacing w:line="240" w:lineRule="auto"/>
        <w:rPr>
          <w:szCs w:val="22"/>
        </w:rPr>
      </w:pPr>
    </w:p>
    <w:p w14:paraId="591996E1" w14:textId="77777777" w:rsidR="0043320A" w:rsidRDefault="0043320A" w:rsidP="005E5114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Zvláštní opatření určené osobám, které podávají veterinární léčivý přípravek zvířatům</w:t>
      </w:r>
      <w:r>
        <w:t>:</w:t>
      </w:r>
    </w:p>
    <w:p w14:paraId="45BE0F34" w14:textId="77777777" w:rsidR="00091724" w:rsidRPr="00217601" w:rsidRDefault="00091724" w:rsidP="00091724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</w:pPr>
      <w:r>
        <w:t xml:space="preserve">Tento </w:t>
      </w:r>
      <w:r w:rsidR="00535991">
        <w:t>přípravek</w:t>
      </w:r>
      <w:r>
        <w:t xml:space="preserve"> (prášek a roztok) může při kontaktu s pokožkou nebo očima nebo při vdechnutí prášku </w:t>
      </w:r>
      <w:r w:rsidR="00535991">
        <w:t>vyvolat</w:t>
      </w:r>
      <w:r>
        <w:t xml:space="preserve"> kontaktní dermatitidu a/nebo reakce </w:t>
      </w:r>
      <w:r w:rsidR="00535991">
        <w:t xml:space="preserve">z </w:t>
      </w:r>
      <w:r>
        <w:t>přecitlivělosti.</w:t>
      </w:r>
    </w:p>
    <w:p w14:paraId="275A1316" w14:textId="77777777" w:rsidR="00DB5F5B" w:rsidRPr="00DB5F5B" w:rsidRDefault="00091724" w:rsidP="00091724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</w:pPr>
      <w:r>
        <w:t>P</w:t>
      </w:r>
      <w:r w:rsidR="00535991">
        <w:t xml:space="preserve">roveďte </w:t>
      </w:r>
      <w:r>
        <w:t xml:space="preserve">opatření, </w:t>
      </w:r>
      <w:r w:rsidR="00535991">
        <w:t xml:space="preserve">která zabrání vytváření prachu při </w:t>
      </w:r>
      <w:r>
        <w:t xml:space="preserve">vmíchávání přípravku do vody. </w:t>
      </w:r>
      <w:r w:rsidR="00535991">
        <w:t xml:space="preserve">Zabraňte přímému kontaktu s pokožkou a očima při nakládání s přípravkem, abyste </w:t>
      </w:r>
      <w:r w:rsidR="00DB5F5B">
        <w:t xml:space="preserve">předešli vzniku </w:t>
      </w:r>
      <w:r w:rsidR="00535991">
        <w:t>senzibilizac</w:t>
      </w:r>
      <w:r w:rsidR="00DB5F5B">
        <w:t>e</w:t>
      </w:r>
      <w:r w:rsidR="00535991">
        <w:t xml:space="preserve"> a kontaktní dermatitid</w:t>
      </w:r>
      <w:r w:rsidR="00DB5F5B">
        <w:t>y</w:t>
      </w:r>
      <w:r w:rsidR="00535991">
        <w:t>.</w:t>
      </w:r>
    </w:p>
    <w:p w14:paraId="459AFAA0" w14:textId="77777777" w:rsidR="00091724" w:rsidRPr="00217601" w:rsidRDefault="00091724" w:rsidP="00091724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</w:pPr>
      <w:r>
        <w:t xml:space="preserve">Lidé se známou přecitlivělostí na tetracykliny by se měli vyhnout kontaktu s veterinárním léčivým přípravkem. Během přípravy a podávání </w:t>
      </w:r>
      <w:proofErr w:type="spellStart"/>
      <w:r>
        <w:t>medikované</w:t>
      </w:r>
      <w:proofErr w:type="spellEnd"/>
      <w:r>
        <w:t xml:space="preserve"> pitné vody </w:t>
      </w:r>
      <w:r w:rsidR="00DB5F5B">
        <w:t xml:space="preserve">zabraňte </w:t>
      </w:r>
      <w:r>
        <w:t>kontaktu pokožky s</w:t>
      </w:r>
      <w:r w:rsidR="00DB5F5B">
        <w:t> </w:t>
      </w:r>
      <w:r>
        <w:t xml:space="preserve">přípravkem a vdechování prachových částic. Při aplikaci přípravku používejte nepropustné rukavice (např. gumové nebo latexové) a vhodnou protiprachovou masku (např. </w:t>
      </w:r>
      <w:r w:rsidR="00DB5F5B" w:rsidRPr="00217601">
        <w:t xml:space="preserve">jednorázový respirátor s polomaskou vyhovující evropské normě EN149 </w:t>
      </w:r>
      <w:r>
        <w:t xml:space="preserve">nebo </w:t>
      </w:r>
      <w:r w:rsidR="00DB5F5B" w:rsidRPr="00217601">
        <w:t>respirátor na více použití podle evropské normy EN140 s filtrem podle normy EN143</w:t>
      </w:r>
      <w:r>
        <w:t>).</w:t>
      </w:r>
    </w:p>
    <w:p w14:paraId="658D987A" w14:textId="77777777" w:rsidR="00091724" w:rsidRPr="00217601" w:rsidRDefault="00091724" w:rsidP="00091724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</w:pPr>
      <w:r>
        <w:t>V případě zasažení očí nebo pokožky opláchněte postižené místo velkým množstvím čisté vody</w:t>
      </w:r>
      <w:r w:rsidR="00DB5F5B">
        <w:t>,</w:t>
      </w:r>
      <w:r>
        <w:t xml:space="preserve"> a</w:t>
      </w:r>
      <w:r w:rsidR="00DB5F5B">
        <w:t> </w:t>
      </w:r>
      <w:r>
        <w:t xml:space="preserve">pokud dojde k podráždění, vyhledejte lékařskou pomoc. </w:t>
      </w:r>
    </w:p>
    <w:p w14:paraId="041F5DAF" w14:textId="77777777" w:rsidR="00091724" w:rsidRPr="00217601" w:rsidRDefault="00091724" w:rsidP="00091724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</w:pPr>
      <w:r>
        <w:t xml:space="preserve">Ihned po manipulaci s přípravkem si umyjte ruce a </w:t>
      </w:r>
      <w:r w:rsidR="00DB5F5B">
        <w:t xml:space="preserve">potřísněnou </w:t>
      </w:r>
      <w:r>
        <w:t>pokožku.</w:t>
      </w:r>
    </w:p>
    <w:p w14:paraId="4259C27D" w14:textId="77777777" w:rsidR="001D580A" w:rsidRPr="005446E7" w:rsidRDefault="001D580A" w:rsidP="0043320A">
      <w:pPr>
        <w:tabs>
          <w:tab w:val="clear" w:pos="567"/>
        </w:tabs>
        <w:spacing w:line="240" w:lineRule="auto"/>
      </w:pPr>
    </w:p>
    <w:p w14:paraId="08870CEE" w14:textId="77777777" w:rsidR="0043320A" w:rsidRPr="00217601" w:rsidRDefault="00DB5F5B" w:rsidP="0043320A">
      <w:pPr>
        <w:tabs>
          <w:tab w:val="clear" w:pos="567"/>
        </w:tabs>
        <w:spacing w:line="240" w:lineRule="auto"/>
      </w:pPr>
      <w:r>
        <w:t xml:space="preserve">Pokud se u vás objeví </w:t>
      </w:r>
      <w:r w:rsidR="00091724">
        <w:t>po</w:t>
      </w:r>
      <w:r>
        <w:t>st</w:t>
      </w:r>
      <w:r w:rsidR="00091724">
        <w:t>expozi</w:t>
      </w:r>
      <w:r>
        <w:t>ční příznaky, jako např. kožní vyrážka, v</w:t>
      </w:r>
      <w:r w:rsidR="00091724">
        <w:t>yhledejte lékař</w:t>
      </w:r>
      <w:r>
        <w:t>skou pomoc a </w:t>
      </w:r>
      <w:r w:rsidR="00091724">
        <w:t xml:space="preserve">ukažte </w:t>
      </w:r>
      <w:r>
        <w:t>lékaři</w:t>
      </w:r>
      <w:r w:rsidR="00091724">
        <w:t xml:space="preserve"> toto varování. Otok obličeje, rtů</w:t>
      </w:r>
      <w:r>
        <w:t xml:space="preserve">, </w:t>
      </w:r>
      <w:r w:rsidR="00091724">
        <w:t>očí</w:t>
      </w:r>
      <w:r>
        <w:t xml:space="preserve">, nebo potíže </w:t>
      </w:r>
      <w:r w:rsidR="00091724">
        <w:t xml:space="preserve">s dýcháním jsou </w:t>
      </w:r>
      <w:r>
        <w:t>v</w:t>
      </w:r>
      <w:r w:rsidR="00091724">
        <w:t>ážn</w:t>
      </w:r>
      <w:r>
        <w:t>é</w:t>
      </w:r>
      <w:r w:rsidR="00091724">
        <w:t xml:space="preserve"> příznaky a</w:t>
      </w:r>
      <w:r>
        <w:t> </w:t>
      </w:r>
      <w:r w:rsidR="00091724">
        <w:t xml:space="preserve">vyžadují </w:t>
      </w:r>
      <w:r>
        <w:t xml:space="preserve">okamžitou </w:t>
      </w:r>
      <w:r w:rsidR="00091724">
        <w:t>lékařskou pomoc.</w:t>
      </w:r>
    </w:p>
    <w:p w14:paraId="4007BFEE" w14:textId="77777777" w:rsidR="001D580A" w:rsidRDefault="001D580A" w:rsidP="0043320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45AF384" w14:textId="77777777" w:rsidR="0043320A" w:rsidRPr="0064428B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Březost, laktace, snáška</w:t>
      </w:r>
      <w:r>
        <w:t>:</w:t>
      </w:r>
    </w:p>
    <w:p w14:paraId="303CD191" w14:textId="77777777" w:rsidR="00EC38A6" w:rsidRPr="001245E0" w:rsidRDefault="00091724" w:rsidP="00EC38A6">
      <w:pPr>
        <w:tabs>
          <w:tab w:val="clear" w:pos="567"/>
        </w:tabs>
        <w:spacing w:line="240" w:lineRule="auto"/>
        <w:rPr>
          <w:szCs w:val="22"/>
        </w:rPr>
      </w:pPr>
      <w:r>
        <w:t xml:space="preserve">Doxycyklin má nízkou afinitu k tvorbě komplexů s vápníkem a studie prokázaly, že doxycyklin jen </w:t>
      </w:r>
      <w:r w:rsidR="00A40BAB">
        <w:t xml:space="preserve">mírně </w:t>
      </w:r>
      <w:r>
        <w:t xml:space="preserve">ovlivňuje </w:t>
      </w:r>
      <w:r w:rsidR="00A40BAB">
        <w:t>osifikaci</w:t>
      </w:r>
      <w:r>
        <w:t xml:space="preserve">. Nebyla stanovena bezpečnost tohoto veterinárního léčivého přípravku u březích nebo </w:t>
      </w:r>
      <w:r w:rsidR="00A40BAB">
        <w:t xml:space="preserve">laktujících </w:t>
      </w:r>
      <w:r>
        <w:t>prasnic. Použití není doporučováno během březosti a laktace.</w:t>
      </w:r>
    </w:p>
    <w:p w14:paraId="28406D83" w14:textId="77777777" w:rsidR="00EC38A6" w:rsidRPr="00911460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Nepoužívat u nosnic </w:t>
      </w:r>
      <w:r w:rsidR="00F72C78">
        <w:t xml:space="preserve">ve snášce </w:t>
      </w:r>
      <w:r>
        <w:t>a během 4 týdnů před počátkem snášky.</w:t>
      </w:r>
    </w:p>
    <w:p w14:paraId="4AB5F928" w14:textId="77777777" w:rsidR="0043320A" w:rsidRPr="0064428B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422440B5" w14:textId="77777777" w:rsidR="0043320A" w:rsidRPr="0064428B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Interakce s dalšími léčivými přípravky a další formy interakce:</w:t>
      </w:r>
    </w:p>
    <w:p w14:paraId="03D33D0B" w14:textId="77777777" w:rsidR="00EC38A6" w:rsidRPr="001245E0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>Přípravek nepodávejte současně s krmivem s vysokým obsahem polyvalentních kation</w:t>
      </w:r>
      <w:r w:rsidR="005F43A8">
        <w:t>t</w:t>
      </w:r>
      <w:r>
        <w:t>ů, jako jsou Ca</w:t>
      </w:r>
      <w:r>
        <w:rPr>
          <w:szCs w:val="22"/>
          <w:vertAlign w:val="superscript"/>
        </w:rPr>
        <w:t>2+</w:t>
      </w:r>
      <w:r>
        <w:t>, Mg</w:t>
      </w:r>
      <w:r>
        <w:rPr>
          <w:szCs w:val="22"/>
          <w:vertAlign w:val="superscript"/>
        </w:rPr>
        <w:t>2+</w:t>
      </w:r>
      <w:r>
        <w:t>, Zn</w:t>
      </w:r>
      <w:r>
        <w:rPr>
          <w:szCs w:val="22"/>
          <w:vertAlign w:val="superscript"/>
        </w:rPr>
        <w:t>2+</w:t>
      </w:r>
      <w:r>
        <w:t xml:space="preserve"> a Fe</w:t>
      </w:r>
      <w:r>
        <w:rPr>
          <w:szCs w:val="22"/>
          <w:vertAlign w:val="superscript"/>
        </w:rPr>
        <w:t>3+</w:t>
      </w:r>
      <w:r>
        <w:t xml:space="preserve">, protože může dojít k tvorbě komplexů doxycyklinů s těmito kationty. </w:t>
      </w:r>
    </w:p>
    <w:p w14:paraId="59D987F1" w14:textId="77777777" w:rsidR="00EC38A6" w:rsidRPr="001245E0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>Doporučuje se, aby interval mezi podáním jiných přípravků obsahujících polyvalentní kationty byl 1–2 hodiny, protože omezují absorpci tetracyklinu.</w:t>
      </w:r>
    </w:p>
    <w:p w14:paraId="09410431" w14:textId="77777777" w:rsidR="00EC38A6" w:rsidRPr="001245E0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>Nepodávejte společně s antacidy, kaolinem a přípravky obsahujícími železo</w:t>
      </w:r>
      <w:r w:rsidR="00A81E74">
        <w:t xml:space="preserve">; a </w:t>
      </w:r>
      <w:r>
        <w:t>protože tetracykliny jsou bakteriostatické antimikrobiální látky</w:t>
      </w:r>
      <w:r w:rsidR="00CF69D1">
        <w:t>,</w:t>
      </w:r>
      <w:r>
        <w:t xml:space="preserve"> nepodávejte společně s baktericidními antibiotiky, jako jsou beta-laktamy. </w:t>
      </w:r>
    </w:p>
    <w:p w14:paraId="1E4A84E6" w14:textId="77777777" w:rsidR="00EC38A6" w:rsidRPr="00C52CD8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>Doxycyklin zvyšuje účinek antikoagulancií.</w:t>
      </w:r>
    </w:p>
    <w:p w14:paraId="2BD92EC4" w14:textId="77777777" w:rsidR="0043320A" w:rsidRPr="0064428B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45E3EC6B" w14:textId="77777777" w:rsidR="0043320A" w:rsidRPr="0064428B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Předávkování (symptomy, první pomoc, antidota)</w:t>
      </w:r>
      <w:r>
        <w:t>:</w:t>
      </w:r>
    </w:p>
    <w:p w14:paraId="53F1AF32" w14:textId="77777777" w:rsidR="00EC38A6" w:rsidRPr="001245E0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 xml:space="preserve">Během studie </w:t>
      </w:r>
      <w:r w:rsidR="006F7842">
        <w:t>snášenlivosti u cílového druhu</w:t>
      </w:r>
      <w:r>
        <w:t xml:space="preserve"> nebyly pozorovány žádné </w:t>
      </w:r>
      <w:r w:rsidR="009F112A">
        <w:t xml:space="preserve">nežádoucí </w:t>
      </w:r>
      <w:r>
        <w:t xml:space="preserve">účinky ani při </w:t>
      </w:r>
      <w:r w:rsidR="00916A04">
        <w:t xml:space="preserve">pětinásobku </w:t>
      </w:r>
      <w:r>
        <w:t xml:space="preserve">léčebné </w:t>
      </w:r>
      <w:r w:rsidR="00916A04">
        <w:t xml:space="preserve">dávky </w:t>
      </w:r>
      <w:r>
        <w:t>podávané po dobu dvojnásob</w:t>
      </w:r>
      <w:r w:rsidR="00916A04">
        <w:t xml:space="preserve">ku </w:t>
      </w:r>
      <w:r>
        <w:t xml:space="preserve">doporučené </w:t>
      </w:r>
      <w:r w:rsidR="00916A04">
        <w:t>délky podávání</w:t>
      </w:r>
      <w:r>
        <w:t xml:space="preserve"> u obou cílových druhů zvířat.</w:t>
      </w:r>
    </w:p>
    <w:p w14:paraId="79DAE156" w14:textId="77777777" w:rsidR="00EC38A6" w:rsidRPr="004E52A1" w:rsidRDefault="00EC38A6" w:rsidP="00EC38A6">
      <w:pPr>
        <w:tabs>
          <w:tab w:val="clear" w:pos="567"/>
        </w:tabs>
        <w:spacing w:line="240" w:lineRule="auto"/>
        <w:rPr>
          <w:szCs w:val="22"/>
        </w:rPr>
      </w:pPr>
      <w:r>
        <w:t>V případě podezření na toxickou reakci v důsledku extrémního předávkování je třeba léčbu přerušit a v případě potřeby zahájit vhodnou symptomatickou léčbu.</w:t>
      </w:r>
    </w:p>
    <w:p w14:paraId="5D0387B7" w14:textId="77777777" w:rsidR="0043320A" w:rsidRPr="0064428B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6B7A71D6" w14:textId="77777777" w:rsidR="0043320A" w:rsidRPr="0064428B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Inkompatibility</w:t>
      </w:r>
      <w:r>
        <w:t>:</w:t>
      </w:r>
    </w:p>
    <w:p w14:paraId="536E1055" w14:textId="77777777" w:rsidR="001D580A" w:rsidRPr="00C82A6E" w:rsidRDefault="00091724" w:rsidP="00EC38A6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 dispozici, a proto tento veterinární léčivý přípravek nesmí být mísen s žádnými dalšími veterinárními léčivými přípravky.</w:t>
      </w:r>
    </w:p>
    <w:p w14:paraId="407574CE" w14:textId="77777777" w:rsidR="0043320A" w:rsidRPr="0064428B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0EDA33" w14:textId="77777777" w:rsidR="00C114FF" w:rsidRPr="0064428B" w:rsidRDefault="00C114FF" w:rsidP="004401BC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13.</w:t>
      </w:r>
      <w:r>
        <w:rPr>
          <w:b/>
          <w:szCs w:val="22"/>
        </w:rPr>
        <w:tab/>
        <w:t>ZVLÁŠTNÍ OPATŘENÍ PRO ZNEŠKODŇOVÁNÍ NEPOUŽITÝCH PŘÍPRAVKŮ NEBO ODPADU, POKUD JE JICH TŘEBA</w:t>
      </w:r>
    </w:p>
    <w:p w14:paraId="55D5CEC9" w14:textId="77777777" w:rsidR="00C114FF" w:rsidRPr="0064428B" w:rsidRDefault="00C114FF" w:rsidP="005E511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6AE365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Léčivé přípravky se nesmí likvidovat prostřednictvím odpadní vody či domovního odpadu.</w:t>
      </w:r>
    </w:p>
    <w:p w14:paraId="4DA23C28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O možnostech likvidace nepotřebných léčivých přípravků se poraďte s vaším veterinárním lékařem nebo lékárníkem. Tato opatření napomáhají chránit životní prostředí.</w:t>
      </w:r>
    </w:p>
    <w:p w14:paraId="63EAB9A6" w14:textId="77777777" w:rsidR="00C114FF" w:rsidRPr="0064428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E0FD75" w14:textId="77777777" w:rsidR="00C114FF" w:rsidRPr="0064428B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14.</w:t>
      </w:r>
      <w:r>
        <w:rPr>
          <w:b/>
          <w:szCs w:val="22"/>
        </w:rPr>
        <w:tab/>
        <w:t>DATUM POSLEDNÍ REVIZE PŘÍBALOVÉ INFORMACE</w:t>
      </w:r>
    </w:p>
    <w:p w14:paraId="58683769" w14:textId="77777777" w:rsidR="00C114FF" w:rsidRPr="006417E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2A30B" w14:textId="54632994" w:rsidR="00C114FF" w:rsidRDefault="006E02A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Leden 2021</w:t>
      </w:r>
    </w:p>
    <w:p w14:paraId="18D5A60E" w14:textId="77777777" w:rsidR="009A42BF" w:rsidRPr="006417EE" w:rsidRDefault="009A42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501E62" w14:textId="77777777" w:rsidR="00C114FF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15.</w:t>
      </w:r>
      <w:r>
        <w:rPr>
          <w:b/>
          <w:szCs w:val="22"/>
        </w:rPr>
        <w:tab/>
        <w:t>DALŠÍ INFORMACE</w:t>
      </w:r>
    </w:p>
    <w:p w14:paraId="37AA7164" w14:textId="77777777" w:rsidR="009A42BF" w:rsidRDefault="009A42BF" w:rsidP="00895A2F">
      <w:pPr>
        <w:tabs>
          <w:tab w:val="clear" w:pos="567"/>
        </w:tabs>
        <w:spacing w:line="240" w:lineRule="auto"/>
        <w:rPr>
          <w:b/>
          <w:szCs w:val="22"/>
        </w:rPr>
      </w:pPr>
    </w:p>
    <w:p w14:paraId="20CCD05D" w14:textId="77777777" w:rsidR="009A42BF" w:rsidRDefault="009A42BF" w:rsidP="009A42BF">
      <w:pPr>
        <w:tabs>
          <w:tab w:val="clear" w:pos="567"/>
        </w:tabs>
        <w:spacing w:line="240" w:lineRule="auto"/>
        <w:rPr>
          <w:szCs w:val="22"/>
        </w:rPr>
      </w:pPr>
      <w:r>
        <w:t>Pouze pro zvířata.</w:t>
      </w:r>
    </w:p>
    <w:p w14:paraId="6C623AC0" w14:textId="77777777" w:rsidR="009A42BF" w:rsidRPr="00837EA7" w:rsidRDefault="009A42BF" w:rsidP="009A42BF">
      <w:pPr>
        <w:tabs>
          <w:tab w:val="clear" w:pos="567"/>
        </w:tabs>
        <w:spacing w:line="240" w:lineRule="auto"/>
        <w:rPr>
          <w:szCs w:val="22"/>
        </w:rPr>
      </w:pPr>
      <w:r>
        <w:t>Veterinární léčivý přípravek je vydáván pouze na předpis.</w:t>
      </w:r>
    </w:p>
    <w:p w14:paraId="0F74D61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45A0B3" w14:textId="77777777" w:rsidR="003738AA" w:rsidRPr="007012F2" w:rsidRDefault="003738AA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Velikosti balení:</w:t>
      </w:r>
    </w:p>
    <w:p w14:paraId="5A32A7ED" w14:textId="77777777" w:rsidR="00091724" w:rsidRDefault="00405FA1" w:rsidP="00091724">
      <w:pPr>
        <w:rPr>
          <w:rFonts w:cs="Arial"/>
        </w:rPr>
      </w:pPr>
      <w:r>
        <w:t>Vak</w:t>
      </w:r>
      <w:r w:rsidR="00091724">
        <w:t xml:space="preserve"> 100 g</w:t>
      </w:r>
    </w:p>
    <w:p w14:paraId="64611213" w14:textId="77777777" w:rsidR="00091724" w:rsidRDefault="00405FA1" w:rsidP="00091724">
      <w:pPr>
        <w:rPr>
          <w:rFonts w:cs="Arial"/>
        </w:rPr>
      </w:pPr>
      <w:r>
        <w:t>Vak</w:t>
      </w:r>
      <w:r w:rsidR="00091724">
        <w:t xml:space="preserve"> 200 g</w:t>
      </w:r>
    </w:p>
    <w:p w14:paraId="7AFF6114" w14:textId="77777777" w:rsidR="00091724" w:rsidRPr="00B828E6" w:rsidRDefault="00405FA1" w:rsidP="00091724">
      <w:pPr>
        <w:rPr>
          <w:rFonts w:cs="Arial"/>
        </w:rPr>
      </w:pPr>
      <w:r>
        <w:t>Vak</w:t>
      </w:r>
      <w:r w:rsidR="00091724">
        <w:t xml:space="preserve"> 400 g</w:t>
      </w:r>
    </w:p>
    <w:p w14:paraId="323C37F9" w14:textId="77777777" w:rsidR="00091724" w:rsidRPr="00B828E6" w:rsidRDefault="00405FA1" w:rsidP="00091724">
      <w:pPr>
        <w:rPr>
          <w:rFonts w:cs="Arial"/>
        </w:rPr>
      </w:pPr>
      <w:r>
        <w:t>Vak</w:t>
      </w:r>
      <w:r w:rsidR="00091724">
        <w:t xml:space="preserve"> 500 g</w:t>
      </w:r>
    </w:p>
    <w:p w14:paraId="4B3C211A" w14:textId="77777777" w:rsidR="00091724" w:rsidRPr="00B828E6" w:rsidRDefault="00405FA1" w:rsidP="00091724">
      <w:pPr>
        <w:rPr>
          <w:rFonts w:cs="Arial"/>
        </w:rPr>
      </w:pPr>
      <w:r>
        <w:t>Vak</w:t>
      </w:r>
      <w:r w:rsidR="00091724">
        <w:t xml:space="preserve"> 1 kg</w:t>
      </w:r>
    </w:p>
    <w:p w14:paraId="5CCEAD86" w14:textId="77777777" w:rsidR="00091724" w:rsidRPr="00B828E6" w:rsidRDefault="00405FA1" w:rsidP="00091724">
      <w:pPr>
        <w:rPr>
          <w:rFonts w:cs="Arial"/>
        </w:rPr>
      </w:pPr>
      <w:r>
        <w:t>Vak</w:t>
      </w:r>
      <w:r w:rsidR="00091724">
        <w:t xml:space="preserve"> 5 kg</w:t>
      </w:r>
    </w:p>
    <w:p w14:paraId="7FE3C7AA" w14:textId="77777777" w:rsidR="00091724" w:rsidRPr="00C55DA4" w:rsidRDefault="00091724" w:rsidP="00091724">
      <w:pPr>
        <w:rPr>
          <w:rFonts w:cs="Arial"/>
        </w:rPr>
      </w:pPr>
    </w:p>
    <w:p w14:paraId="606FCABA" w14:textId="77777777" w:rsidR="00091724" w:rsidRPr="00B828E6" w:rsidRDefault="00091724" w:rsidP="00091724">
      <w:pPr>
        <w:rPr>
          <w:rFonts w:cs="Arial"/>
        </w:rPr>
      </w:pPr>
      <w:r>
        <w:t>Na trhu nemusí být všechny velikosti balení.</w:t>
      </w:r>
    </w:p>
    <w:p w14:paraId="3BC1391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B7A99A" w14:textId="77777777" w:rsidR="003738AA" w:rsidRDefault="003738AA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61F66C02" w14:textId="059333AF" w:rsidR="00A509B8" w:rsidRPr="00911460" w:rsidRDefault="00A509B8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A509B8" w:rsidRPr="00911460" w:rsidSect="007F2F0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0BD79B" w15:done="0"/>
  <w15:commentEx w15:paraId="715B25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11D21" w14:textId="77777777" w:rsidR="00337F0D" w:rsidRDefault="00337F0D">
      <w:r>
        <w:separator/>
      </w:r>
    </w:p>
  </w:endnote>
  <w:endnote w:type="continuationSeparator" w:id="0">
    <w:p w14:paraId="6514FEB2" w14:textId="77777777" w:rsidR="00337F0D" w:rsidRDefault="0033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7ACCC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9F30E1">
      <w:rPr>
        <w:rFonts w:ascii="Times New Roman" w:hAnsi="Times New Roman"/>
        <w:noProof/>
      </w:rPr>
      <w:t>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9A769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F6F6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25F8A" w14:textId="77777777" w:rsidR="00337F0D" w:rsidRDefault="00337F0D">
      <w:r>
        <w:separator/>
      </w:r>
    </w:p>
  </w:footnote>
  <w:footnote w:type="continuationSeparator" w:id="0">
    <w:p w14:paraId="2E3E9FFE" w14:textId="77777777" w:rsidR="00337F0D" w:rsidRDefault="0033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A9A36" w14:textId="77777777" w:rsidR="004F6F64" w:rsidRDefault="0028406C">
    <w:pPr>
      <w:pStyle w:val="Zhlav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4F2E4EBF"/>
    <w:multiLevelType w:val="hybridMultilevel"/>
    <w:tmpl w:val="50845B9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A3F65D8"/>
    <w:multiLevelType w:val="multilevel"/>
    <w:tmpl w:val="A02E932A"/>
    <w:numStyleLink w:val="BulletsAgency"/>
  </w:abstractNum>
  <w:abstractNum w:abstractNumId="26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>
    <w:nsid w:val="68CD56D3"/>
    <w:multiLevelType w:val="hybridMultilevel"/>
    <w:tmpl w:val="3C447018"/>
    <w:lvl w:ilvl="0" w:tplc="EADCA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8"/>
  </w:num>
  <w:num w:numId="8">
    <w:abstractNumId w:val="9"/>
  </w:num>
  <w:num w:numId="9">
    <w:abstractNumId w:val="29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6"/>
  </w:num>
  <w:num w:numId="31">
    <w:abstractNumId w:val="37"/>
  </w:num>
  <w:num w:numId="32">
    <w:abstractNumId w:val="19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30"/>
  </w:num>
  <w:num w:numId="39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2F86"/>
    <w:rsid w:val="00024777"/>
    <w:rsid w:val="00024E21"/>
    <w:rsid w:val="000358FA"/>
    <w:rsid w:val="00036C50"/>
    <w:rsid w:val="00040EE8"/>
    <w:rsid w:val="00050EE7"/>
    <w:rsid w:val="00052D2B"/>
    <w:rsid w:val="00054A01"/>
    <w:rsid w:val="00054F55"/>
    <w:rsid w:val="00056B2E"/>
    <w:rsid w:val="00057060"/>
    <w:rsid w:val="00062945"/>
    <w:rsid w:val="00070152"/>
    <w:rsid w:val="00080453"/>
    <w:rsid w:val="0008169A"/>
    <w:rsid w:val="000860CE"/>
    <w:rsid w:val="00091724"/>
    <w:rsid w:val="00092A37"/>
    <w:rsid w:val="000938A6"/>
    <w:rsid w:val="000957BB"/>
    <w:rsid w:val="00097C1E"/>
    <w:rsid w:val="000A1DF5"/>
    <w:rsid w:val="000A672E"/>
    <w:rsid w:val="000B1DD3"/>
    <w:rsid w:val="000B7873"/>
    <w:rsid w:val="000C02A1"/>
    <w:rsid w:val="000C1D4F"/>
    <w:rsid w:val="000C687A"/>
    <w:rsid w:val="000D67D0"/>
    <w:rsid w:val="000E195C"/>
    <w:rsid w:val="000E3602"/>
    <w:rsid w:val="000F38DA"/>
    <w:rsid w:val="000F5822"/>
    <w:rsid w:val="000F796B"/>
    <w:rsid w:val="0010031E"/>
    <w:rsid w:val="001012EB"/>
    <w:rsid w:val="001078D1"/>
    <w:rsid w:val="00114708"/>
    <w:rsid w:val="00115782"/>
    <w:rsid w:val="00124F36"/>
    <w:rsid w:val="00125666"/>
    <w:rsid w:val="00125C80"/>
    <w:rsid w:val="0013799F"/>
    <w:rsid w:val="00140DF6"/>
    <w:rsid w:val="0014141C"/>
    <w:rsid w:val="00145C3F"/>
    <w:rsid w:val="00145D34"/>
    <w:rsid w:val="00146284"/>
    <w:rsid w:val="0014690F"/>
    <w:rsid w:val="0015098E"/>
    <w:rsid w:val="00154DD8"/>
    <w:rsid w:val="001674D3"/>
    <w:rsid w:val="00175264"/>
    <w:rsid w:val="001763DC"/>
    <w:rsid w:val="001803D2"/>
    <w:rsid w:val="0018228B"/>
    <w:rsid w:val="00185B50"/>
    <w:rsid w:val="0018625C"/>
    <w:rsid w:val="00187DE7"/>
    <w:rsid w:val="00187E62"/>
    <w:rsid w:val="00190994"/>
    <w:rsid w:val="00192045"/>
    <w:rsid w:val="001921AC"/>
    <w:rsid w:val="00193B14"/>
    <w:rsid w:val="00193E72"/>
    <w:rsid w:val="00195267"/>
    <w:rsid w:val="0019600B"/>
    <w:rsid w:val="0019686E"/>
    <w:rsid w:val="001A0E2C"/>
    <w:rsid w:val="001A28C9"/>
    <w:rsid w:val="001A34BC"/>
    <w:rsid w:val="001A352B"/>
    <w:rsid w:val="001B1A67"/>
    <w:rsid w:val="001B1C77"/>
    <w:rsid w:val="001B6F4A"/>
    <w:rsid w:val="001C5288"/>
    <w:rsid w:val="001C5B03"/>
    <w:rsid w:val="001D44DD"/>
    <w:rsid w:val="001D580A"/>
    <w:rsid w:val="001D6D96"/>
    <w:rsid w:val="001E5621"/>
    <w:rsid w:val="001F1A05"/>
    <w:rsid w:val="001F3EF9"/>
    <w:rsid w:val="001F627D"/>
    <w:rsid w:val="001F6622"/>
    <w:rsid w:val="002034A4"/>
    <w:rsid w:val="002100FC"/>
    <w:rsid w:val="00213890"/>
    <w:rsid w:val="00214E52"/>
    <w:rsid w:val="00217601"/>
    <w:rsid w:val="002207C0"/>
    <w:rsid w:val="002231DF"/>
    <w:rsid w:val="0022387E"/>
    <w:rsid w:val="00224B93"/>
    <w:rsid w:val="0023676E"/>
    <w:rsid w:val="002414B6"/>
    <w:rsid w:val="002422EB"/>
    <w:rsid w:val="00242397"/>
    <w:rsid w:val="002434A6"/>
    <w:rsid w:val="0024645D"/>
    <w:rsid w:val="00250DD1"/>
    <w:rsid w:val="00251183"/>
    <w:rsid w:val="00251689"/>
    <w:rsid w:val="0025267C"/>
    <w:rsid w:val="00253B6B"/>
    <w:rsid w:val="00261560"/>
    <w:rsid w:val="00262CC6"/>
    <w:rsid w:val="002640D2"/>
    <w:rsid w:val="00265656"/>
    <w:rsid w:val="00265E77"/>
    <w:rsid w:val="00266155"/>
    <w:rsid w:val="0027270B"/>
    <w:rsid w:val="002838C8"/>
    <w:rsid w:val="0028406C"/>
    <w:rsid w:val="002865A7"/>
    <w:rsid w:val="00290805"/>
    <w:rsid w:val="00290C2A"/>
    <w:rsid w:val="002931DD"/>
    <w:rsid w:val="002A0E7C"/>
    <w:rsid w:val="002A21ED"/>
    <w:rsid w:val="002A3F88"/>
    <w:rsid w:val="002B0F11"/>
    <w:rsid w:val="002B663A"/>
    <w:rsid w:val="002B71B4"/>
    <w:rsid w:val="002C55FF"/>
    <w:rsid w:val="002C592B"/>
    <w:rsid w:val="002D4217"/>
    <w:rsid w:val="002D7046"/>
    <w:rsid w:val="002E3A90"/>
    <w:rsid w:val="002E46CC"/>
    <w:rsid w:val="002E4F48"/>
    <w:rsid w:val="002E62CB"/>
    <w:rsid w:val="002E6DF1"/>
    <w:rsid w:val="002E6ED9"/>
    <w:rsid w:val="002F0957"/>
    <w:rsid w:val="002F0DD5"/>
    <w:rsid w:val="002F41AD"/>
    <w:rsid w:val="002F43F6"/>
    <w:rsid w:val="002F71D5"/>
    <w:rsid w:val="003020BB"/>
    <w:rsid w:val="00304393"/>
    <w:rsid w:val="00305AB2"/>
    <w:rsid w:val="003071F9"/>
    <w:rsid w:val="0031032B"/>
    <w:rsid w:val="00316E87"/>
    <w:rsid w:val="00320812"/>
    <w:rsid w:val="0032453E"/>
    <w:rsid w:val="00325053"/>
    <w:rsid w:val="003256AC"/>
    <w:rsid w:val="0033129D"/>
    <w:rsid w:val="003320ED"/>
    <w:rsid w:val="003347EA"/>
    <w:rsid w:val="0033480E"/>
    <w:rsid w:val="00337123"/>
    <w:rsid w:val="00337F0D"/>
    <w:rsid w:val="00341866"/>
    <w:rsid w:val="00342083"/>
    <w:rsid w:val="003420BB"/>
    <w:rsid w:val="003535E0"/>
    <w:rsid w:val="00354E3C"/>
    <w:rsid w:val="00366F56"/>
    <w:rsid w:val="003737C8"/>
    <w:rsid w:val="003738AA"/>
    <w:rsid w:val="0037589D"/>
    <w:rsid w:val="00376BB1"/>
    <w:rsid w:val="00377E23"/>
    <w:rsid w:val="0038277C"/>
    <w:rsid w:val="003909E0"/>
    <w:rsid w:val="00393E09"/>
    <w:rsid w:val="00395B15"/>
    <w:rsid w:val="00396026"/>
    <w:rsid w:val="003A3E2F"/>
    <w:rsid w:val="003A6CCB"/>
    <w:rsid w:val="003B10C4"/>
    <w:rsid w:val="003B2287"/>
    <w:rsid w:val="003B48EB"/>
    <w:rsid w:val="003C33FF"/>
    <w:rsid w:val="003C64A5"/>
    <w:rsid w:val="003C7144"/>
    <w:rsid w:val="003D03CC"/>
    <w:rsid w:val="003D4547"/>
    <w:rsid w:val="003D4BB7"/>
    <w:rsid w:val="003E0116"/>
    <w:rsid w:val="003E26C3"/>
    <w:rsid w:val="003F0D6C"/>
    <w:rsid w:val="003F0F26"/>
    <w:rsid w:val="003F12D9"/>
    <w:rsid w:val="003F1B4C"/>
    <w:rsid w:val="003F416D"/>
    <w:rsid w:val="004008F6"/>
    <w:rsid w:val="0040314F"/>
    <w:rsid w:val="00405FA1"/>
    <w:rsid w:val="00412BBE"/>
    <w:rsid w:val="00414B20"/>
    <w:rsid w:val="00416D0C"/>
    <w:rsid w:val="0041798B"/>
    <w:rsid w:val="00417DE3"/>
    <w:rsid w:val="00420850"/>
    <w:rsid w:val="00423968"/>
    <w:rsid w:val="00427054"/>
    <w:rsid w:val="004304B1"/>
    <w:rsid w:val="00432240"/>
    <w:rsid w:val="0043320A"/>
    <w:rsid w:val="004332E3"/>
    <w:rsid w:val="0043600E"/>
    <w:rsid w:val="004401BC"/>
    <w:rsid w:val="00444D1F"/>
    <w:rsid w:val="004518A6"/>
    <w:rsid w:val="00453E1D"/>
    <w:rsid w:val="00454589"/>
    <w:rsid w:val="00456ED0"/>
    <w:rsid w:val="00457550"/>
    <w:rsid w:val="00474C50"/>
    <w:rsid w:val="00476568"/>
    <w:rsid w:val="004771F9"/>
    <w:rsid w:val="00483518"/>
    <w:rsid w:val="00486006"/>
    <w:rsid w:val="00486BAD"/>
    <w:rsid w:val="00486BBE"/>
    <w:rsid w:val="00487123"/>
    <w:rsid w:val="00491BAE"/>
    <w:rsid w:val="004A1BD5"/>
    <w:rsid w:val="004A61E1"/>
    <w:rsid w:val="004A7505"/>
    <w:rsid w:val="004B2344"/>
    <w:rsid w:val="004B5DDC"/>
    <w:rsid w:val="004B798E"/>
    <w:rsid w:val="004C2ABD"/>
    <w:rsid w:val="004D3E58"/>
    <w:rsid w:val="004D6746"/>
    <w:rsid w:val="004D767B"/>
    <w:rsid w:val="004E0F32"/>
    <w:rsid w:val="004E23A1"/>
    <w:rsid w:val="004E3E1B"/>
    <w:rsid w:val="004E52A1"/>
    <w:rsid w:val="004E7092"/>
    <w:rsid w:val="004E7ECE"/>
    <w:rsid w:val="004F28E2"/>
    <w:rsid w:val="004F6F64"/>
    <w:rsid w:val="005004EC"/>
    <w:rsid w:val="00500E92"/>
    <w:rsid w:val="00510820"/>
    <w:rsid w:val="00517756"/>
    <w:rsid w:val="005202C6"/>
    <w:rsid w:val="005215E1"/>
    <w:rsid w:val="00523C53"/>
    <w:rsid w:val="00527B8F"/>
    <w:rsid w:val="00531109"/>
    <w:rsid w:val="00535991"/>
    <w:rsid w:val="00542012"/>
    <w:rsid w:val="00542422"/>
    <w:rsid w:val="0054362B"/>
    <w:rsid w:val="00543DF5"/>
    <w:rsid w:val="005446E7"/>
    <w:rsid w:val="0055260D"/>
    <w:rsid w:val="00555422"/>
    <w:rsid w:val="00555810"/>
    <w:rsid w:val="005608D3"/>
    <w:rsid w:val="00562DCA"/>
    <w:rsid w:val="0056568F"/>
    <w:rsid w:val="00582578"/>
    <w:rsid w:val="005A125A"/>
    <w:rsid w:val="005B04A8"/>
    <w:rsid w:val="005B28AD"/>
    <w:rsid w:val="005B328D"/>
    <w:rsid w:val="005B3503"/>
    <w:rsid w:val="005B3EE7"/>
    <w:rsid w:val="005B4DCD"/>
    <w:rsid w:val="005B4FAD"/>
    <w:rsid w:val="005D380C"/>
    <w:rsid w:val="005D6E04"/>
    <w:rsid w:val="005D71CB"/>
    <w:rsid w:val="005D7A12"/>
    <w:rsid w:val="005E1C57"/>
    <w:rsid w:val="005E5114"/>
    <w:rsid w:val="005E53EE"/>
    <w:rsid w:val="005F0542"/>
    <w:rsid w:val="005F0F72"/>
    <w:rsid w:val="005F1C1F"/>
    <w:rsid w:val="005F346D"/>
    <w:rsid w:val="005F38FB"/>
    <w:rsid w:val="005F43A8"/>
    <w:rsid w:val="005F6125"/>
    <w:rsid w:val="00602D3B"/>
    <w:rsid w:val="00606EA1"/>
    <w:rsid w:val="006128F0"/>
    <w:rsid w:val="0061726B"/>
    <w:rsid w:val="0062387A"/>
    <w:rsid w:val="0063377D"/>
    <w:rsid w:val="006344BE"/>
    <w:rsid w:val="00634A66"/>
    <w:rsid w:val="0063701D"/>
    <w:rsid w:val="00640336"/>
    <w:rsid w:val="00640FC9"/>
    <w:rsid w:val="006417EE"/>
    <w:rsid w:val="006432F2"/>
    <w:rsid w:val="0064428B"/>
    <w:rsid w:val="00650CF5"/>
    <w:rsid w:val="0065320F"/>
    <w:rsid w:val="00653D64"/>
    <w:rsid w:val="00654E13"/>
    <w:rsid w:val="00656341"/>
    <w:rsid w:val="00667489"/>
    <w:rsid w:val="00670D44"/>
    <w:rsid w:val="00676AFC"/>
    <w:rsid w:val="006807CD"/>
    <w:rsid w:val="0068083A"/>
    <w:rsid w:val="00682D43"/>
    <w:rsid w:val="00684CB5"/>
    <w:rsid w:val="00685BAF"/>
    <w:rsid w:val="006A00C8"/>
    <w:rsid w:val="006A06CB"/>
    <w:rsid w:val="006A0D03"/>
    <w:rsid w:val="006A41E9"/>
    <w:rsid w:val="006B12CB"/>
    <w:rsid w:val="006B5916"/>
    <w:rsid w:val="006C06D9"/>
    <w:rsid w:val="006C4775"/>
    <w:rsid w:val="006C4EC2"/>
    <w:rsid w:val="006C4F4A"/>
    <w:rsid w:val="006C5E80"/>
    <w:rsid w:val="006C7CEE"/>
    <w:rsid w:val="006D075E"/>
    <w:rsid w:val="006D7C6E"/>
    <w:rsid w:val="006E02A2"/>
    <w:rsid w:val="006E2F95"/>
    <w:rsid w:val="006F7842"/>
    <w:rsid w:val="007012F2"/>
    <w:rsid w:val="00702BD4"/>
    <w:rsid w:val="00705EAF"/>
    <w:rsid w:val="007101CC"/>
    <w:rsid w:val="00715641"/>
    <w:rsid w:val="00721F32"/>
    <w:rsid w:val="00724E3B"/>
    <w:rsid w:val="00725EEA"/>
    <w:rsid w:val="00730CE9"/>
    <w:rsid w:val="0073373D"/>
    <w:rsid w:val="00741A40"/>
    <w:rsid w:val="007439DB"/>
    <w:rsid w:val="00752527"/>
    <w:rsid w:val="007568D8"/>
    <w:rsid w:val="00765316"/>
    <w:rsid w:val="007708C8"/>
    <w:rsid w:val="0077719D"/>
    <w:rsid w:val="00780DF0"/>
    <w:rsid w:val="00782F0F"/>
    <w:rsid w:val="00787482"/>
    <w:rsid w:val="007A286D"/>
    <w:rsid w:val="007A38DF"/>
    <w:rsid w:val="007A423D"/>
    <w:rsid w:val="007A6354"/>
    <w:rsid w:val="007B20CF"/>
    <w:rsid w:val="007B2499"/>
    <w:rsid w:val="007B72E1"/>
    <w:rsid w:val="007B783A"/>
    <w:rsid w:val="007C00CA"/>
    <w:rsid w:val="007C1B95"/>
    <w:rsid w:val="007C7F7D"/>
    <w:rsid w:val="007D73FB"/>
    <w:rsid w:val="007E2F2D"/>
    <w:rsid w:val="007E3DC5"/>
    <w:rsid w:val="007F1433"/>
    <w:rsid w:val="007F1491"/>
    <w:rsid w:val="007F2F03"/>
    <w:rsid w:val="007F361D"/>
    <w:rsid w:val="007F3779"/>
    <w:rsid w:val="00800FE0"/>
    <w:rsid w:val="008066AD"/>
    <w:rsid w:val="00811D83"/>
    <w:rsid w:val="0081217D"/>
    <w:rsid w:val="00814AF1"/>
    <w:rsid w:val="0081517F"/>
    <w:rsid w:val="00815370"/>
    <w:rsid w:val="0082153D"/>
    <w:rsid w:val="008231E6"/>
    <w:rsid w:val="008255AA"/>
    <w:rsid w:val="00830FF3"/>
    <w:rsid w:val="008334BF"/>
    <w:rsid w:val="00836B8C"/>
    <w:rsid w:val="00837011"/>
    <w:rsid w:val="00840062"/>
    <w:rsid w:val="008410C5"/>
    <w:rsid w:val="0084202B"/>
    <w:rsid w:val="00846C08"/>
    <w:rsid w:val="008530E7"/>
    <w:rsid w:val="00856BDB"/>
    <w:rsid w:val="00857675"/>
    <w:rsid w:val="00863BE2"/>
    <w:rsid w:val="00864879"/>
    <w:rsid w:val="00875EC3"/>
    <w:rsid w:val="008763E7"/>
    <w:rsid w:val="008808C5"/>
    <w:rsid w:val="00881A48"/>
    <w:rsid w:val="00881A7C"/>
    <w:rsid w:val="00883C78"/>
    <w:rsid w:val="00884018"/>
    <w:rsid w:val="00885159"/>
    <w:rsid w:val="00885214"/>
    <w:rsid w:val="00887615"/>
    <w:rsid w:val="00890052"/>
    <w:rsid w:val="00894E3A"/>
    <w:rsid w:val="00895231"/>
    <w:rsid w:val="00895A2F"/>
    <w:rsid w:val="00896EBD"/>
    <w:rsid w:val="008979B7"/>
    <w:rsid w:val="008A5665"/>
    <w:rsid w:val="008B24A8"/>
    <w:rsid w:val="008B25E4"/>
    <w:rsid w:val="008B3D78"/>
    <w:rsid w:val="008B6378"/>
    <w:rsid w:val="008C261B"/>
    <w:rsid w:val="008C4FCA"/>
    <w:rsid w:val="008C5F51"/>
    <w:rsid w:val="008C7882"/>
    <w:rsid w:val="008D1EDD"/>
    <w:rsid w:val="008D2261"/>
    <w:rsid w:val="008D4C28"/>
    <w:rsid w:val="008D577B"/>
    <w:rsid w:val="008D7828"/>
    <w:rsid w:val="008D7A98"/>
    <w:rsid w:val="008E0520"/>
    <w:rsid w:val="008E17C4"/>
    <w:rsid w:val="008E3A5E"/>
    <w:rsid w:val="008E45C4"/>
    <w:rsid w:val="008E64B1"/>
    <w:rsid w:val="008E64FA"/>
    <w:rsid w:val="008E74ED"/>
    <w:rsid w:val="008F4DEF"/>
    <w:rsid w:val="008F51AE"/>
    <w:rsid w:val="008F7E28"/>
    <w:rsid w:val="00902AF5"/>
    <w:rsid w:val="00903D0D"/>
    <w:rsid w:val="009048E1"/>
    <w:rsid w:val="0090598C"/>
    <w:rsid w:val="009071BB"/>
    <w:rsid w:val="00911460"/>
    <w:rsid w:val="00913885"/>
    <w:rsid w:val="00916A04"/>
    <w:rsid w:val="00931D41"/>
    <w:rsid w:val="00933D18"/>
    <w:rsid w:val="00937B77"/>
    <w:rsid w:val="00937B8A"/>
    <w:rsid w:val="00942221"/>
    <w:rsid w:val="00950FBB"/>
    <w:rsid w:val="0095122F"/>
    <w:rsid w:val="00953349"/>
    <w:rsid w:val="00954E0C"/>
    <w:rsid w:val="0095645C"/>
    <w:rsid w:val="00961156"/>
    <w:rsid w:val="00964F03"/>
    <w:rsid w:val="00966F1F"/>
    <w:rsid w:val="00975676"/>
    <w:rsid w:val="00976467"/>
    <w:rsid w:val="00976D32"/>
    <w:rsid w:val="00982F97"/>
    <w:rsid w:val="009844F7"/>
    <w:rsid w:val="009902E6"/>
    <w:rsid w:val="00992C50"/>
    <w:rsid w:val="009938F7"/>
    <w:rsid w:val="009A05AA"/>
    <w:rsid w:val="009A2D5A"/>
    <w:rsid w:val="009A42BF"/>
    <w:rsid w:val="009A6A48"/>
    <w:rsid w:val="009B224C"/>
    <w:rsid w:val="009B2C7E"/>
    <w:rsid w:val="009B6DBD"/>
    <w:rsid w:val="009C108A"/>
    <w:rsid w:val="009C2E47"/>
    <w:rsid w:val="009C37D6"/>
    <w:rsid w:val="009C6936"/>
    <w:rsid w:val="009C6BFB"/>
    <w:rsid w:val="009C71AC"/>
    <w:rsid w:val="009C738E"/>
    <w:rsid w:val="009D0C05"/>
    <w:rsid w:val="009E2C00"/>
    <w:rsid w:val="009E49AD"/>
    <w:rsid w:val="009E70F4"/>
    <w:rsid w:val="009F112A"/>
    <w:rsid w:val="009F1AD2"/>
    <w:rsid w:val="009F30E1"/>
    <w:rsid w:val="00A00F8C"/>
    <w:rsid w:val="00A0479E"/>
    <w:rsid w:val="00A07979"/>
    <w:rsid w:val="00A11755"/>
    <w:rsid w:val="00A207FB"/>
    <w:rsid w:val="00A24016"/>
    <w:rsid w:val="00A265BF"/>
    <w:rsid w:val="00A2687C"/>
    <w:rsid w:val="00A26F44"/>
    <w:rsid w:val="00A344D0"/>
    <w:rsid w:val="00A34FAB"/>
    <w:rsid w:val="00A40BAB"/>
    <w:rsid w:val="00A4313D"/>
    <w:rsid w:val="00A50120"/>
    <w:rsid w:val="00A509B8"/>
    <w:rsid w:val="00A60351"/>
    <w:rsid w:val="00A61C6D"/>
    <w:rsid w:val="00A63015"/>
    <w:rsid w:val="00A653B9"/>
    <w:rsid w:val="00A66254"/>
    <w:rsid w:val="00A678B4"/>
    <w:rsid w:val="00A704A3"/>
    <w:rsid w:val="00A75E23"/>
    <w:rsid w:val="00A80157"/>
    <w:rsid w:val="00A81E74"/>
    <w:rsid w:val="00A82AA0"/>
    <w:rsid w:val="00A82F8A"/>
    <w:rsid w:val="00A84BF0"/>
    <w:rsid w:val="00A9226B"/>
    <w:rsid w:val="00A94C41"/>
    <w:rsid w:val="00A9575C"/>
    <w:rsid w:val="00A95B56"/>
    <w:rsid w:val="00A969AF"/>
    <w:rsid w:val="00AA15AE"/>
    <w:rsid w:val="00AA7277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20FB"/>
    <w:rsid w:val="00AE35B2"/>
    <w:rsid w:val="00AE6AA0"/>
    <w:rsid w:val="00AF2A87"/>
    <w:rsid w:val="00AF4DDA"/>
    <w:rsid w:val="00B0062F"/>
    <w:rsid w:val="00B066D6"/>
    <w:rsid w:val="00B111FE"/>
    <w:rsid w:val="00B119A2"/>
    <w:rsid w:val="00B13410"/>
    <w:rsid w:val="00B1380E"/>
    <w:rsid w:val="00B161B2"/>
    <w:rsid w:val="00B177F2"/>
    <w:rsid w:val="00B201F1"/>
    <w:rsid w:val="00B304E7"/>
    <w:rsid w:val="00B318B6"/>
    <w:rsid w:val="00B41F47"/>
    <w:rsid w:val="00B46893"/>
    <w:rsid w:val="00B54B7C"/>
    <w:rsid w:val="00B60AC9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D10"/>
    <w:rsid w:val="00BA1A96"/>
    <w:rsid w:val="00BA5C89"/>
    <w:rsid w:val="00BB4CE2"/>
    <w:rsid w:val="00BB5EF0"/>
    <w:rsid w:val="00BB6724"/>
    <w:rsid w:val="00BC0EFB"/>
    <w:rsid w:val="00BC2E39"/>
    <w:rsid w:val="00BD2364"/>
    <w:rsid w:val="00BD28E3"/>
    <w:rsid w:val="00BD4A06"/>
    <w:rsid w:val="00BE3261"/>
    <w:rsid w:val="00BF58FC"/>
    <w:rsid w:val="00C01F77"/>
    <w:rsid w:val="00C01FFC"/>
    <w:rsid w:val="00C0269B"/>
    <w:rsid w:val="00C06AE4"/>
    <w:rsid w:val="00C114FF"/>
    <w:rsid w:val="00C171A1"/>
    <w:rsid w:val="00C171A4"/>
    <w:rsid w:val="00C17F12"/>
    <w:rsid w:val="00C2084D"/>
    <w:rsid w:val="00C21C1A"/>
    <w:rsid w:val="00C237E9"/>
    <w:rsid w:val="00C3178B"/>
    <w:rsid w:val="00C32989"/>
    <w:rsid w:val="00C36883"/>
    <w:rsid w:val="00C37823"/>
    <w:rsid w:val="00C40928"/>
    <w:rsid w:val="00C42697"/>
    <w:rsid w:val="00C42B29"/>
    <w:rsid w:val="00C43F01"/>
    <w:rsid w:val="00C47552"/>
    <w:rsid w:val="00C52CD8"/>
    <w:rsid w:val="00C55DA4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6094"/>
    <w:rsid w:val="00C77FA4"/>
    <w:rsid w:val="00C77FFA"/>
    <w:rsid w:val="00C80401"/>
    <w:rsid w:val="00C81C97"/>
    <w:rsid w:val="00C82A6E"/>
    <w:rsid w:val="00C83230"/>
    <w:rsid w:val="00C840C2"/>
    <w:rsid w:val="00C84101"/>
    <w:rsid w:val="00C8535F"/>
    <w:rsid w:val="00C90EDA"/>
    <w:rsid w:val="00C959E7"/>
    <w:rsid w:val="00C96699"/>
    <w:rsid w:val="00CA3EE5"/>
    <w:rsid w:val="00CB186C"/>
    <w:rsid w:val="00CC1E65"/>
    <w:rsid w:val="00CC567A"/>
    <w:rsid w:val="00CD4059"/>
    <w:rsid w:val="00CD4E5A"/>
    <w:rsid w:val="00CE03CE"/>
    <w:rsid w:val="00CE5B9B"/>
    <w:rsid w:val="00CE7BF7"/>
    <w:rsid w:val="00CF0DFF"/>
    <w:rsid w:val="00CF69D1"/>
    <w:rsid w:val="00D028A9"/>
    <w:rsid w:val="00D0359D"/>
    <w:rsid w:val="00D04DED"/>
    <w:rsid w:val="00D1089A"/>
    <w:rsid w:val="00D116BD"/>
    <w:rsid w:val="00D1199E"/>
    <w:rsid w:val="00D15EE6"/>
    <w:rsid w:val="00D164AB"/>
    <w:rsid w:val="00D2001A"/>
    <w:rsid w:val="00D20684"/>
    <w:rsid w:val="00D26B62"/>
    <w:rsid w:val="00D354B6"/>
    <w:rsid w:val="00D3691A"/>
    <w:rsid w:val="00D377E2"/>
    <w:rsid w:val="00D42DCB"/>
    <w:rsid w:val="00D45482"/>
    <w:rsid w:val="00D46DF2"/>
    <w:rsid w:val="00D47674"/>
    <w:rsid w:val="00D5338C"/>
    <w:rsid w:val="00D54D89"/>
    <w:rsid w:val="00D5752C"/>
    <w:rsid w:val="00D606B2"/>
    <w:rsid w:val="00D625A7"/>
    <w:rsid w:val="00D634B6"/>
    <w:rsid w:val="00D64074"/>
    <w:rsid w:val="00D65777"/>
    <w:rsid w:val="00D728A0"/>
    <w:rsid w:val="00D82D9D"/>
    <w:rsid w:val="00D83661"/>
    <w:rsid w:val="00D85A20"/>
    <w:rsid w:val="00D97E7D"/>
    <w:rsid w:val="00DA0F66"/>
    <w:rsid w:val="00DB3439"/>
    <w:rsid w:val="00DB3618"/>
    <w:rsid w:val="00DB5F5B"/>
    <w:rsid w:val="00DB7D30"/>
    <w:rsid w:val="00DC2946"/>
    <w:rsid w:val="00DC53C7"/>
    <w:rsid w:val="00DC550F"/>
    <w:rsid w:val="00DC64FD"/>
    <w:rsid w:val="00DE127F"/>
    <w:rsid w:val="00DE424A"/>
    <w:rsid w:val="00DE4419"/>
    <w:rsid w:val="00DF0ACA"/>
    <w:rsid w:val="00DF1527"/>
    <w:rsid w:val="00DF2245"/>
    <w:rsid w:val="00DF77CF"/>
    <w:rsid w:val="00E026E8"/>
    <w:rsid w:val="00E10B3F"/>
    <w:rsid w:val="00E14C47"/>
    <w:rsid w:val="00E22698"/>
    <w:rsid w:val="00E231CA"/>
    <w:rsid w:val="00E25B7C"/>
    <w:rsid w:val="00E3076B"/>
    <w:rsid w:val="00E30F73"/>
    <w:rsid w:val="00E32D98"/>
    <w:rsid w:val="00E3725B"/>
    <w:rsid w:val="00E434D1"/>
    <w:rsid w:val="00E51243"/>
    <w:rsid w:val="00E534C6"/>
    <w:rsid w:val="00E56695"/>
    <w:rsid w:val="00E56CBB"/>
    <w:rsid w:val="00E61950"/>
    <w:rsid w:val="00E61E51"/>
    <w:rsid w:val="00E6552A"/>
    <w:rsid w:val="00E6707D"/>
    <w:rsid w:val="00E70E7C"/>
    <w:rsid w:val="00E71313"/>
    <w:rsid w:val="00E72606"/>
    <w:rsid w:val="00E73C3E"/>
    <w:rsid w:val="00E80F85"/>
    <w:rsid w:val="00E82496"/>
    <w:rsid w:val="00E834CD"/>
    <w:rsid w:val="00E84E9D"/>
    <w:rsid w:val="00E86CEE"/>
    <w:rsid w:val="00E935AF"/>
    <w:rsid w:val="00EB0E20"/>
    <w:rsid w:val="00EB1A80"/>
    <w:rsid w:val="00EB457B"/>
    <w:rsid w:val="00EB54D4"/>
    <w:rsid w:val="00EC38A6"/>
    <w:rsid w:val="00EC4F3A"/>
    <w:rsid w:val="00EC5E74"/>
    <w:rsid w:val="00ED23EC"/>
    <w:rsid w:val="00ED3B73"/>
    <w:rsid w:val="00ED594D"/>
    <w:rsid w:val="00EE24B2"/>
    <w:rsid w:val="00EE36E1"/>
    <w:rsid w:val="00EE7B3F"/>
    <w:rsid w:val="00EF02E9"/>
    <w:rsid w:val="00EF058E"/>
    <w:rsid w:val="00F0054D"/>
    <w:rsid w:val="00F01981"/>
    <w:rsid w:val="00F02467"/>
    <w:rsid w:val="00F04488"/>
    <w:rsid w:val="00F04D0E"/>
    <w:rsid w:val="00F12214"/>
    <w:rsid w:val="00F12565"/>
    <w:rsid w:val="00F14ACA"/>
    <w:rsid w:val="00F15DA4"/>
    <w:rsid w:val="00F23927"/>
    <w:rsid w:val="00F26A05"/>
    <w:rsid w:val="00F307CE"/>
    <w:rsid w:val="00F37108"/>
    <w:rsid w:val="00F47BAA"/>
    <w:rsid w:val="00F52EAB"/>
    <w:rsid w:val="00F552B1"/>
    <w:rsid w:val="00F556E2"/>
    <w:rsid w:val="00F61A31"/>
    <w:rsid w:val="00F62EBA"/>
    <w:rsid w:val="00F67A2D"/>
    <w:rsid w:val="00F70A1B"/>
    <w:rsid w:val="00F72C78"/>
    <w:rsid w:val="00F72FDF"/>
    <w:rsid w:val="00F739C7"/>
    <w:rsid w:val="00F75960"/>
    <w:rsid w:val="00F76778"/>
    <w:rsid w:val="00F82526"/>
    <w:rsid w:val="00F84672"/>
    <w:rsid w:val="00F84802"/>
    <w:rsid w:val="00F8778B"/>
    <w:rsid w:val="00F92322"/>
    <w:rsid w:val="00F95A8C"/>
    <w:rsid w:val="00FA06FD"/>
    <w:rsid w:val="00FA2BD2"/>
    <w:rsid w:val="00FA515B"/>
    <w:rsid w:val="00FA6B90"/>
    <w:rsid w:val="00FA74CB"/>
    <w:rsid w:val="00FB013A"/>
    <w:rsid w:val="00FB207A"/>
    <w:rsid w:val="00FB2886"/>
    <w:rsid w:val="00FB466E"/>
    <w:rsid w:val="00FC752C"/>
    <w:rsid w:val="00FD0492"/>
    <w:rsid w:val="00FD0D8D"/>
    <w:rsid w:val="00FD13EC"/>
    <w:rsid w:val="00FD4DA8"/>
    <w:rsid w:val="00FD4EEF"/>
    <w:rsid w:val="00FD5461"/>
    <w:rsid w:val="00FD6BDB"/>
    <w:rsid w:val="00FD6F00"/>
    <w:rsid w:val="00FD7B98"/>
    <w:rsid w:val="00FE102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B8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berschriftFachInfo3">
    <w:name w:val="ÜberschriftFachInfo3"/>
    <w:basedOn w:val="Normln"/>
    <w:next w:val="Normln"/>
    <w:rsid w:val="00A509B8"/>
    <w:pPr>
      <w:keepNext/>
      <w:tabs>
        <w:tab w:val="clear" w:pos="567"/>
      </w:tabs>
      <w:spacing w:before="120" w:line="240" w:lineRule="auto"/>
      <w:outlineLvl w:val="0"/>
    </w:pPr>
    <w:rPr>
      <w:rFonts w:cs="Arial"/>
      <w:b/>
      <w:bCs/>
      <w:noProof/>
      <w:snapToGrid w:val="0"/>
      <w:kern w:val="32"/>
      <w:sz w:val="24"/>
      <w:szCs w:val="22"/>
    </w:rPr>
  </w:style>
  <w:style w:type="character" w:styleId="Zvraznn">
    <w:name w:val="Emphasis"/>
    <w:qFormat/>
    <w:rsid w:val="00542422"/>
    <w:rPr>
      <w:i/>
      <w:iCs/>
    </w:rPr>
  </w:style>
  <w:style w:type="paragraph" w:styleId="Odstavecseseznamem">
    <w:name w:val="List Paragraph"/>
    <w:basedOn w:val="Normln"/>
    <w:uiPriority w:val="34"/>
    <w:qFormat/>
    <w:rsid w:val="00C31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berschriftFachInfo3">
    <w:name w:val="ÜberschriftFachInfo3"/>
    <w:basedOn w:val="Normln"/>
    <w:next w:val="Normln"/>
    <w:rsid w:val="00A509B8"/>
    <w:pPr>
      <w:keepNext/>
      <w:tabs>
        <w:tab w:val="clear" w:pos="567"/>
      </w:tabs>
      <w:spacing w:before="120" w:line="240" w:lineRule="auto"/>
      <w:outlineLvl w:val="0"/>
    </w:pPr>
    <w:rPr>
      <w:rFonts w:cs="Arial"/>
      <w:b/>
      <w:bCs/>
      <w:noProof/>
      <w:snapToGrid w:val="0"/>
      <w:kern w:val="32"/>
      <w:sz w:val="24"/>
      <w:szCs w:val="22"/>
    </w:rPr>
  </w:style>
  <w:style w:type="character" w:styleId="Zvraznn">
    <w:name w:val="Emphasis"/>
    <w:qFormat/>
    <w:rsid w:val="00542422"/>
    <w:rPr>
      <w:i/>
      <w:iCs/>
    </w:rPr>
  </w:style>
  <w:style w:type="paragraph" w:styleId="Odstavecseseznamem">
    <w:name w:val="List Paragraph"/>
    <w:basedOn w:val="Normln"/>
    <w:uiPriority w:val="34"/>
    <w:qFormat/>
    <w:rsid w:val="00C3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DE1F-2C05-4808-A8C9-6C8D0673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1607</Words>
  <Characters>9487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lastModifiedBy>Wojtylová Jana</cp:lastModifiedBy>
  <cp:revision>61</cp:revision>
  <cp:lastPrinted>2021-02-22T10:16:00Z</cp:lastPrinted>
  <dcterms:created xsi:type="dcterms:W3CDTF">2020-10-05T12:29:00Z</dcterms:created>
  <dcterms:modified xsi:type="dcterms:W3CDTF">2021-04-21T09:42:00Z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</Properties>
</file>