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D6289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D6289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D6289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1A969F6E" w:rsidR="00C114FF" w:rsidRPr="00B41D57" w:rsidRDefault="0048689A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99998236"/>
      <w:r>
        <w:t>Syncroprost 0,250 mg/ml injekční roztok pro skot, koně, prasata a kozy</w:t>
      </w:r>
      <w:bookmarkEnd w:id="0"/>
    </w:p>
    <w:p w14:paraId="7245778A" w14:textId="1E3C4F3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B81CA5" w14:textId="77777777" w:rsidR="00D66EE0" w:rsidRPr="00B41D57" w:rsidRDefault="00D66E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D6289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ACBC89" w14:textId="77777777" w:rsidR="0048689A" w:rsidRPr="00463C5D" w:rsidRDefault="0048689A" w:rsidP="0048689A">
      <w:pPr>
        <w:rPr>
          <w:szCs w:val="22"/>
        </w:rPr>
      </w:pPr>
      <w:bookmarkStart w:id="1" w:name="_Hlk99998462"/>
      <w:bookmarkStart w:id="2" w:name="_Hlk99999576"/>
      <w:r>
        <w:t>Každý ml obsahuje</w:t>
      </w:r>
      <w:bookmarkEnd w:id="1"/>
      <w:r>
        <w:t>:</w:t>
      </w:r>
    </w:p>
    <w:p w14:paraId="53C9B03B" w14:textId="77777777" w:rsidR="0048689A" w:rsidRPr="00463C5D" w:rsidRDefault="0048689A" w:rsidP="0048689A">
      <w:pPr>
        <w:rPr>
          <w:b/>
          <w:bCs/>
          <w:color w:val="FF0000"/>
          <w:szCs w:val="22"/>
          <w:u w:val="single"/>
        </w:rPr>
      </w:pPr>
    </w:p>
    <w:p w14:paraId="7B7AA6D0" w14:textId="6C2D4F12" w:rsidR="0048689A" w:rsidRPr="003B3DC0" w:rsidRDefault="00C82F45" w:rsidP="0048689A">
      <w:pPr>
        <w:autoSpaceDE w:val="0"/>
        <w:autoSpaceDN w:val="0"/>
        <w:adjustRightInd w:val="0"/>
        <w:rPr>
          <w:rFonts w:eastAsia="Calibri"/>
          <w:b/>
          <w:bCs/>
          <w:szCs w:val="22"/>
        </w:rPr>
      </w:pPr>
      <w:bookmarkStart w:id="3" w:name="_Hlk24544735"/>
      <w:r>
        <w:rPr>
          <w:b/>
        </w:rPr>
        <w:t xml:space="preserve">Léčivá </w:t>
      </w:r>
      <w:r w:rsidR="0048689A">
        <w:rPr>
          <w:b/>
        </w:rPr>
        <w:t>látk</w:t>
      </w:r>
      <w:r w:rsidR="004F0261">
        <w:rPr>
          <w:b/>
        </w:rPr>
        <w:t>a</w:t>
      </w:r>
      <w:r w:rsidR="0048689A">
        <w:rPr>
          <w:b/>
        </w:rPr>
        <w:t>:</w:t>
      </w:r>
    </w:p>
    <w:p w14:paraId="2B5E8288" w14:textId="77777777" w:rsidR="0048689A" w:rsidRPr="00321D1E" w:rsidRDefault="0048689A" w:rsidP="0048689A">
      <w:pPr>
        <w:autoSpaceDE w:val="0"/>
        <w:autoSpaceDN w:val="0"/>
        <w:adjustRightInd w:val="0"/>
        <w:rPr>
          <w:rFonts w:eastAsia="Calibri"/>
          <w:szCs w:val="22"/>
        </w:rPr>
      </w:pPr>
      <w:bookmarkStart w:id="4" w:name="_Hlk99998488"/>
      <w:r w:rsidRPr="00BE157A">
        <w:t>Cloprostenolum</w:t>
      </w:r>
      <w:bookmarkEnd w:id="4"/>
      <w:r>
        <w:t xml:space="preserve"> </w:t>
      </w:r>
      <w:bookmarkStart w:id="5" w:name="_Hlk99998475"/>
      <w:r>
        <w:t>0,250 mg</w:t>
      </w:r>
      <w:bookmarkEnd w:id="5"/>
    </w:p>
    <w:p w14:paraId="63C276BE" w14:textId="77777777" w:rsidR="0048689A" w:rsidRPr="00321D1E" w:rsidRDefault="0048689A" w:rsidP="0048689A">
      <w:pPr>
        <w:autoSpaceDE w:val="0"/>
        <w:autoSpaceDN w:val="0"/>
        <w:adjustRightInd w:val="0"/>
        <w:rPr>
          <w:rFonts w:eastAsia="Calibri"/>
          <w:szCs w:val="22"/>
        </w:rPr>
      </w:pPr>
      <w:bookmarkStart w:id="6" w:name="_Hlk99998502"/>
      <w:r>
        <w:t xml:space="preserve">(odpovídá 0,263 mg </w:t>
      </w:r>
      <w:r w:rsidRPr="00BE157A">
        <w:t>cloprostenolum natricu</w:t>
      </w:r>
      <w:r>
        <w:t>m)</w:t>
      </w:r>
      <w:bookmarkEnd w:id="6"/>
    </w:p>
    <w:bookmarkEnd w:id="3"/>
    <w:p w14:paraId="365240F9" w14:textId="77777777" w:rsidR="0048689A" w:rsidRPr="00321D1E" w:rsidRDefault="0048689A" w:rsidP="0048689A">
      <w:pPr>
        <w:autoSpaceDE w:val="0"/>
        <w:autoSpaceDN w:val="0"/>
        <w:adjustRightInd w:val="0"/>
        <w:rPr>
          <w:rFonts w:eastAsia="Calibri"/>
          <w:b/>
          <w:bCs/>
          <w:szCs w:val="22"/>
        </w:rPr>
      </w:pPr>
    </w:p>
    <w:p w14:paraId="0C936428" w14:textId="77777777" w:rsidR="0048689A" w:rsidRPr="00321D1E" w:rsidRDefault="0048689A" w:rsidP="0048689A">
      <w:pPr>
        <w:autoSpaceDE w:val="0"/>
        <w:autoSpaceDN w:val="0"/>
        <w:adjustRightInd w:val="0"/>
        <w:rPr>
          <w:rFonts w:eastAsia="Calibri"/>
          <w:b/>
          <w:bCs/>
          <w:szCs w:val="22"/>
        </w:rPr>
      </w:pPr>
      <w:r>
        <w:rPr>
          <w:b/>
        </w:rPr>
        <w:t>Pomocné látky:</w:t>
      </w:r>
    </w:p>
    <w:p w14:paraId="065B7D5F" w14:textId="77777777" w:rsidR="004F0261" w:rsidRPr="00B41D57" w:rsidRDefault="004F0261" w:rsidP="004F026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261" w14:paraId="696AEA41" w14:textId="77777777" w:rsidTr="002512F7">
        <w:tc>
          <w:tcPr>
            <w:tcW w:w="4643" w:type="dxa"/>
            <w:shd w:val="clear" w:color="auto" w:fill="auto"/>
            <w:vAlign w:val="center"/>
          </w:tcPr>
          <w:p w14:paraId="7EE558B0" w14:textId="69511F75" w:rsidR="004F0261" w:rsidRPr="00B41D57" w:rsidRDefault="004F0261" w:rsidP="002512F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884279" w14:textId="5FAA6569" w:rsidR="004F0261" w:rsidRPr="00B41D57" w:rsidRDefault="004F0261" w:rsidP="002512F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F0261" w14:paraId="2087295C" w14:textId="77777777" w:rsidTr="002512F7">
        <w:tc>
          <w:tcPr>
            <w:tcW w:w="4643" w:type="dxa"/>
            <w:shd w:val="clear" w:color="auto" w:fill="auto"/>
            <w:vAlign w:val="center"/>
          </w:tcPr>
          <w:p w14:paraId="45A9B8B3" w14:textId="71F7E1F6" w:rsidR="004F0261" w:rsidRPr="00B41D57" w:rsidRDefault="004F0261" w:rsidP="002512F7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Benzylalkohol (E 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1F72E3" w14:textId="6F47C088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20 mg</w:t>
            </w:r>
          </w:p>
        </w:tc>
      </w:tr>
      <w:tr w:rsidR="004F0261" w14:paraId="177B3162" w14:textId="77777777" w:rsidTr="002512F7">
        <w:tc>
          <w:tcPr>
            <w:tcW w:w="4643" w:type="dxa"/>
            <w:shd w:val="clear" w:color="auto" w:fill="auto"/>
            <w:vAlign w:val="center"/>
          </w:tcPr>
          <w:p w14:paraId="7C4A7F6A" w14:textId="20605A6A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  <w:r>
              <w:t>Dihydrát natrium-citrátu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071345" w14:textId="77777777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</w:p>
        </w:tc>
      </w:tr>
      <w:tr w:rsidR="004F0261" w14:paraId="6BD47825" w14:textId="77777777" w:rsidTr="002512F7">
        <w:tc>
          <w:tcPr>
            <w:tcW w:w="4643" w:type="dxa"/>
            <w:shd w:val="clear" w:color="auto" w:fill="auto"/>
            <w:vAlign w:val="center"/>
          </w:tcPr>
          <w:p w14:paraId="6C2244FB" w14:textId="195CB05A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  <w:r>
              <w:t>Kyselina citronová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BD3CDA" w14:textId="77777777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</w:p>
        </w:tc>
      </w:tr>
      <w:tr w:rsidR="004F0261" w14:paraId="2EF1AC62" w14:textId="77777777" w:rsidTr="002512F7">
        <w:tc>
          <w:tcPr>
            <w:tcW w:w="4643" w:type="dxa"/>
            <w:shd w:val="clear" w:color="auto" w:fill="auto"/>
            <w:vAlign w:val="center"/>
          </w:tcPr>
          <w:p w14:paraId="51121482" w14:textId="7B7944F7" w:rsidR="004F0261" w:rsidRPr="00B41D57" w:rsidRDefault="004F0261" w:rsidP="002512F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A99CD0" w14:textId="77777777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</w:p>
        </w:tc>
      </w:tr>
      <w:tr w:rsidR="004F0261" w14:paraId="426A2D07" w14:textId="77777777" w:rsidTr="002512F7">
        <w:tc>
          <w:tcPr>
            <w:tcW w:w="4643" w:type="dxa"/>
            <w:shd w:val="clear" w:color="auto" w:fill="auto"/>
            <w:vAlign w:val="center"/>
          </w:tcPr>
          <w:p w14:paraId="086EF6C2" w14:textId="04BD0321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  <w:r>
              <w:t>Hydroxid sodný</w:t>
            </w:r>
            <w:r>
              <w:rPr>
                <w:rFonts w:ascii="Arial" w:hAnsi="Arial"/>
              </w:rPr>
              <w:t xml:space="preserve"> </w:t>
            </w:r>
            <w:r>
              <w:t>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FD2B13" w14:textId="77777777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</w:p>
        </w:tc>
      </w:tr>
      <w:tr w:rsidR="004F0261" w14:paraId="3B5C1668" w14:textId="77777777" w:rsidTr="002512F7">
        <w:tc>
          <w:tcPr>
            <w:tcW w:w="4643" w:type="dxa"/>
            <w:shd w:val="clear" w:color="auto" w:fill="auto"/>
            <w:vAlign w:val="center"/>
          </w:tcPr>
          <w:p w14:paraId="1A1AF4B1" w14:textId="1F5D7AFA" w:rsidR="004F0261" w:rsidRDefault="004F0261" w:rsidP="002512F7">
            <w:pPr>
              <w:spacing w:before="60" w:after="60"/>
            </w:pPr>
            <w: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29D84F" w14:textId="77777777" w:rsidR="004F0261" w:rsidRPr="00B41D57" w:rsidRDefault="004F0261" w:rsidP="002512F7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3362B7D" w14:textId="77777777" w:rsidR="004F0261" w:rsidRDefault="004F0261" w:rsidP="0048689A">
      <w:pPr>
        <w:autoSpaceDE w:val="0"/>
        <w:autoSpaceDN w:val="0"/>
        <w:adjustRightInd w:val="0"/>
      </w:pPr>
    </w:p>
    <w:p w14:paraId="57365ED5" w14:textId="46F73AC1" w:rsidR="00C82F45" w:rsidRPr="00321D1E" w:rsidRDefault="004F0261" w:rsidP="0048689A">
      <w:pPr>
        <w:autoSpaceDE w:val="0"/>
        <w:autoSpaceDN w:val="0"/>
        <w:adjustRightInd w:val="0"/>
        <w:rPr>
          <w:rFonts w:eastAsia="Calibri"/>
          <w:szCs w:val="22"/>
        </w:rPr>
      </w:pPr>
      <w:r>
        <w:t>Čirý bezbarvý roztok prakticky bez viditelných částic.</w:t>
      </w:r>
      <w:bookmarkEnd w:id="2"/>
    </w:p>
    <w:p w14:paraId="611F38D2" w14:textId="77777777" w:rsidR="00C82F45" w:rsidRPr="00321D1E" w:rsidRDefault="00C82F45" w:rsidP="0048689A">
      <w:pPr>
        <w:autoSpaceDE w:val="0"/>
        <w:autoSpaceDN w:val="0"/>
        <w:adjustRightInd w:val="0"/>
        <w:rPr>
          <w:rFonts w:eastAsia="Calibri"/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D6289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D62896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62BF0C" w14:textId="2222B72A" w:rsidR="0048689A" w:rsidRPr="00321D1E" w:rsidRDefault="0048689A" w:rsidP="0048689A">
      <w:pPr>
        <w:rPr>
          <w:szCs w:val="22"/>
        </w:rPr>
      </w:pPr>
      <w:bookmarkStart w:id="7" w:name="_Hlk99998571"/>
      <w:bookmarkStart w:id="8" w:name="_Hlk99999753"/>
      <w:r>
        <w:t>Skot (krávy, jalovice), koně (klisny), prasata (prasnice a prasničky) a kozy</w:t>
      </w:r>
      <w:bookmarkEnd w:id="7"/>
      <w:r>
        <w:t xml:space="preserve"> (</w:t>
      </w:r>
      <w:r w:rsidR="004F0261">
        <w:t xml:space="preserve">dospělé </w:t>
      </w:r>
      <w:r>
        <w:t>kozy).</w:t>
      </w:r>
      <w:bookmarkEnd w:id="8"/>
    </w:p>
    <w:p w14:paraId="403946ED" w14:textId="77777777" w:rsidR="0048689A" w:rsidRPr="00B41D57" w:rsidRDefault="004868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D62896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8B659" w14:textId="77777777" w:rsidR="0048689A" w:rsidRPr="00321D1E" w:rsidRDefault="0048689A" w:rsidP="0048689A">
      <w:pPr>
        <w:rPr>
          <w:szCs w:val="22"/>
          <w:u w:val="single"/>
        </w:rPr>
      </w:pPr>
      <w:bookmarkStart w:id="9" w:name="_Hlk99999637"/>
      <w:r>
        <w:rPr>
          <w:u w:val="single"/>
        </w:rPr>
        <w:t>Skot (krávy a jalovice)</w:t>
      </w:r>
    </w:p>
    <w:p w14:paraId="57386F37" w14:textId="0FE78EEF" w:rsidR="0048689A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bookmarkStart w:id="10" w:name="_Hlk101443172"/>
      <w:r>
        <w:t xml:space="preserve">vyvolání luteolýzy umožňující navození říje a ovulace u cyklujících samic, pokud je přípravek </w:t>
      </w:r>
      <w:r w:rsidR="00032EA3">
        <w:t>pod</w:t>
      </w:r>
      <w:r>
        <w:t>án během diestru</w:t>
      </w:r>
    </w:p>
    <w:p w14:paraId="2B0F66A0" w14:textId="77777777" w:rsidR="0048689A" w:rsidRPr="006B7AA8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synchronizace říje (v rozmezí 2 až 5 dnů) ve skupinách cyklujících simultánně ošetřených samic</w:t>
      </w:r>
    </w:p>
    <w:p w14:paraId="08E0D335" w14:textId="77777777" w:rsidR="0048689A" w:rsidRPr="006B7AA8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léčba subestru („tichá říje“) a děložních poruch souvisejících s funkčním nebo perzistentním žlutým tělískem (endometritida, pyometra)</w:t>
      </w:r>
    </w:p>
    <w:p w14:paraId="34134BE1" w14:textId="77777777" w:rsidR="0048689A" w:rsidRPr="006B7AA8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léčba vaječníkových luteálních cyst</w:t>
      </w:r>
    </w:p>
    <w:p w14:paraId="6352D658" w14:textId="77777777" w:rsidR="0048689A" w:rsidRPr="006B7AA8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vyvolání potratu až do 150. dne březosti</w:t>
      </w:r>
    </w:p>
    <w:p w14:paraId="7BF5E57A" w14:textId="77777777" w:rsidR="0048689A" w:rsidRPr="006B7AA8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vypuzení mumifikovaných plodů</w:t>
      </w:r>
    </w:p>
    <w:p w14:paraId="23716EA9" w14:textId="77777777" w:rsidR="0048689A" w:rsidRPr="006B7AA8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vyvolání porodu</w:t>
      </w:r>
    </w:p>
    <w:bookmarkEnd w:id="10"/>
    <w:p w14:paraId="51AF0E41" w14:textId="77777777" w:rsidR="0048689A" w:rsidRPr="00321D1E" w:rsidRDefault="0048689A" w:rsidP="0048689A">
      <w:pPr>
        <w:ind w:left="567"/>
        <w:rPr>
          <w:szCs w:val="22"/>
        </w:rPr>
      </w:pPr>
    </w:p>
    <w:p w14:paraId="43C2AAAE" w14:textId="77777777" w:rsidR="0048689A" w:rsidRPr="00321D1E" w:rsidRDefault="0048689A" w:rsidP="0048689A">
      <w:pPr>
        <w:rPr>
          <w:szCs w:val="22"/>
          <w:u w:val="single"/>
        </w:rPr>
      </w:pPr>
      <w:r>
        <w:rPr>
          <w:u w:val="single"/>
        </w:rPr>
        <w:t>Koně (klisny)</w:t>
      </w:r>
    </w:p>
    <w:p w14:paraId="1E1AB19A" w14:textId="77777777" w:rsidR="0048689A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bookmarkStart w:id="11" w:name="_Hlk101443190"/>
      <w:r>
        <w:t xml:space="preserve">vyvolání </w:t>
      </w:r>
      <w:bookmarkEnd w:id="11"/>
      <w:r>
        <w:t>luteolýzy u klisen s funkčním žlutým tělískem</w:t>
      </w:r>
    </w:p>
    <w:p w14:paraId="011C1300" w14:textId="77777777" w:rsidR="0048689A" w:rsidRDefault="0048689A" w:rsidP="0048689A">
      <w:pPr>
        <w:numPr>
          <w:ilvl w:val="0"/>
          <w:numId w:val="41"/>
        </w:numPr>
        <w:suppressAutoHyphens/>
        <w:ind w:left="284" w:hanging="284"/>
        <w:rPr>
          <w:szCs w:val="22"/>
        </w:rPr>
      </w:pPr>
      <w:r>
        <w:t>vyvolání estrálního cyklu během plemenitby</w:t>
      </w:r>
    </w:p>
    <w:p w14:paraId="2D11A75D" w14:textId="77777777" w:rsidR="0048689A" w:rsidRPr="00321D1E" w:rsidRDefault="0048689A" w:rsidP="0048689A">
      <w:pPr>
        <w:ind w:left="567"/>
        <w:rPr>
          <w:szCs w:val="22"/>
        </w:rPr>
      </w:pPr>
    </w:p>
    <w:p w14:paraId="194E75C1" w14:textId="77777777" w:rsidR="0048689A" w:rsidRPr="00321D1E" w:rsidRDefault="0048689A" w:rsidP="0048689A">
      <w:pPr>
        <w:rPr>
          <w:szCs w:val="22"/>
          <w:u w:val="single"/>
        </w:rPr>
      </w:pPr>
      <w:r>
        <w:rPr>
          <w:u w:val="single"/>
        </w:rPr>
        <w:t>Prasata (prasnice a prasničky)</w:t>
      </w:r>
    </w:p>
    <w:p w14:paraId="7208195B" w14:textId="77777777" w:rsidR="0048689A" w:rsidRPr="005931FD" w:rsidRDefault="0048689A" w:rsidP="0048689A">
      <w:pPr>
        <w:pStyle w:val="Odstavecseseznamem"/>
        <w:numPr>
          <w:ilvl w:val="0"/>
          <w:numId w:val="41"/>
        </w:numPr>
        <w:ind w:left="284" w:hanging="284"/>
        <w:rPr>
          <w:color w:val="000000"/>
          <w:szCs w:val="22"/>
        </w:rPr>
      </w:pPr>
      <w:r>
        <w:rPr>
          <w:color w:val="000000"/>
        </w:rPr>
        <w:lastRenderedPageBreak/>
        <w:t>vyvolání luteolýzy a porodu po 114. dni březosti</w:t>
      </w:r>
    </w:p>
    <w:p w14:paraId="3BC1AF02" w14:textId="77777777" w:rsidR="0048689A" w:rsidRPr="005931FD" w:rsidRDefault="0048689A" w:rsidP="0048689A">
      <w:pPr>
        <w:rPr>
          <w:color w:val="000000"/>
          <w:szCs w:val="22"/>
          <w:lang w:val="it-IT" w:eastAsia="it-IT"/>
        </w:rPr>
      </w:pPr>
    </w:p>
    <w:p w14:paraId="1063B406" w14:textId="1ED19B25" w:rsidR="0048689A" w:rsidRPr="00321D1E" w:rsidRDefault="0048689A" w:rsidP="0048689A">
      <w:pPr>
        <w:keepNext/>
        <w:rPr>
          <w:szCs w:val="22"/>
          <w:u w:val="single"/>
        </w:rPr>
      </w:pPr>
      <w:r>
        <w:rPr>
          <w:u w:val="single"/>
        </w:rPr>
        <w:t>Kozy (</w:t>
      </w:r>
      <w:r w:rsidR="004F0261">
        <w:rPr>
          <w:u w:val="single"/>
        </w:rPr>
        <w:t xml:space="preserve">dospělé </w:t>
      </w:r>
      <w:r>
        <w:rPr>
          <w:u w:val="single"/>
        </w:rPr>
        <w:t>kozy)</w:t>
      </w:r>
    </w:p>
    <w:p w14:paraId="5BFE0AEB" w14:textId="77777777" w:rsidR="0048689A" w:rsidRPr="00321D1E" w:rsidRDefault="0048689A" w:rsidP="0048689A">
      <w:pPr>
        <w:pStyle w:val="Odstavecseseznamem"/>
        <w:numPr>
          <w:ilvl w:val="0"/>
          <w:numId w:val="41"/>
        </w:numPr>
        <w:ind w:left="284" w:hanging="284"/>
        <w:rPr>
          <w:szCs w:val="22"/>
        </w:rPr>
      </w:pPr>
      <w:bookmarkStart w:id="12" w:name="_Hlk101443227"/>
      <w:r>
        <w:t xml:space="preserve">synchronizace </w:t>
      </w:r>
      <w:bookmarkEnd w:id="12"/>
      <w:r>
        <w:t>říje</w:t>
      </w:r>
      <w:bookmarkEnd w:id="9"/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D62896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1C3D36" w14:textId="77777777" w:rsidR="0048689A" w:rsidRPr="00321D1E" w:rsidRDefault="0048689A" w:rsidP="0048689A">
      <w:pPr>
        <w:rPr>
          <w:rFonts w:eastAsia="Cambria"/>
          <w:szCs w:val="22"/>
        </w:rPr>
      </w:pPr>
      <w:bookmarkStart w:id="13" w:name="_Hlk99999653"/>
      <w:r>
        <w:t>Tento veterinární léčivý přípravek nepodávejte březím zvířatům, pokud není cílem ukončení březosti.</w:t>
      </w:r>
    </w:p>
    <w:p w14:paraId="2C652134" w14:textId="77777777" w:rsidR="0048689A" w:rsidRPr="00321D1E" w:rsidRDefault="0048689A" w:rsidP="0048689A">
      <w:pPr>
        <w:rPr>
          <w:szCs w:val="22"/>
        </w:rPr>
      </w:pPr>
      <w:r>
        <w:t>Nepoužívat u zvířat s kardiovaskulárními, gastrointestinálními ani respiračními potížemi.</w:t>
      </w:r>
    </w:p>
    <w:p w14:paraId="3EB78089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Nepodávejte k vyvolání porodu u zvířat s podezřením na dystokii způsobenou mechanickou obstrukcí ani pokud se očekávají problémy kvůli abnormální poloze plodu.</w:t>
      </w:r>
    </w:p>
    <w:p w14:paraId="20CAEDE6" w14:textId="25E61430" w:rsidR="0048689A" w:rsidRDefault="0048689A" w:rsidP="0048689A">
      <w:pPr>
        <w:rPr>
          <w:szCs w:val="22"/>
        </w:rPr>
      </w:pPr>
      <w:r>
        <w:t xml:space="preserve">Nepoužívat v </w:t>
      </w:r>
      <w:r w:rsidR="004F0261" w:rsidRPr="00B41D57">
        <w:t>případech</w:t>
      </w:r>
      <w:r>
        <w:t xml:space="preserve"> přecitlivělosti na </w:t>
      </w:r>
      <w:r w:rsidR="004F0261">
        <w:t xml:space="preserve">léčivou </w:t>
      </w:r>
      <w:r>
        <w:t xml:space="preserve">látku nebo na </w:t>
      </w:r>
      <w:bookmarkStart w:id="14" w:name="_Hlk101443268"/>
      <w:r>
        <w:t xml:space="preserve">některou </w:t>
      </w:r>
      <w:bookmarkEnd w:id="14"/>
      <w:r>
        <w:t>z pomocných látek.</w:t>
      </w:r>
    </w:p>
    <w:p w14:paraId="24155A23" w14:textId="77777777" w:rsidR="0048689A" w:rsidRPr="00321D1E" w:rsidRDefault="0048689A" w:rsidP="0048689A">
      <w:pPr>
        <w:rPr>
          <w:rFonts w:eastAsia="Cambria"/>
          <w:szCs w:val="22"/>
        </w:rPr>
      </w:pPr>
      <w:r>
        <w:t>Nepodávejte intravenózně.</w:t>
      </w:r>
      <w:bookmarkEnd w:id="13"/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D62896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0950C5" w14:textId="77777777" w:rsidR="0048689A" w:rsidRDefault="0048689A" w:rsidP="0048689A">
      <w:pPr>
        <w:rPr>
          <w:szCs w:val="22"/>
        </w:rPr>
      </w:pPr>
      <w:bookmarkStart w:id="15" w:name="_Hlk100000208"/>
      <w:r>
        <w:t>Pro ukončení březosti byly u skotu nejlepší výsledky dosaženy před 100. dnem březosti. Mezi 100. a 150. dnem březosti jsou výsledky méně spolehlivé.</w:t>
      </w:r>
    </w:p>
    <w:p w14:paraId="1F6C5E53" w14:textId="77777777" w:rsidR="0048689A" w:rsidRDefault="0048689A" w:rsidP="0048689A">
      <w:pPr>
        <w:rPr>
          <w:color w:val="000000"/>
          <w:szCs w:val="22"/>
        </w:rPr>
      </w:pPr>
      <w:r>
        <w:t>Po ovulaci nastává refrakterní období asi čtyř až pěti dnů, kdy je skot na luteolytický účinek prostaglandinů necitlivý.</w:t>
      </w:r>
    </w:p>
    <w:p w14:paraId="1B6B57F1" w14:textId="77777777" w:rsidR="0048689A" w:rsidRDefault="0048689A" w:rsidP="0048689A">
      <w:pPr>
        <w:rPr>
          <w:szCs w:val="22"/>
        </w:rPr>
      </w:pPr>
    </w:p>
    <w:p w14:paraId="00197E77" w14:textId="77777777" w:rsidR="0048689A" w:rsidRPr="000374F5" w:rsidRDefault="0048689A" w:rsidP="0048689A">
      <w:pPr>
        <w:rPr>
          <w:szCs w:val="22"/>
        </w:rPr>
      </w:pPr>
      <w:r w:rsidRPr="000374F5">
        <w:t>Vyvolání luteolýzy u klisen s funkčním žlutým tělískem</w:t>
      </w:r>
      <w:r>
        <w:t>:</w:t>
      </w:r>
    </w:p>
    <w:p w14:paraId="6D153A66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Některá zvířata mohou při gynekologickém vyšetření vykazovat funkční nebo perzistentní žluté tělísko nebo jednoduše normální ovariální cykly s minimálními nebo dokonce zcela chybějícími projevy chování („tichá říje“).</w:t>
      </w:r>
    </w:p>
    <w:p w14:paraId="626E4A79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V těchto případech je vhodné vyvolat luteolýzu, aby došlo k navození normální říje.</w:t>
      </w:r>
    </w:p>
    <w:p w14:paraId="3C2BEF54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it-IT" w:eastAsia="it-IT"/>
        </w:rPr>
      </w:pPr>
    </w:p>
    <w:p w14:paraId="7C894E84" w14:textId="77777777" w:rsidR="0048689A" w:rsidRPr="00C315EF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C315EF">
        <w:rPr>
          <w:color w:val="000000" w:themeColor="text1"/>
        </w:rPr>
        <w:t>Vyvolání estrálního cyklu u klisen v období plemenitby</w:t>
      </w:r>
      <w:r>
        <w:rPr>
          <w:color w:val="000000" w:themeColor="text1"/>
        </w:rPr>
        <w:t>:</w:t>
      </w:r>
      <w:r w:rsidRPr="00C315EF">
        <w:rPr>
          <w:color w:val="000000" w:themeColor="text1"/>
        </w:rPr>
        <w:t xml:space="preserve"> </w:t>
      </w:r>
    </w:p>
    <w:p w14:paraId="3A961876" w14:textId="77777777" w:rsidR="0048689A" w:rsidRPr="00321D1E" w:rsidRDefault="0048689A" w:rsidP="0048689A">
      <w:pPr>
        <w:rPr>
          <w:color w:val="000000"/>
          <w:szCs w:val="22"/>
        </w:rPr>
      </w:pPr>
      <w:r>
        <w:rPr>
          <w:color w:val="000000"/>
        </w:rPr>
        <w:t xml:space="preserve">V rámci plánovaného připařovacího programu lze navodit říji v zájmu usnadnění reprodukční účinnosti a lepšího využití hřebců během připouštěcí sezóny. Říje, která je výsledkem podávání tohoto </w:t>
      </w:r>
      <w:r>
        <w:t>veterinárního léčivého přípravku</w:t>
      </w:r>
      <w:r>
        <w:rPr>
          <w:color w:val="000000"/>
        </w:rPr>
        <w:t>, je zcela normální jak z hlediska vnějších projevů a délky trvání, tak z hlediska dozrávání folikulů, jejich počtu a velikosti.</w:t>
      </w:r>
      <w:bookmarkEnd w:id="15"/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D6289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D6289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BB0616A" w14:textId="77777777" w:rsidR="0048689A" w:rsidRDefault="0048689A" w:rsidP="0048689A">
      <w:pPr>
        <w:rPr>
          <w:szCs w:val="22"/>
        </w:rPr>
      </w:pPr>
      <w:bookmarkStart w:id="16" w:name="_Hlk100000187"/>
      <w:r>
        <w:t xml:space="preserve">V případě vyvolání říje: od 2. dne po </w:t>
      </w:r>
      <w:bookmarkStart w:id="17" w:name="_Hlk101532962"/>
      <w:r>
        <w:t xml:space="preserve">injekčním </w:t>
      </w:r>
      <w:bookmarkEnd w:id="17"/>
      <w:r>
        <w:t>podání je nutná odpovídající detekce říje.</w:t>
      </w:r>
    </w:p>
    <w:p w14:paraId="68960209" w14:textId="77777777" w:rsidR="0048689A" w:rsidRDefault="0048689A" w:rsidP="0048689A">
      <w:pPr>
        <w:rPr>
          <w:szCs w:val="22"/>
        </w:rPr>
      </w:pPr>
      <w:r>
        <w:t xml:space="preserve">Vyvolání porodu a potratu mohou zvyšovat riziko komplikací, jako je zadržení placenty, </w:t>
      </w:r>
      <w:bookmarkStart w:id="18" w:name="_Hlk101532984"/>
      <w:r>
        <w:t xml:space="preserve">úhyn </w:t>
      </w:r>
      <w:bookmarkEnd w:id="18"/>
      <w:r>
        <w:t>plodu a metritida.</w:t>
      </w:r>
    </w:p>
    <w:p w14:paraId="5DD90E13" w14:textId="77777777" w:rsidR="0048689A" w:rsidRPr="00BF03EF" w:rsidRDefault="0048689A" w:rsidP="0048689A">
      <w:pPr>
        <w:rPr>
          <w:szCs w:val="22"/>
        </w:rPr>
      </w:pPr>
      <w:r>
        <w:t>Vyvolání porodu u prasnic před 114. dnem březosti může mít za následek zvýšené riziko porodu mrtvého plodu a nutnost manuální asistence při porodu.</w:t>
      </w:r>
    </w:p>
    <w:p w14:paraId="6AFDE3F0" w14:textId="77777777" w:rsidR="0048689A" w:rsidRDefault="0048689A" w:rsidP="0048689A">
      <w:pPr>
        <w:rPr>
          <w:szCs w:val="22"/>
        </w:rPr>
      </w:pPr>
      <w:r>
        <w:t xml:space="preserve">Aby se snížilo riziko anaerobních infekcí (např. otoky, krepitace), které by mohly nastat v souvislosti s farmakologickými vlastnostmi prostaglandinů, je třeba zabránit injekční aplikaci přes kontaminované části kůže. Místa </w:t>
      </w:r>
      <w:bookmarkStart w:id="19" w:name="_Hlk101533036"/>
      <w:r>
        <w:t xml:space="preserve">injekčního podání před aplikací </w:t>
      </w:r>
      <w:bookmarkEnd w:id="19"/>
      <w:r>
        <w:t>důkladně očistěte a dezinfikujte.</w:t>
      </w:r>
    </w:p>
    <w:p w14:paraId="291E63C0" w14:textId="77777777" w:rsidR="0048689A" w:rsidRDefault="0048689A" w:rsidP="0048689A">
      <w:pPr>
        <w:rPr>
          <w:szCs w:val="22"/>
        </w:rPr>
      </w:pPr>
      <w:r>
        <w:t>Všechna zvířata by měla být po léčbě pod přiměřeným dohledem.</w:t>
      </w:r>
      <w:bookmarkEnd w:id="16"/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D62896" w:rsidP="00AA305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A24B279" w14:textId="77777777" w:rsidR="0048689A" w:rsidRDefault="0048689A" w:rsidP="0048689A">
      <w:pPr>
        <w:jc w:val="both"/>
        <w:rPr>
          <w:szCs w:val="22"/>
        </w:rPr>
      </w:pPr>
      <w:bookmarkStart w:id="20" w:name="_Hlk100000159"/>
      <w:r>
        <w:t>Prostaglandiny typu F2α, jako je kloprostenol, se mohou vstřebávat kůží a mohou způsobit bronchospasmus nebo potrat.</w:t>
      </w:r>
    </w:p>
    <w:p w14:paraId="5CDFA63F" w14:textId="77777777" w:rsidR="0048689A" w:rsidRDefault="0048689A" w:rsidP="0048689A">
      <w:pPr>
        <w:jc w:val="both"/>
        <w:rPr>
          <w:szCs w:val="22"/>
        </w:rPr>
      </w:pPr>
      <w:r>
        <w:t>Zabraňte přímému styku s kůží nebo sliznicemi uživatele.</w:t>
      </w:r>
    </w:p>
    <w:p w14:paraId="0AF99402" w14:textId="77777777" w:rsidR="0048689A" w:rsidRDefault="0048689A" w:rsidP="0048689A">
      <w:pPr>
        <w:jc w:val="both"/>
        <w:rPr>
          <w:szCs w:val="22"/>
        </w:rPr>
      </w:pPr>
      <w:r>
        <w:t>Benzylalkohol může vyvolat alergické reakce. Lidé se známou přecitlivělostí na benzylalkohol by se měli vyhnout kontaktu s tímto veterinárním léčivým přípravkem.</w:t>
      </w:r>
    </w:p>
    <w:p w14:paraId="23AFD164" w14:textId="32C085D9" w:rsidR="0048689A" w:rsidRDefault="0048689A" w:rsidP="0048689A">
      <w:pPr>
        <w:jc w:val="both"/>
        <w:rPr>
          <w:szCs w:val="22"/>
        </w:rPr>
      </w:pPr>
      <w:r>
        <w:t xml:space="preserve">Při manipulaci s tímto veterinárním léčivým přípravkem zabraňte samopodání injekce nebo styku s kůží. Těhotné ženy, ženy v plodném věku, astmatici a osoby s průduškovým či jiným onemocněním dýchacích cest by měly při manipulaci s tímto veterinárním léčivým přípravkem dbát zvýšené opatrnosti. </w:t>
      </w:r>
      <w:r w:rsidR="004F0261" w:rsidRPr="00B41D57">
        <w:t xml:space="preserve">Při </w:t>
      </w:r>
      <w:r w:rsidR="004F0261" w:rsidRPr="00B41D57">
        <w:lastRenderedPageBreak/>
        <w:t>nakládání s veterinárním léčivým přípravkem by se měly používat osobní ochranné prostředky skládající se z</w:t>
      </w:r>
      <w:r>
        <w:t xml:space="preserve"> </w:t>
      </w:r>
      <w:r w:rsidR="004F0261">
        <w:t xml:space="preserve">jednorázových nepropustných </w:t>
      </w:r>
      <w:r>
        <w:t>rukavic.</w:t>
      </w:r>
    </w:p>
    <w:p w14:paraId="2B00B9CD" w14:textId="77777777" w:rsidR="0048689A" w:rsidRDefault="0048689A" w:rsidP="0048689A">
      <w:pPr>
        <w:jc w:val="both"/>
        <w:rPr>
          <w:szCs w:val="22"/>
        </w:rPr>
      </w:pPr>
      <w:r>
        <w:t>V případě náhodného potřísnění kůže omyjte ihned vodou a mýdlem.</w:t>
      </w:r>
    </w:p>
    <w:p w14:paraId="55E4CA75" w14:textId="77777777" w:rsidR="0048689A" w:rsidRDefault="0048689A" w:rsidP="0048689A">
      <w:pPr>
        <w:jc w:val="both"/>
        <w:rPr>
          <w:szCs w:val="22"/>
        </w:rPr>
      </w:pPr>
      <w:r>
        <w:t>V případě náhodného samopodání injekčního přípravku nebo potřísnění kůže vyhledejte rychlou lékařskou pomoc, zejména pokud se objeví dušnost, a ukažte lékaři příbalovou informaci nebo etiketu.</w:t>
      </w:r>
    </w:p>
    <w:p w14:paraId="4537D44D" w14:textId="77777777" w:rsidR="0048689A" w:rsidRDefault="0048689A" w:rsidP="0048689A">
      <w:pPr>
        <w:jc w:val="both"/>
        <w:rPr>
          <w:szCs w:val="22"/>
        </w:rPr>
      </w:pPr>
      <w:r>
        <w:t>Po použití si umyjte ruce.</w:t>
      </w:r>
      <w:bookmarkEnd w:id="20"/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D62896" w:rsidP="00D11C8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0CE51CD2" w14:textId="18AAB40C" w:rsidR="00295140" w:rsidRPr="00B41D57" w:rsidRDefault="004F0261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Viz. </w:t>
      </w:r>
      <w:r w:rsidR="00D11C88">
        <w:t xml:space="preserve">bod </w:t>
      </w:r>
      <w:r>
        <w:t>5.5</w:t>
      </w:r>
      <w:r w:rsidR="00D11C88">
        <w:t>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D6289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599993A3" w14:textId="69A99591" w:rsidR="0048689A" w:rsidRPr="00321D1E" w:rsidRDefault="0048689A" w:rsidP="0048689A">
      <w:pPr>
        <w:rPr>
          <w:szCs w:val="22"/>
        </w:rPr>
      </w:pPr>
    </w:p>
    <w:p w14:paraId="669C145E" w14:textId="328DE7FE" w:rsidR="00295140" w:rsidRPr="00B41D57" w:rsidRDefault="004F0261" w:rsidP="00295140">
      <w:pPr>
        <w:rPr>
          <w:szCs w:val="22"/>
        </w:rPr>
      </w:pPr>
      <w:r>
        <w:rPr>
          <w:szCs w:val="22"/>
        </w:rPr>
        <w:t>Koně (klisny):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66B0E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D62896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D62896" w:rsidP="00617B81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5BAE0931" w:rsidR="00295140" w:rsidRPr="00B41D57" w:rsidRDefault="004F0261" w:rsidP="00617B81">
            <w:pPr>
              <w:spacing w:before="60" w:after="60"/>
              <w:rPr>
                <w:iCs/>
                <w:szCs w:val="22"/>
              </w:rPr>
            </w:pPr>
            <w:r>
              <w:t>Reakce anafylaktického typu</w:t>
            </w:r>
            <w:r w:rsidRPr="00AA305A">
              <w:rPr>
                <w:vertAlign w:val="superscript"/>
              </w:rPr>
              <w:t>1</w:t>
            </w:r>
          </w:p>
        </w:tc>
      </w:tr>
      <w:tr w:rsidR="004F0261" w14:paraId="7647A768" w14:textId="77777777" w:rsidTr="00617B81">
        <w:tc>
          <w:tcPr>
            <w:tcW w:w="1957" w:type="pct"/>
          </w:tcPr>
          <w:p w14:paraId="2F8A871F" w14:textId="29DBBF7B" w:rsidR="004F0261" w:rsidRDefault="004F0261" w:rsidP="004F0261">
            <w:pPr>
              <w:spacing w:before="60" w:after="60"/>
            </w:pPr>
            <w:r>
              <w:t>Ne</w:t>
            </w:r>
            <w:r w:rsidR="00032EA3">
              <w:t>známá četnost</w:t>
            </w:r>
          </w:p>
          <w:p w14:paraId="0CB91EE3" w14:textId="6E4DA96C" w:rsidR="004F0261" w:rsidRPr="00B41D57" w:rsidRDefault="004F0261" w:rsidP="004F0261">
            <w:pPr>
              <w:spacing w:before="60" w:after="60"/>
            </w:pPr>
            <w:r>
              <w:t>(z dostupných údajů</w:t>
            </w:r>
            <w:r w:rsidR="00032EA3">
              <w:t xml:space="preserve"> nelze určit</w:t>
            </w:r>
            <w:r>
              <w:t>)</w:t>
            </w:r>
          </w:p>
        </w:tc>
        <w:tc>
          <w:tcPr>
            <w:tcW w:w="3043" w:type="pct"/>
          </w:tcPr>
          <w:p w14:paraId="3306FCA9" w14:textId="1A5E3150" w:rsidR="004F0261" w:rsidRDefault="004F0261" w:rsidP="00617B81">
            <w:pPr>
              <w:spacing w:before="60" w:after="60"/>
            </w:pPr>
            <w:r w:rsidRPr="004F0261">
              <w:t>Zvýšené</w:t>
            </w:r>
            <w:r>
              <w:t xml:space="preserve"> pocení</w:t>
            </w:r>
            <w:r w:rsidRPr="00AA305A">
              <w:rPr>
                <w:vertAlign w:val="superscript"/>
              </w:rPr>
              <w:t>2</w:t>
            </w:r>
          </w:p>
          <w:p w14:paraId="2EBD66F8" w14:textId="346988F9" w:rsidR="004F0261" w:rsidRDefault="004F0261" w:rsidP="00617B81">
            <w:pPr>
              <w:spacing w:before="60" w:after="60"/>
            </w:pPr>
            <w:r>
              <w:t>Svalový třes</w:t>
            </w:r>
            <w:r w:rsidRPr="00AA305A">
              <w:rPr>
                <w:vertAlign w:val="superscript"/>
              </w:rPr>
              <w:t>2</w:t>
            </w:r>
            <w:r>
              <w:t xml:space="preserve">, </w:t>
            </w:r>
            <w:r w:rsidR="00032EA3">
              <w:t>n</w:t>
            </w:r>
            <w:r>
              <w:t>ekoordinovanost pohybů</w:t>
            </w:r>
          </w:p>
          <w:p w14:paraId="568CC613" w14:textId="76D13F47" w:rsidR="004F0261" w:rsidRDefault="004F0261" w:rsidP="00617B81">
            <w:pPr>
              <w:spacing w:before="60" w:after="60"/>
            </w:pPr>
            <w:r>
              <w:t>Měkký trus</w:t>
            </w:r>
            <w:r w:rsidRPr="00AA305A">
              <w:rPr>
                <w:vertAlign w:val="superscript"/>
              </w:rPr>
              <w:t>3</w:t>
            </w:r>
            <w:r>
              <w:t xml:space="preserve">, </w:t>
            </w:r>
            <w:r w:rsidR="00032EA3">
              <w:t>b</w:t>
            </w:r>
            <w:r>
              <w:t>řišní diskomfort</w:t>
            </w:r>
          </w:p>
          <w:p w14:paraId="5754C8B5" w14:textId="3927F8E3" w:rsidR="004F0261" w:rsidRDefault="004F0261" w:rsidP="00617B81">
            <w:pPr>
              <w:spacing w:before="60" w:after="60"/>
            </w:pPr>
            <w:r>
              <w:t>Zvýšená srdeční frekvence,</w:t>
            </w:r>
          </w:p>
          <w:p w14:paraId="7715DF54" w14:textId="77777777" w:rsidR="004F0261" w:rsidRDefault="004F0261" w:rsidP="00617B81">
            <w:pPr>
              <w:spacing w:before="60" w:after="60"/>
            </w:pPr>
            <w:r>
              <w:t>Zvýšená dechová frekvence,</w:t>
            </w:r>
          </w:p>
          <w:p w14:paraId="12D919DE" w14:textId="77777777" w:rsidR="004F0261" w:rsidRDefault="004F0261" w:rsidP="00617B81">
            <w:pPr>
              <w:spacing w:before="60" w:after="60"/>
            </w:pPr>
            <w:r>
              <w:t>Polehávání</w:t>
            </w:r>
          </w:p>
          <w:p w14:paraId="34E2A7AF" w14:textId="204700E4" w:rsidR="004F0261" w:rsidRPr="00B41D57" w:rsidRDefault="004F0261" w:rsidP="00617B81">
            <w:pPr>
              <w:spacing w:before="60" w:after="60"/>
            </w:pPr>
            <w:r>
              <w:t xml:space="preserve">Infekce v místě </w:t>
            </w:r>
            <w:r w:rsidR="00032EA3">
              <w:t xml:space="preserve">injekčního </w:t>
            </w:r>
            <w:r>
              <w:t>podání</w:t>
            </w:r>
            <w:r w:rsidRPr="00AA305A">
              <w:rPr>
                <w:vertAlign w:val="superscript"/>
              </w:rPr>
              <w:t>4</w:t>
            </w:r>
          </w:p>
        </w:tc>
      </w:tr>
    </w:tbl>
    <w:p w14:paraId="1D616E5A" w14:textId="27D79E78" w:rsidR="00295140" w:rsidRDefault="003F4CF2" w:rsidP="00AD0710">
      <w:pPr>
        <w:tabs>
          <w:tab w:val="clear" w:pos="567"/>
        </w:tabs>
        <w:spacing w:line="240" w:lineRule="auto"/>
      </w:pPr>
      <w:r w:rsidRPr="00AA305A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t>Mohou být život ohrožující a vyžadují rychlou veterinární péči.</w:t>
      </w:r>
    </w:p>
    <w:p w14:paraId="66213A55" w14:textId="56F93F18" w:rsidR="003F4CF2" w:rsidRDefault="003F4CF2" w:rsidP="00AD0710">
      <w:pPr>
        <w:tabs>
          <w:tab w:val="clear" w:pos="567"/>
        </w:tabs>
        <w:spacing w:line="240" w:lineRule="auto"/>
      </w:pPr>
      <w:r w:rsidRPr="00AA305A">
        <w:rPr>
          <w:vertAlign w:val="superscript"/>
        </w:rPr>
        <w:t>2</w:t>
      </w:r>
      <w:r>
        <w:t xml:space="preserve"> Tento stav se zdá být přechodný a odezní bez jakékoli léčby.</w:t>
      </w:r>
    </w:p>
    <w:p w14:paraId="3DA4DF09" w14:textId="004301A7" w:rsidR="003F4CF2" w:rsidRDefault="003F4CF2" w:rsidP="00AD0710">
      <w:pPr>
        <w:tabs>
          <w:tab w:val="clear" w:pos="567"/>
        </w:tabs>
        <w:spacing w:line="240" w:lineRule="auto"/>
      </w:pPr>
      <w:r w:rsidRPr="00AA305A"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>
        <w:t>Může se objevit krátce po podání přípravku.</w:t>
      </w:r>
    </w:p>
    <w:p w14:paraId="42028CBC" w14:textId="71C1011B" w:rsidR="003F4CF2" w:rsidRDefault="003F4CF2" w:rsidP="003F4CF2">
      <w:r w:rsidRPr="00AA305A">
        <w:rPr>
          <w:vertAlign w:val="superscript"/>
        </w:rPr>
        <w:t>4</w:t>
      </w:r>
      <w:r>
        <w:t xml:space="preserve"> Pokud anaerobní bakterie proniknou do tkáně místa injekčního podání, je pravděpodobný výskyt bakteriálních infekcí. Typickými lokálními reakcemi v důsledku anaerobní infekce jsou otok a krepitace v místě injekčního podání.</w:t>
      </w:r>
    </w:p>
    <w:p w14:paraId="110F80DD" w14:textId="77777777" w:rsidR="00E569AA" w:rsidRDefault="00E569AA" w:rsidP="003F4CF2"/>
    <w:p w14:paraId="47117FD8" w14:textId="4236C717" w:rsidR="00E569AA" w:rsidRDefault="00E569AA" w:rsidP="003F4CF2">
      <w:pPr>
        <w:rPr>
          <w:u w:val="single"/>
        </w:rPr>
      </w:pPr>
      <w:r>
        <w:rPr>
          <w:u w:val="single"/>
        </w:rPr>
        <w:t>Skot (krávy a jalovice):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569AA" w:rsidRPr="00B41D57" w14:paraId="33D13457" w14:textId="77777777" w:rsidTr="002512F7">
        <w:tc>
          <w:tcPr>
            <w:tcW w:w="1957" w:type="pct"/>
          </w:tcPr>
          <w:p w14:paraId="298D0654" w14:textId="77777777" w:rsidR="00E569AA" w:rsidRPr="00B41D57" w:rsidRDefault="00E569AA" w:rsidP="002512F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2387E23" w14:textId="77777777" w:rsidR="00E569AA" w:rsidRPr="00B41D57" w:rsidRDefault="00E569AA" w:rsidP="002512F7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C4BD257" w14:textId="77777777" w:rsidR="00E569AA" w:rsidRPr="00B41D57" w:rsidRDefault="00E569AA" w:rsidP="002512F7">
            <w:pPr>
              <w:spacing w:before="60" w:after="60"/>
              <w:rPr>
                <w:iCs/>
                <w:szCs w:val="22"/>
              </w:rPr>
            </w:pPr>
            <w:r>
              <w:t>Reakce anafylaktického typu</w:t>
            </w:r>
            <w:r w:rsidRPr="002512F7">
              <w:rPr>
                <w:vertAlign w:val="superscript"/>
              </w:rPr>
              <w:t>1</w:t>
            </w:r>
          </w:p>
        </w:tc>
      </w:tr>
      <w:tr w:rsidR="00E569AA" w:rsidRPr="00B41D57" w14:paraId="75B1477A" w14:textId="77777777" w:rsidTr="002512F7">
        <w:tc>
          <w:tcPr>
            <w:tcW w:w="1957" w:type="pct"/>
          </w:tcPr>
          <w:p w14:paraId="3CA76C97" w14:textId="77777777" w:rsidR="00032EA3" w:rsidRDefault="00032EA3" w:rsidP="00032EA3">
            <w:pPr>
              <w:spacing w:before="60" w:after="60"/>
            </w:pPr>
            <w:r>
              <w:t>Neznámá četnost</w:t>
            </w:r>
          </w:p>
          <w:p w14:paraId="36FD5332" w14:textId="0863329E" w:rsidR="00E569AA" w:rsidRPr="00B41D57" w:rsidRDefault="00032EA3" w:rsidP="002512F7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2F6D6B86" w14:textId="3ECBD8C4" w:rsidR="00E569AA" w:rsidRDefault="00E569AA" w:rsidP="002512F7">
            <w:pPr>
              <w:spacing w:before="60" w:after="60"/>
            </w:pPr>
            <w:r>
              <w:t>Zadržení placenty</w:t>
            </w:r>
            <w:r w:rsidRPr="002512F7">
              <w:rPr>
                <w:vertAlign w:val="superscript"/>
              </w:rPr>
              <w:t xml:space="preserve"> 2</w:t>
            </w:r>
          </w:p>
          <w:p w14:paraId="0B271730" w14:textId="72AFABE9" w:rsidR="00E569AA" w:rsidRPr="00B41D57" w:rsidRDefault="00E569AA" w:rsidP="002512F7">
            <w:pPr>
              <w:spacing w:before="60" w:after="60"/>
            </w:pPr>
            <w:r>
              <w:t xml:space="preserve">Infekce v místě </w:t>
            </w:r>
            <w:r w:rsidR="00032EA3">
              <w:t xml:space="preserve">injekčního </w:t>
            </w:r>
            <w:r>
              <w:t>podání</w:t>
            </w:r>
            <w:r w:rsidRPr="00AA305A">
              <w:rPr>
                <w:vertAlign w:val="superscript"/>
              </w:rPr>
              <w:t>3</w:t>
            </w:r>
          </w:p>
        </w:tc>
      </w:tr>
    </w:tbl>
    <w:p w14:paraId="61E7FEA0" w14:textId="77777777" w:rsidR="00E569AA" w:rsidRDefault="00E569AA" w:rsidP="00E569AA">
      <w:pPr>
        <w:tabs>
          <w:tab w:val="clear" w:pos="567"/>
        </w:tabs>
        <w:spacing w:line="240" w:lineRule="auto"/>
      </w:pPr>
      <w:r w:rsidRPr="002512F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t>Mohou být život ohrožující a vyžadují rychlou veterinární péči.</w:t>
      </w:r>
    </w:p>
    <w:p w14:paraId="0BED95ED" w14:textId="0546EC94" w:rsidR="00E569AA" w:rsidRDefault="00E569AA" w:rsidP="00E569AA">
      <w:pPr>
        <w:tabs>
          <w:tab w:val="clear" w:pos="567"/>
        </w:tabs>
        <w:spacing w:line="240" w:lineRule="auto"/>
      </w:pPr>
      <w:r w:rsidRPr="002512F7">
        <w:rPr>
          <w:vertAlign w:val="superscript"/>
        </w:rPr>
        <w:t>2</w:t>
      </w:r>
      <w:r>
        <w:t xml:space="preserve"> </w:t>
      </w:r>
      <w:r w:rsidR="00497D42">
        <w:t>Při použití u skotu k vyvolání porodu a v závislosti na době podání přípravku vzhledem k datu početí může dojít ke zvýšenému výskytu zadržení placenty.</w:t>
      </w:r>
    </w:p>
    <w:p w14:paraId="170C9EF9" w14:textId="4D84E824" w:rsidR="00E569AA" w:rsidRDefault="00E569AA" w:rsidP="00E569AA">
      <w:r>
        <w:rPr>
          <w:vertAlign w:val="superscript"/>
        </w:rPr>
        <w:t>3</w:t>
      </w:r>
      <w:r>
        <w:t xml:space="preserve"> Pokud anaerobní bakterie proniknou do tkáně místa injekčního podání, je pravděpodobný výskyt bakteriálních infekcí. Typickými lokálními reakcemi v důsledku anaerobní infekce jsou otok a krepitace v místě injekčního podání.</w:t>
      </w:r>
    </w:p>
    <w:p w14:paraId="48C6CED7" w14:textId="77777777" w:rsidR="00E569AA" w:rsidRDefault="00E569AA" w:rsidP="003F4CF2">
      <w:pPr>
        <w:rPr>
          <w:u w:val="single"/>
        </w:rPr>
      </w:pPr>
    </w:p>
    <w:p w14:paraId="27EFD525" w14:textId="316D26B6" w:rsidR="00E569AA" w:rsidRDefault="00497D42" w:rsidP="003F4CF2">
      <w:pPr>
        <w:rPr>
          <w:u w:val="single"/>
        </w:rPr>
      </w:pPr>
      <w:r>
        <w:rPr>
          <w:u w:val="single"/>
        </w:rPr>
        <w:t>Kozy (dospělé kozy):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97D42" w:rsidRPr="00B41D57" w14:paraId="239BFE2B" w14:textId="77777777" w:rsidTr="002512F7">
        <w:tc>
          <w:tcPr>
            <w:tcW w:w="1957" w:type="pct"/>
          </w:tcPr>
          <w:p w14:paraId="75AB9E9D" w14:textId="77777777" w:rsidR="00497D42" w:rsidRPr="00B41D57" w:rsidRDefault="00497D42" w:rsidP="002512F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53F0E299" w14:textId="77777777" w:rsidR="00497D42" w:rsidRPr="00B41D57" w:rsidRDefault="00497D42" w:rsidP="002512F7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B31E145" w14:textId="77777777" w:rsidR="00497D42" w:rsidRPr="00B41D57" w:rsidRDefault="00497D42" w:rsidP="002512F7">
            <w:pPr>
              <w:spacing w:before="60" w:after="60"/>
              <w:rPr>
                <w:iCs/>
                <w:szCs w:val="22"/>
              </w:rPr>
            </w:pPr>
            <w:r>
              <w:t>Reakce anafylaktického typu</w:t>
            </w:r>
            <w:r w:rsidRPr="002512F7">
              <w:rPr>
                <w:vertAlign w:val="superscript"/>
              </w:rPr>
              <w:t>1</w:t>
            </w:r>
          </w:p>
        </w:tc>
      </w:tr>
      <w:tr w:rsidR="00497D42" w:rsidRPr="00B41D57" w14:paraId="51CF2B5A" w14:textId="77777777" w:rsidTr="002512F7">
        <w:tc>
          <w:tcPr>
            <w:tcW w:w="1957" w:type="pct"/>
          </w:tcPr>
          <w:p w14:paraId="0920C8F1" w14:textId="77777777" w:rsidR="00616939" w:rsidRDefault="00616939" w:rsidP="00616939">
            <w:pPr>
              <w:spacing w:before="60" w:after="60"/>
            </w:pPr>
            <w:r>
              <w:t>Neznámá četnost</w:t>
            </w:r>
          </w:p>
          <w:p w14:paraId="6BAE624D" w14:textId="31DA7903" w:rsidR="00497D42" w:rsidRPr="00B41D57" w:rsidRDefault="00616939" w:rsidP="002512F7">
            <w:pPr>
              <w:spacing w:before="60" w:after="60"/>
            </w:pPr>
            <w:r>
              <w:lastRenderedPageBreak/>
              <w:t>(z dostupných údajů nelze určit)</w:t>
            </w:r>
          </w:p>
        </w:tc>
        <w:tc>
          <w:tcPr>
            <w:tcW w:w="3043" w:type="pct"/>
          </w:tcPr>
          <w:p w14:paraId="7EB0703F" w14:textId="210C1FE8" w:rsidR="00497D42" w:rsidRPr="00B41D57" w:rsidRDefault="00497D42" w:rsidP="002512F7">
            <w:pPr>
              <w:spacing w:before="60" w:after="60"/>
            </w:pPr>
            <w:r>
              <w:lastRenderedPageBreak/>
              <w:t xml:space="preserve">Infekce v místě </w:t>
            </w:r>
            <w:r w:rsidR="00616939">
              <w:t xml:space="preserve">injekčního </w:t>
            </w:r>
            <w:r>
              <w:t>podání</w:t>
            </w:r>
            <w:r>
              <w:rPr>
                <w:vertAlign w:val="superscript"/>
              </w:rPr>
              <w:t>2</w:t>
            </w:r>
          </w:p>
        </w:tc>
      </w:tr>
    </w:tbl>
    <w:p w14:paraId="2F9309F6" w14:textId="77777777" w:rsidR="00497D42" w:rsidRDefault="00497D42" w:rsidP="00497D42">
      <w:pPr>
        <w:tabs>
          <w:tab w:val="clear" w:pos="567"/>
        </w:tabs>
        <w:spacing w:line="240" w:lineRule="auto"/>
      </w:pPr>
      <w:r w:rsidRPr="002512F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t>Mohou být život ohrožující a vyžadují rychlou veterinární péči.</w:t>
      </w:r>
    </w:p>
    <w:p w14:paraId="7C095310" w14:textId="50FCE8B1" w:rsidR="00497D42" w:rsidRDefault="00497D42" w:rsidP="00497D42">
      <w:r>
        <w:rPr>
          <w:vertAlign w:val="superscript"/>
        </w:rPr>
        <w:t>2</w:t>
      </w:r>
      <w:r>
        <w:t xml:space="preserve"> Pokud anaerobní bakterie proniknou do tkáně místa injekčního podání, je pravděpodobný výskyt bakteriálních infekcí. Typickými lokálními reakcemi v důsledku anaerobní infekce jsou otok a krepitace v místě injekčního podání.</w:t>
      </w:r>
    </w:p>
    <w:p w14:paraId="1883E1EA" w14:textId="77777777" w:rsidR="00497D42" w:rsidRDefault="00497D42" w:rsidP="003F4CF2">
      <w:pPr>
        <w:rPr>
          <w:szCs w:val="22"/>
        </w:rPr>
      </w:pPr>
    </w:p>
    <w:p w14:paraId="049332AC" w14:textId="347C2F9D" w:rsidR="00497D42" w:rsidRDefault="00497D42" w:rsidP="003F4CF2">
      <w:pPr>
        <w:rPr>
          <w:u w:val="single"/>
        </w:rPr>
      </w:pPr>
      <w:r>
        <w:rPr>
          <w:u w:val="single"/>
        </w:rPr>
        <w:t>Prasata (prasnice a prasničky):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97D42" w:rsidRPr="00B41D57" w14:paraId="0E1B0D7B" w14:textId="77777777" w:rsidTr="002512F7">
        <w:tc>
          <w:tcPr>
            <w:tcW w:w="1957" w:type="pct"/>
          </w:tcPr>
          <w:p w14:paraId="47264B36" w14:textId="77777777" w:rsidR="00497D42" w:rsidRPr="00B41D57" w:rsidRDefault="00497D42" w:rsidP="002512F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3203CF9" w14:textId="77777777" w:rsidR="00497D42" w:rsidRPr="00B41D57" w:rsidRDefault="00497D42" w:rsidP="002512F7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6CFD495" w14:textId="77777777" w:rsidR="00497D42" w:rsidRPr="00B41D57" w:rsidRDefault="00497D42" w:rsidP="002512F7">
            <w:pPr>
              <w:spacing w:before="60" w:after="60"/>
              <w:rPr>
                <w:iCs/>
                <w:szCs w:val="22"/>
              </w:rPr>
            </w:pPr>
            <w:r>
              <w:t>Reakce anafylaktického typu</w:t>
            </w:r>
            <w:r w:rsidRPr="002512F7">
              <w:rPr>
                <w:vertAlign w:val="superscript"/>
              </w:rPr>
              <w:t>1</w:t>
            </w:r>
          </w:p>
        </w:tc>
      </w:tr>
      <w:tr w:rsidR="00497D42" w:rsidRPr="00B41D57" w14:paraId="74A92D76" w14:textId="77777777" w:rsidTr="002512F7">
        <w:tc>
          <w:tcPr>
            <w:tcW w:w="1957" w:type="pct"/>
          </w:tcPr>
          <w:p w14:paraId="1625BA5A" w14:textId="77777777" w:rsidR="00616939" w:rsidRDefault="00616939" w:rsidP="00616939">
            <w:pPr>
              <w:spacing w:before="60" w:after="60"/>
            </w:pPr>
            <w:r>
              <w:t>Neznámá četnost</w:t>
            </w:r>
          </w:p>
          <w:p w14:paraId="55276FD7" w14:textId="674C4059" w:rsidR="00497D42" w:rsidRPr="00B41D57" w:rsidRDefault="00616939" w:rsidP="002512F7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64FA62B2" w14:textId="4997844E" w:rsidR="00497D42" w:rsidRPr="00B41D57" w:rsidRDefault="00497D42" w:rsidP="002512F7">
            <w:pPr>
              <w:spacing w:before="60" w:after="60"/>
            </w:pPr>
            <w:r>
              <w:t xml:space="preserve">Infekce v místě </w:t>
            </w:r>
            <w:r w:rsidR="00616939">
              <w:t xml:space="preserve">injekčního </w:t>
            </w:r>
            <w:r>
              <w:t>podání</w:t>
            </w:r>
            <w:r>
              <w:rPr>
                <w:vertAlign w:val="superscript"/>
              </w:rPr>
              <w:t>2</w:t>
            </w:r>
          </w:p>
        </w:tc>
      </w:tr>
    </w:tbl>
    <w:p w14:paraId="164E1D91" w14:textId="77777777" w:rsidR="00497D42" w:rsidRDefault="00497D42" w:rsidP="00497D42">
      <w:pPr>
        <w:tabs>
          <w:tab w:val="clear" w:pos="567"/>
        </w:tabs>
        <w:spacing w:line="240" w:lineRule="auto"/>
      </w:pPr>
      <w:r w:rsidRPr="002512F7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t>Mohou být život ohrožující a vyžadují rychlou veterinární péči.</w:t>
      </w:r>
    </w:p>
    <w:p w14:paraId="4DD10B15" w14:textId="77777777" w:rsidR="00497D42" w:rsidRDefault="00497D42" w:rsidP="00497D42">
      <w:r>
        <w:rPr>
          <w:vertAlign w:val="superscript"/>
        </w:rPr>
        <w:t>2</w:t>
      </w:r>
      <w:r>
        <w:t xml:space="preserve"> Pokud anaerobní bakterie proniknou do tkáně místa injekčního podání, je pravděpodobný výskyt bakteriálních infekcí. Typickými lokálními reakcemi v důsledku anaerobní infekce jsou otok a krepitace v místě injekčního podání.</w:t>
      </w:r>
    </w:p>
    <w:p w14:paraId="53BE4FEF" w14:textId="77777777" w:rsidR="00497D42" w:rsidRDefault="00497D42" w:rsidP="003F4CF2">
      <w:pPr>
        <w:rPr>
          <w:szCs w:val="22"/>
        </w:rPr>
      </w:pPr>
    </w:p>
    <w:p w14:paraId="624446ED" w14:textId="0498B224" w:rsidR="00497D42" w:rsidRPr="00B41D57" w:rsidRDefault="00497D42" w:rsidP="00AA305A">
      <w:pPr>
        <w:rPr>
          <w:szCs w:val="22"/>
        </w:rPr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D11C88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8C25FE">
        <w:t>i</w:t>
      </w:r>
      <w:r w:rsidRPr="00B41D57">
        <w:t>.</w:t>
      </w:r>
    </w:p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D6289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BD5A7D" w14:textId="57347207" w:rsidR="00497D42" w:rsidRPr="00B41D57" w:rsidRDefault="00497D42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21A20703" w14:textId="77777777" w:rsidR="0048689A" w:rsidRPr="00321D1E" w:rsidRDefault="0048689A" w:rsidP="0048689A">
      <w:pPr>
        <w:rPr>
          <w:szCs w:val="22"/>
        </w:rPr>
      </w:pPr>
      <w:bookmarkStart w:id="21" w:name="_Hlk100000139"/>
      <w:r>
        <w:t>Tento veterinární léčivý přípravek nepodávejte březím zvířatům, pokud není cílem ukončení březosti.</w:t>
      </w:r>
    </w:p>
    <w:p w14:paraId="5FF3B037" w14:textId="77777777" w:rsidR="0048689A" w:rsidRPr="00321D1E" w:rsidRDefault="0048689A" w:rsidP="0048689A">
      <w:pPr>
        <w:spacing w:line="240" w:lineRule="auto"/>
        <w:rPr>
          <w:color w:val="000000"/>
          <w:szCs w:val="22"/>
        </w:rPr>
      </w:pPr>
      <w:r>
        <w:t xml:space="preserve">Podávání tohoto veterinárního léčivého </w:t>
      </w:r>
      <w:r>
        <w:rPr>
          <w:color w:val="000000"/>
        </w:rPr>
        <w:t>přípravku během laktace je bezpečné.</w:t>
      </w:r>
      <w:bookmarkEnd w:id="21"/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D6289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E4CAA3" w14:textId="70F6D12A" w:rsidR="0048689A" w:rsidRDefault="0048689A" w:rsidP="0048689A">
      <w:pPr>
        <w:pStyle w:val="Zpat"/>
        <w:rPr>
          <w:rFonts w:ascii="Times New Roman" w:hAnsi="Times New Roman"/>
          <w:sz w:val="22"/>
          <w:szCs w:val="22"/>
        </w:rPr>
      </w:pPr>
      <w:bookmarkStart w:id="22" w:name="_Hlk100000121"/>
      <w:r>
        <w:rPr>
          <w:rFonts w:ascii="Times New Roman" w:hAnsi="Times New Roman"/>
          <w:sz w:val="22"/>
        </w:rPr>
        <w:t>Tento veterinární léčivý přípravek nepodávejte</w:t>
      </w:r>
      <w:r>
        <w:t xml:space="preserve"> </w:t>
      </w:r>
      <w:r>
        <w:rPr>
          <w:rFonts w:ascii="Times New Roman" w:hAnsi="Times New Roman"/>
          <w:sz w:val="22"/>
        </w:rPr>
        <w:t>společně s nesteroidními protizánětlivými l</w:t>
      </w:r>
      <w:r w:rsidR="00616939">
        <w:rPr>
          <w:rFonts w:ascii="Times New Roman" w:hAnsi="Times New Roman"/>
          <w:sz w:val="22"/>
        </w:rPr>
        <w:t>átkami</w:t>
      </w:r>
      <w:r>
        <w:rPr>
          <w:rFonts w:ascii="Times New Roman" w:hAnsi="Times New Roman"/>
          <w:sz w:val="22"/>
        </w:rPr>
        <w:t>, protože inhibují endogenní syntézu prostaglandinů.</w:t>
      </w:r>
    </w:p>
    <w:p w14:paraId="693EB68A" w14:textId="77777777" w:rsidR="0048689A" w:rsidRPr="00321D1E" w:rsidRDefault="0048689A" w:rsidP="0048689A">
      <w:pPr>
        <w:pStyle w:val="Zpa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Po podání kloprostenolu může dojít ke zvýšení účinnosti jiných </w:t>
      </w:r>
      <w:bookmarkStart w:id="23" w:name="_Hlk101533098"/>
      <w:r>
        <w:rPr>
          <w:rFonts w:ascii="Times New Roman" w:hAnsi="Times New Roman"/>
          <w:sz w:val="22"/>
        </w:rPr>
        <w:t xml:space="preserve">látek s </w:t>
      </w:r>
      <w:r w:rsidRPr="00CD6C53">
        <w:rPr>
          <w:rFonts w:ascii="Times New Roman" w:hAnsi="Times New Roman"/>
          <w:sz w:val="22"/>
        </w:rPr>
        <w:t>oxytocickým ú</w:t>
      </w:r>
      <w:r>
        <w:rPr>
          <w:rFonts w:ascii="Times New Roman" w:hAnsi="Times New Roman"/>
          <w:sz w:val="22"/>
        </w:rPr>
        <w:t>činkem</w:t>
      </w:r>
      <w:bookmarkEnd w:id="23"/>
      <w:r>
        <w:rPr>
          <w:rFonts w:ascii="Times New Roman" w:hAnsi="Times New Roman"/>
          <w:sz w:val="22"/>
        </w:rPr>
        <w:t>.</w:t>
      </w:r>
      <w:bookmarkEnd w:id="22"/>
      <w:r>
        <w:rPr>
          <w:rFonts w:ascii="Times New Roman" w:hAnsi="Times New Roman"/>
          <w:sz w:val="22"/>
        </w:rPr>
        <w:t xml:space="preserve">  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D6289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882315" w14:textId="1C63A16D" w:rsidR="0048689A" w:rsidRPr="00463C5D" w:rsidRDefault="00497D42" w:rsidP="0048689A">
      <w:pPr>
        <w:tabs>
          <w:tab w:val="left" w:pos="709"/>
          <w:tab w:val="left" w:pos="851"/>
          <w:tab w:val="left" w:pos="1418"/>
          <w:tab w:val="left" w:pos="1701"/>
        </w:tabs>
        <w:rPr>
          <w:bCs/>
          <w:szCs w:val="22"/>
        </w:rPr>
      </w:pPr>
      <w:bookmarkStart w:id="24" w:name="_Hlk99998669"/>
      <w:r>
        <w:t>I</w:t>
      </w:r>
      <w:r w:rsidR="0048689A">
        <w:t>ntramuskulární podání.</w:t>
      </w:r>
      <w:bookmarkEnd w:id="24"/>
    </w:p>
    <w:p w14:paraId="2DB6AEAE" w14:textId="77777777" w:rsidR="0048689A" w:rsidRPr="00321D1E" w:rsidRDefault="0048689A" w:rsidP="0048689A">
      <w:pPr>
        <w:tabs>
          <w:tab w:val="left" w:pos="709"/>
          <w:tab w:val="left" w:pos="851"/>
          <w:tab w:val="left" w:pos="1418"/>
          <w:tab w:val="left" w:pos="1701"/>
        </w:tabs>
        <w:rPr>
          <w:b/>
          <w:szCs w:val="22"/>
        </w:rPr>
      </w:pPr>
    </w:p>
    <w:p w14:paraId="54580FB8" w14:textId="674F9312" w:rsidR="0048689A" w:rsidRPr="00321D1E" w:rsidRDefault="00497D42" w:rsidP="0048689A">
      <w:pPr>
        <w:tabs>
          <w:tab w:val="left" w:pos="709"/>
          <w:tab w:val="left" w:pos="851"/>
          <w:tab w:val="left" w:pos="1418"/>
          <w:tab w:val="left" w:pos="1701"/>
        </w:tabs>
        <w:rPr>
          <w:b/>
          <w:szCs w:val="22"/>
          <w:u w:val="single"/>
        </w:rPr>
      </w:pPr>
      <w:r>
        <w:rPr>
          <w:b/>
          <w:u w:val="single"/>
        </w:rPr>
        <w:t>Skot</w:t>
      </w:r>
    </w:p>
    <w:p w14:paraId="515FDCC3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0,500 mg kloprostenolu </w:t>
      </w:r>
      <w:r w:rsidRPr="00C315EF">
        <w:rPr>
          <w:i/>
        </w:rPr>
        <w:t>pro toto</w:t>
      </w:r>
      <w:r>
        <w:t xml:space="preserve">, což odpovídá 2 ml veterinárního léčivého přípravku </w:t>
      </w:r>
      <w:r w:rsidRPr="00C315EF">
        <w:rPr>
          <w:i/>
        </w:rPr>
        <w:t>pro toto</w:t>
      </w:r>
      <w:r>
        <w:t>.</w:t>
      </w:r>
    </w:p>
    <w:p w14:paraId="65A4F34A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4163E8B" w14:textId="77777777" w:rsidR="0048689A" w:rsidRPr="00463C5D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Synchronizace říje</w:t>
      </w:r>
    </w:p>
    <w:p w14:paraId="646A1A1C" w14:textId="77777777" w:rsidR="0048689A" w:rsidRPr="006B7AA8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Podejte jednu dávku veterinárního léčivého přípravku dvakrát v intervalu 11–14 dnů.</w:t>
      </w:r>
    </w:p>
    <w:p w14:paraId="5578862D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BC05CAB" w14:textId="77777777" w:rsidR="0048689A" w:rsidRPr="00463C5D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Léčba subestru („tichá říje“) a děložních poruch souvisejících s funkčním nebo perzistentním žlutým tělískem (endometritida, pyometra)</w:t>
      </w:r>
    </w:p>
    <w:p w14:paraId="6DAFCA4F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Podejte jednu dávku veterinárního léčivého přípravku ideálně 60. den po porodu. V případě potřeby podejte přípravek znovu nejpozději po 10–11 dnech.</w:t>
      </w:r>
    </w:p>
    <w:p w14:paraId="0BF12FC4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EC21771" w14:textId="77777777" w:rsidR="0048689A" w:rsidRPr="00463C5D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Vyvolání potratu</w:t>
      </w:r>
    </w:p>
    <w:p w14:paraId="370A2E75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Podejte jednu dávku veterinárního léčivého přípravku do 150. dne po inseminaci.</w:t>
      </w:r>
    </w:p>
    <w:p w14:paraId="1CA50144" w14:textId="77777777" w:rsidR="0048689A" w:rsidRPr="006B7AA8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12E617A" w14:textId="77777777" w:rsidR="0048689A" w:rsidRPr="00463C5D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Vyvolání porodu</w:t>
      </w:r>
    </w:p>
    <w:p w14:paraId="6B5E3BA4" w14:textId="77777777" w:rsidR="0048689A" w:rsidRPr="006B7AA8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Podejte jednu dávku veterinárního léčivého přípravku do 10 dnů před očekávaným dnem porodu.</w:t>
      </w:r>
    </w:p>
    <w:p w14:paraId="1922F6DF" w14:textId="77777777" w:rsidR="0048689A" w:rsidRPr="00321D1E" w:rsidRDefault="0048689A" w:rsidP="0048689A">
      <w:pPr>
        <w:rPr>
          <w:b/>
          <w:bCs/>
          <w:color w:val="FF0000"/>
          <w:szCs w:val="22"/>
          <w:u w:val="single"/>
        </w:rPr>
      </w:pPr>
    </w:p>
    <w:p w14:paraId="6D65846D" w14:textId="72CA1937" w:rsidR="0048689A" w:rsidRPr="00321D1E" w:rsidRDefault="00497D42" w:rsidP="0048689A">
      <w:pPr>
        <w:tabs>
          <w:tab w:val="left" w:pos="709"/>
          <w:tab w:val="left" w:pos="851"/>
          <w:tab w:val="left" w:pos="1418"/>
          <w:tab w:val="left" w:pos="1701"/>
        </w:tabs>
        <w:rPr>
          <w:b/>
          <w:szCs w:val="22"/>
          <w:u w:val="single"/>
        </w:rPr>
      </w:pPr>
      <w:r>
        <w:rPr>
          <w:b/>
          <w:u w:val="single"/>
        </w:rPr>
        <w:t xml:space="preserve">Koně </w:t>
      </w:r>
    </w:p>
    <w:p w14:paraId="6A964B5F" w14:textId="77777777" w:rsidR="0048689A" w:rsidRPr="00321D1E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Poníci: 0,125–0,250 mg kloprostenolu</w:t>
      </w:r>
      <w:r w:rsidRPr="005506A3">
        <w:t xml:space="preserve"> </w:t>
      </w:r>
      <w:r w:rsidRPr="00C315EF">
        <w:rPr>
          <w:i/>
        </w:rPr>
        <w:t>pro toto</w:t>
      </w:r>
      <w:r>
        <w:rPr>
          <w:color w:val="000000"/>
        </w:rPr>
        <w:t xml:space="preserve">, což odpovídá 0,5–1 ml </w:t>
      </w:r>
      <w:r>
        <w:t xml:space="preserve">veterinárního léčivého přípravku </w:t>
      </w:r>
      <w:r w:rsidRPr="00C315EF">
        <w:rPr>
          <w:i/>
        </w:rPr>
        <w:t>pro toto</w:t>
      </w:r>
      <w:r>
        <w:rPr>
          <w:color w:val="000000"/>
        </w:rPr>
        <w:t xml:space="preserve">. </w:t>
      </w:r>
    </w:p>
    <w:p w14:paraId="22D66C6E" w14:textId="77777777" w:rsidR="0048689A" w:rsidRPr="00C315EF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color w:val="000000"/>
          <w:szCs w:val="22"/>
        </w:rPr>
      </w:pPr>
      <w:r>
        <w:rPr>
          <w:color w:val="000000"/>
        </w:rPr>
        <w:t>Lehcí koně: 0,25 mg kloprostenolu</w:t>
      </w:r>
      <w:r w:rsidRPr="005506A3">
        <w:t xml:space="preserve"> </w:t>
      </w:r>
      <w:r w:rsidRPr="00C315EF">
        <w:rPr>
          <w:i/>
        </w:rPr>
        <w:t>pro toto</w:t>
      </w:r>
      <w:r>
        <w:rPr>
          <w:color w:val="000000"/>
        </w:rPr>
        <w:t xml:space="preserve">, což odpovídá 1 ml </w:t>
      </w:r>
      <w:r>
        <w:t xml:space="preserve">veterinárního léčivého přípravku </w:t>
      </w:r>
      <w:r w:rsidRPr="00C315EF">
        <w:rPr>
          <w:i/>
        </w:rPr>
        <w:t>pro toto</w:t>
      </w:r>
      <w:r w:rsidRPr="00C315EF">
        <w:rPr>
          <w:i/>
          <w:color w:val="000000"/>
        </w:rPr>
        <w:t>.</w:t>
      </w:r>
    </w:p>
    <w:p w14:paraId="170A878A" w14:textId="77777777" w:rsidR="0048689A" w:rsidRPr="00C315EF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color w:val="000000"/>
          <w:szCs w:val="22"/>
        </w:rPr>
      </w:pPr>
      <w:r>
        <w:rPr>
          <w:color w:val="000000"/>
        </w:rPr>
        <w:t>Těžcí koně: 0,500 mg kloprostenolu</w:t>
      </w:r>
      <w:r w:rsidRPr="005506A3">
        <w:t xml:space="preserve"> </w:t>
      </w:r>
      <w:r w:rsidRPr="00646EA2">
        <w:t>pro toto</w:t>
      </w:r>
      <w:r>
        <w:rPr>
          <w:color w:val="000000"/>
        </w:rPr>
        <w:t xml:space="preserve">, což odpovídá 2 ml </w:t>
      </w:r>
      <w:r>
        <w:t xml:space="preserve">veterinárního léčivého přípravku </w:t>
      </w:r>
      <w:r w:rsidRPr="00C315EF">
        <w:rPr>
          <w:i/>
        </w:rPr>
        <w:t>pro toto</w:t>
      </w:r>
      <w:r w:rsidRPr="00C315EF">
        <w:rPr>
          <w:i/>
          <w:color w:val="000000"/>
        </w:rPr>
        <w:t xml:space="preserve">. </w:t>
      </w:r>
    </w:p>
    <w:p w14:paraId="09FE68DE" w14:textId="77777777" w:rsidR="0048689A" w:rsidRPr="002747EF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it-IT"/>
        </w:rPr>
      </w:pPr>
    </w:p>
    <w:p w14:paraId="0009B4D0" w14:textId="77777777" w:rsidR="0048689A" w:rsidRPr="00321D1E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Pokud se neobjeví žádné známky estru, lze podání přípravku opakovat 14 dní po prvním injekčním podání.</w:t>
      </w:r>
    </w:p>
    <w:p w14:paraId="0F6A50D4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it-IT" w:eastAsia="it-IT"/>
        </w:rPr>
      </w:pPr>
    </w:p>
    <w:p w14:paraId="7CAB9082" w14:textId="4E36409A" w:rsidR="0048689A" w:rsidRPr="00321D1E" w:rsidRDefault="00497D42" w:rsidP="0048689A">
      <w:pPr>
        <w:tabs>
          <w:tab w:val="left" w:pos="709"/>
          <w:tab w:val="left" w:pos="851"/>
          <w:tab w:val="left" w:pos="1418"/>
          <w:tab w:val="left" w:pos="1701"/>
        </w:tabs>
        <w:rPr>
          <w:b/>
          <w:szCs w:val="22"/>
          <w:u w:val="single"/>
        </w:rPr>
      </w:pPr>
      <w:r>
        <w:rPr>
          <w:b/>
          <w:u w:val="single"/>
        </w:rPr>
        <w:t>Prasata</w:t>
      </w:r>
    </w:p>
    <w:p w14:paraId="5CD3BB43" w14:textId="77777777" w:rsidR="0048689A" w:rsidRPr="00321D1E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 w:themeColor="text1"/>
        </w:rPr>
        <w:t>0,175 mg kloprostenolu/</w:t>
      </w:r>
      <w:r w:rsidRPr="00065969">
        <w:t xml:space="preserve"> </w:t>
      </w:r>
      <w:r>
        <w:t>pro toto</w:t>
      </w:r>
      <w:r>
        <w:rPr>
          <w:color w:val="000000" w:themeColor="text1"/>
        </w:rPr>
        <w:t xml:space="preserve">, což odpovídá 0,7 ml </w:t>
      </w:r>
      <w:r>
        <w:t>veterinárního léčivého přípravku pro toto</w:t>
      </w:r>
      <w:r>
        <w:rPr>
          <w:color w:val="000000" w:themeColor="text1"/>
        </w:rPr>
        <w:t>, ideálně jehlou dlouhou nejméně 4 cm.</w:t>
      </w:r>
    </w:p>
    <w:p w14:paraId="41C3E0AB" w14:textId="77777777" w:rsidR="0048689A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it-IT"/>
        </w:rPr>
      </w:pPr>
    </w:p>
    <w:p w14:paraId="128EC61B" w14:textId="77777777" w:rsidR="0048689A" w:rsidRDefault="0048689A" w:rsidP="0048689A">
      <w:pPr>
        <w:rPr>
          <w:color w:val="000000"/>
          <w:szCs w:val="22"/>
        </w:rPr>
      </w:pPr>
      <w:r>
        <w:rPr>
          <w:color w:val="000000"/>
        </w:rPr>
        <w:t>Podání jednorázové dávky na konci březosti, den nebo dva dny před očekávaným datem porodu, způsobí luteolýzu a ukončení porodu do 36 hodin po podání.</w:t>
      </w:r>
    </w:p>
    <w:p w14:paraId="0A52C650" w14:textId="77777777" w:rsidR="0048689A" w:rsidRPr="00321D1E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it-IT"/>
        </w:rPr>
      </w:pPr>
    </w:p>
    <w:p w14:paraId="248EB000" w14:textId="125923E6" w:rsidR="0048689A" w:rsidRPr="00321D1E" w:rsidRDefault="00497D42" w:rsidP="0048689A">
      <w:pPr>
        <w:rPr>
          <w:b/>
          <w:bCs/>
          <w:szCs w:val="22"/>
          <w:u w:val="single"/>
        </w:rPr>
      </w:pPr>
      <w:r>
        <w:rPr>
          <w:b/>
          <w:u w:val="single"/>
        </w:rPr>
        <w:t>Kozy</w:t>
      </w:r>
    </w:p>
    <w:p w14:paraId="1102A7AD" w14:textId="77777777" w:rsidR="0048689A" w:rsidRDefault="0048689A" w:rsidP="0048689A">
      <w:pPr>
        <w:rPr>
          <w:color w:val="000000"/>
          <w:szCs w:val="22"/>
        </w:rPr>
      </w:pPr>
      <w:r>
        <w:rPr>
          <w:color w:val="000000"/>
        </w:rPr>
        <w:t>0,100 až 0,200 mg kloprostenolu</w:t>
      </w:r>
      <w:r w:rsidRPr="00065969">
        <w:t xml:space="preserve"> </w:t>
      </w:r>
      <w:r w:rsidRPr="00646EA2">
        <w:t>pro toto</w:t>
      </w:r>
      <w:r>
        <w:rPr>
          <w:color w:val="000000"/>
        </w:rPr>
        <w:t xml:space="preserve">, což odpovídá 0,4 až 0,8 ml </w:t>
      </w:r>
      <w:r>
        <w:t xml:space="preserve">veterinárního léčivého přípravku </w:t>
      </w:r>
      <w:r w:rsidRPr="00C315EF">
        <w:rPr>
          <w:i/>
        </w:rPr>
        <w:t>pro toto</w:t>
      </w:r>
      <w:r>
        <w:rPr>
          <w:color w:val="000000"/>
        </w:rPr>
        <w:t>.</w:t>
      </w:r>
    </w:p>
    <w:p w14:paraId="2DE749C0" w14:textId="77777777" w:rsidR="0048689A" w:rsidRPr="005F39DF" w:rsidRDefault="0048689A" w:rsidP="0048689A">
      <w:r>
        <w:rPr>
          <w:color w:val="000000" w:themeColor="text1"/>
        </w:rPr>
        <w:t xml:space="preserve">Podejte jednu dávku </w:t>
      </w:r>
      <w:r>
        <w:t>veterinárního léčivého přípravku</w:t>
      </w:r>
      <w:r>
        <w:rPr>
          <w:color w:val="000000" w:themeColor="text1"/>
        </w:rPr>
        <w:t xml:space="preserve">. Pokud se neobjeví žádné známky říje, lze podání přípravku opakovat 9–10 dní </w:t>
      </w:r>
      <w:r>
        <w:t xml:space="preserve">po </w:t>
      </w:r>
      <w:r>
        <w:rPr>
          <w:color w:val="000000"/>
        </w:rPr>
        <w:t>prvním injekčním podání</w:t>
      </w:r>
      <w:r>
        <w:t>.</w:t>
      </w:r>
    </w:p>
    <w:p w14:paraId="1D05238B" w14:textId="77777777" w:rsidR="0048689A" w:rsidRPr="005F39DF" w:rsidRDefault="0048689A" w:rsidP="0048689A">
      <w:pPr>
        <w:rPr>
          <w:szCs w:val="22"/>
          <w:lang w:eastAsia="it-IT"/>
        </w:rPr>
      </w:pPr>
    </w:p>
    <w:p w14:paraId="69314856" w14:textId="5301CDC3" w:rsidR="0048689A" w:rsidRPr="005F39DF" w:rsidRDefault="0048689A" w:rsidP="0048689A">
      <w:pPr>
        <w:rPr>
          <w:szCs w:val="22"/>
        </w:rPr>
      </w:pPr>
      <w:r>
        <w:t xml:space="preserve">Gumovou zátku lze bezpečně propíchnout </w:t>
      </w:r>
      <w:r w:rsidR="008C1E1B">
        <w:t xml:space="preserve">max. </w:t>
      </w:r>
      <w:r>
        <w:t>10</w:t>
      </w:r>
      <w:r w:rsidR="008C1E1B">
        <w:t>krát</w:t>
      </w:r>
      <w:r>
        <w:t xml:space="preserve">. V opačném případě se doporučuje použít </w:t>
      </w:r>
      <w:r w:rsidR="008C1E1B">
        <w:t>injekční automat</w:t>
      </w:r>
      <w:r>
        <w:t>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D6289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E7335A" w14:textId="77777777" w:rsidR="0048689A" w:rsidRDefault="0048689A" w:rsidP="0048689A">
      <w:pPr>
        <w:rPr>
          <w:szCs w:val="22"/>
        </w:rPr>
      </w:pPr>
      <w:bookmarkStart w:id="25" w:name="_Hlk100000257"/>
      <w:r>
        <w:t xml:space="preserve">Předávkování může provázet pocit neklidu a průjmy. Tyto účinky bývají obvykle přechodné a odezní bez léčby. </w:t>
      </w:r>
    </w:p>
    <w:p w14:paraId="43A9E614" w14:textId="77777777" w:rsidR="0048689A" w:rsidRPr="00321D1E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it-IT"/>
        </w:rPr>
      </w:pPr>
    </w:p>
    <w:p w14:paraId="67EC53B2" w14:textId="77777777" w:rsidR="0048689A" w:rsidRPr="00321D1E" w:rsidRDefault="0048689A" w:rsidP="0048689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U klisen se při překročení indikované dávky mohou příležitostně objevit </w:t>
      </w:r>
      <w:r>
        <w:t>klinické příznaky</w:t>
      </w:r>
      <w:r>
        <w:rPr>
          <w:color w:val="000000"/>
        </w:rPr>
        <w:t>, jako je například pocení, průjem, dyspnoe, tachykardie, koliky.</w:t>
      </w:r>
      <w:bookmarkEnd w:id="25"/>
      <w:r>
        <w:rPr>
          <w:color w:val="000000"/>
        </w:rPr>
        <w:t xml:space="preserve"> </w:t>
      </w:r>
    </w:p>
    <w:p w14:paraId="2AE9A18C" w14:textId="77777777" w:rsidR="0048689A" w:rsidRPr="00B41D57" w:rsidRDefault="004868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D62896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395C2CB6" w:rsidR="009A6509" w:rsidRDefault="00497D42" w:rsidP="009A6509">
      <w:pPr>
        <w:tabs>
          <w:tab w:val="clear" w:pos="567"/>
        </w:tabs>
        <w:spacing w:line="240" w:lineRule="auto"/>
      </w:pPr>
      <w:r w:rsidRPr="00B41D57">
        <w:t>Neuplatňuje se.</w:t>
      </w:r>
    </w:p>
    <w:p w14:paraId="12EDC496" w14:textId="77777777" w:rsidR="00497D42" w:rsidRPr="00B41D57" w:rsidRDefault="00497D42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D62896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B2273E" w14:textId="77777777" w:rsidR="0048689A" w:rsidRPr="00DF76BE" w:rsidRDefault="0048689A" w:rsidP="0048689A">
      <w:pPr>
        <w:spacing w:line="260" w:lineRule="atLeast"/>
        <w:rPr>
          <w:b/>
          <w:bCs/>
          <w:color w:val="000000" w:themeColor="text1"/>
          <w:szCs w:val="22"/>
          <w:u w:val="single"/>
        </w:rPr>
      </w:pPr>
      <w:bookmarkStart w:id="26" w:name="_Hlk99999865"/>
      <w:r>
        <w:rPr>
          <w:b/>
          <w:color w:val="000000" w:themeColor="text1"/>
          <w:u w:val="single"/>
        </w:rPr>
        <w:t>Skot, kozy, koně</w:t>
      </w:r>
    </w:p>
    <w:p w14:paraId="73985953" w14:textId="77777777" w:rsidR="0048689A" w:rsidRDefault="0048689A" w:rsidP="0048689A">
      <w:pPr>
        <w:spacing w:line="260" w:lineRule="atLeast"/>
        <w:rPr>
          <w:color w:val="000000" w:themeColor="text1"/>
          <w:szCs w:val="22"/>
        </w:rPr>
      </w:pPr>
      <w:bookmarkStart w:id="27" w:name="_Hlk99998729"/>
      <w:r>
        <w:rPr>
          <w:color w:val="000000" w:themeColor="text1"/>
        </w:rPr>
        <w:t>Maso: 1 den</w:t>
      </w:r>
    </w:p>
    <w:p w14:paraId="36A7C342" w14:textId="77777777" w:rsidR="0048689A" w:rsidRDefault="0048689A" w:rsidP="0048689A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</w:rPr>
        <w:t>Mléko: Bez ochranných lhůt.</w:t>
      </w:r>
    </w:p>
    <w:p w14:paraId="5CFA896D" w14:textId="77777777" w:rsidR="0048689A" w:rsidRDefault="0048689A" w:rsidP="0048689A">
      <w:pPr>
        <w:spacing w:line="260" w:lineRule="atLeast"/>
        <w:rPr>
          <w:rFonts w:ascii="Arial" w:eastAsia="Arial" w:hAnsi="Arial" w:cs="Arial"/>
          <w:color w:val="000000" w:themeColor="text1"/>
          <w:szCs w:val="22"/>
        </w:rPr>
      </w:pPr>
    </w:p>
    <w:bookmarkEnd w:id="27"/>
    <w:p w14:paraId="1276FB42" w14:textId="77777777" w:rsidR="0048689A" w:rsidRPr="00DF76BE" w:rsidRDefault="0048689A" w:rsidP="0048689A">
      <w:pPr>
        <w:spacing w:line="260" w:lineRule="atLeast"/>
        <w:rPr>
          <w:b/>
          <w:bCs/>
          <w:color w:val="000000" w:themeColor="text1"/>
          <w:szCs w:val="22"/>
          <w:u w:val="single"/>
        </w:rPr>
      </w:pPr>
      <w:r>
        <w:rPr>
          <w:b/>
          <w:color w:val="000000" w:themeColor="text1"/>
          <w:u w:val="single"/>
        </w:rPr>
        <w:t>Prasata</w:t>
      </w:r>
    </w:p>
    <w:p w14:paraId="7991D296" w14:textId="77777777" w:rsidR="0048689A" w:rsidRDefault="0048689A" w:rsidP="0048689A">
      <w:pPr>
        <w:spacing w:line="260" w:lineRule="atLeast"/>
        <w:rPr>
          <w:szCs w:val="22"/>
        </w:rPr>
      </w:pPr>
      <w:r>
        <w:rPr>
          <w:color w:val="000000" w:themeColor="text1"/>
        </w:rPr>
        <w:t>Maso: 1 den</w:t>
      </w:r>
      <w:bookmarkEnd w:id="26"/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4FF25FB" w:rsidR="00C114FF" w:rsidRPr="00B41D57" w:rsidRDefault="00D62896" w:rsidP="00D11C88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D11C8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073F8D8E" w:rsidR="00C114FF" w:rsidRDefault="00D62896" w:rsidP="00AA305A">
      <w:pPr>
        <w:pStyle w:val="Style1"/>
      </w:pPr>
      <w:r w:rsidRPr="00B41D57">
        <w:t>4.1</w:t>
      </w:r>
      <w:r w:rsidRPr="00B41D57">
        <w:tab/>
        <w:t>ATCvet kód:</w:t>
      </w:r>
      <w:r w:rsidR="00D11C88">
        <w:t xml:space="preserve"> </w:t>
      </w:r>
      <w:r w:rsidR="0048689A" w:rsidRPr="00AA305A">
        <w:rPr>
          <w:b w:val="0"/>
        </w:rPr>
        <w:t>QG02AD90</w:t>
      </w:r>
    </w:p>
    <w:p w14:paraId="641C0E54" w14:textId="77777777" w:rsidR="0048689A" w:rsidRPr="00B41D57" w:rsidRDefault="004868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6CE9B71C" w:rsidR="00C114FF" w:rsidRDefault="00D62896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D229399" w14:textId="77777777" w:rsidR="00D11C88" w:rsidRPr="00B41D57" w:rsidRDefault="00D11C88" w:rsidP="00B13B6D">
      <w:pPr>
        <w:pStyle w:val="Style1"/>
      </w:pPr>
    </w:p>
    <w:p w14:paraId="594367C5" w14:textId="77777777" w:rsidR="0048689A" w:rsidRDefault="0048689A" w:rsidP="0048689A">
      <w:r>
        <w:t xml:space="preserve">Kloprostenol je syntetický analog prostaglandinu strukturně příbuzný prostaglandinu F2α (PGF2α).  Jako silné luteolytikum vyvolává morfologickou regresi (luteolýzu) </w:t>
      </w:r>
      <w:r>
        <w:rPr>
          <w:i/>
        </w:rPr>
        <w:t>corpus luteum</w:t>
      </w:r>
      <w:r>
        <w:t>.</w:t>
      </w:r>
    </w:p>
    <w:p w14:paraId="09F0C3BE" w14:textId="77777777" w:rsidR="0048689A" w:rsidRDefault="0048689A" w:rsidP="0048689A">
      <w:pPr>
        <w:rPr>
          <w:szCs w:val="22"/>
        </w:rPr>
      </w:pPr>
    </w:p>
    <w:p w14:paraId="7491F4F6" w14:textId="77777777" w:rsidR="0048689A" w:rsidRDefault="0048689A" w:rsidP="0048689A">
      <w:r>
        <w:t>Dále má tato skupina látek kontrakční účinek na hladké svalstvo (děloha, gastrointestinální trakt, dýchací trakt, cévní soustava).</w:t>
      </w:r>
    </w:p>
    <w:p w14:paraId="1E6F7043" w14:textId="77777777" w:rsidR="0048689A" w:rsidRPr="00321D1E" w:rsidRDefault="0048689A" w:rsidP="0048689A">
      <w:pPr>
        <w:rPr>
          <w:szCs w:val="22"/>
        </w:rPr>
      </w:pPr>
    </w:p>
    <w:p w14:paraId="34328D96" w14:textId="77777777" w:rsidR="0048689A" w:rsidRPr="00321D1E" w:rsidRDefault="0048689A" w:rsidP="0048689A">
      <w:pPr>
        <w:rPr>
          <w:szCs w:val="22"/>
        </w:rPr>
      </w:pPr>
      <w:r>
        <w:t>Kloprostenol nemá žádnou androgenní, estrogenní ani antiprogesteronovou aktivitu a jeho účinky na březost jsou způsobeny jeho luteolytickými vlastnosti.</w:t>
      </w:r>
    </w:p>
    <w:p w14:paraId="126E85C4" w14:textId="77777777" w:rsidR="0048689A" w:rsidRPr="00321D1E" w:rsidRDefault="0048689A" w:rsidP="0048689A">
      <w:r>
        <w:t>Na rozdíl od jiných analogů prostaglandinu nehraje kloprostenol roli v aktivitě tromboxanu A2 a nezpůsobuje agregaci krevních destiček. Kloprostenol má dobré bezpečnostní rozpětí a nenarušuje fertilitu. U mláďat počatých v říji po proběhlé léčbě nebyly hlášeny žádné nežádoucí účinky.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2853A1D" w:rsidR="00C114FF" w:rsidRDefault="005A2941" w:rsidP="00B13B6D">
      <w:pPr>
        <w:pStyle w:val="Style1"/>
        <w:rPr>
          <w:b w:val="0"/>
        </w:rPr>
      </w:pPr>
      <w:bookmarkStart w:id="28" w:name="_Hlk127343568"/>
      <w:bookmarkStart w:id="29" w:name="_Hlk127276978"/>
      <w:r w:rsidRPr="00B41D57">
        <w:t>4.3</w:t>
      </w:r>
      <w:r w:rsidRPr="00B41D57">
        <w:tab/>
        <w:t>Farmakokinetika</w:t>
      </w:r>
      <w:r w:rsidRPr="00991BCB" w:rsidDel="005219B6">
        <w:rPr>
          <w:b w:val="0"/>
        </w:rPr>
        <w:t xml:space="preserve"> </w:t>
      </w:r>
      <w:bookmarkEnd w:id="28"/>
    </w:p>
    <w:p w14:paraId="1C1322BC" w14:textId="77777777" w:rsidR="00D11C88" w:rsidRPr="00B41D57" w:rsidRDefault="00D11C88" w:rsidP="00B13B6D">
      <w:pPr>
        <w:pStyle w:val="Style1"/>
      </w:pPr>
    </w:p>
    <w:p w14:paraId="065489A8" w14:textId="77777777" w:rsidR="0048689A" w:rsidRPr="00321D1E" w:rsidRDefault="0048689A" w:rsidP="0048689A">
      <w:pPr>
        <w:rPr>
          <w:szCs w:val="22"/>
        </w:rPr>
      </w:pPr>
      <w:r>
        <w:t>U prasat a skotu byly provedeny studie metabolismu s použitím sodné soli 15-</w:t>
      </w:r>
      <w:r>
        <w:rPr>
          <w:vertAlign w:val="superscript"/>
        </w:rPr>
        <w:t>14</w:t>
      </w:r>
      <w:r>
        <w:t>C-kloprostenolu (i.m. podání) ke stanovení limitů reziduí. Sodná sůl kloprostenolu se rychle vstřebává z místa injekčního podání. Následně se metabolizuje s následným vyloučením v přibližně stejném poměru močí a výkaly. U skotu a prasat se většina podané dávky vyloučí během 0–4 hodin po injekčním podání a v praxi se celá sloučenina vyloučí a metabolizuje během 24 hodin.</w:t>
      </w:r>
    </w:p>
    <w:p w14:paraId="7431A415" w14:textId="77777777" w:rsidR="0048689A" w:rsidRPr="00321D1E" w:rsidRDefault="0048689A" w:rsidP="0048689A">
      <w:pPr>
        <w:rPr>
          <w:szCs w:val="22"/>
        </w:rPr>
      </w:pPr>
      <w:r>
        <w:t>Hlavní cestou metabolizace u všech živočišných druhů se zdá být β-oxidace na tetranorové nebo dinorové kyseliny kloprostenolu.</w:t>
      </w:r>
    </w:p>
    <w:p w14:paraId="2F70A05B" w14:textId="77777777" w:rsidR="0048689A" w:rsidRPr="00321D1E" w:rsidRDefault="0048689A" w:rsidP="0048689A">
      <w:pPr>
        <w:rPr>
          <w:szCs w:val="22"/>
        </w:rPr>
      </w:pPr>
      <w:r>
        <w:t>Maximální hodnoty radioaktivity v krvi byly pozorovány během 1 hodiny po parenterálním podání sodné soli kloprostenolu a klesaly s biologickým poločasem v rozmezí od 1 do 3 hodin (v závislosti na druhu).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40F1D019" w:rsidR="00C114FF" w:rsidRDefault="00D62896" w:rsidP="00D11C88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</w:t>
      </w:r>
      <w:bookmarkEnd w:id="29"/>
      <w:r w:rsidRPr="00B41D57">
        <w:rPr>
          <w:b/>
          <w:szCs w:val="22"/>
        </w:rPr>
        <w:t>í vlastnosti</w:t>
      </w:r>
    </w:p>
    <w:p w14:paraId="14906358" w14:textId="77777777" w:rsidR="00D11C88" w:rsidRPr="00B41D57" w:rsidRDefault="00D11C88" w:rsidP="00D11C88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291ED162" w14:textId="6C3DC4AA" w:rsidR="00497D42" w:rsidRDefault="00497D42" w:rsidP="00497D42">
      <w:r w:rsidRPr="00B41D57">
        <w:t>Tento veterinární léčivý přípravek nesmí kontaminovat vodní toky, protože</w:t>
      </w:r>
      <w:r>
        <w:t xml:space="preserve"> </w:t>
      </w:r>
      <w:r w:rsidRPr="00B41D57">
        <w:t>může</w:t>
      </w:r>
      <w:r>
        <w:t xml:space="preserve"> </w:t>
      </w:r>
      <w:r w:rsidRPr="00B41D57">
        <w:t>být nebezpečný</w:t>
      </w:r>
      <w:r>
        <w:t xml:space="preserve"> </w:t>
      </w:r>
      <w:r w:rsidRPr="00B41D57">
        <w:t>pro ryby a další vodní organismy.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D62896" w:rsidP="00B13B6D">
      <w:pPr>
        <w:pStyle w:val="Style1"/>
      </w:pPr>
      <w:bookmarkStart w:id="30" w:name="_Hlk127276991"/>
      <w:r w:rsidRPr="00B41D57">
        <w:t>5.</w:t>
      </w:r>
      <w:r w:rsidRPr="00B41D57">
        <w:tab/>
        <w:t>FARMACEUTICKÉ ÚDAJE</w:t>
      </w:r>
    </w:p>
    <w:bookmarkEnd w:id="30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D62896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5CE372" w14:textId="77777777" w:rsidR="0048689A" w:rsidRPr="00321D1E" w:rsidRDefault="0048689A" w:rsidP="0048689A">
      <w:pPr>
        <w:rPr>
          <w:szCs w:val="22"/>
        </w:rPr>
      </w:pPr>
      <w:bookmarkStart w:id="31" w:name="_Hlk100000280"/>
      <w:r>
        <w:t>Studie kompatibility nejsou k dispozici, a proto tento veterinární léčivý přípravek nesmí být mísen s žádnými dalšími veterinárními léčivými přípravky.</w:t>
      </w:r>
      <w:bookmarkEnd w:id="31"/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D62896" w:rsidP="00B13B6D">
      <w:pPr>
        <w:pStyle w:val="Style1"/>
      </w:pPr>
      <w:bookmarkStart w:id="32" w:name="_Hlk127277051"/>
      <w:r w:rsidRPr="00B41D57">
        <w:t>5.2</w:t>
      </w:r>
      <w:bookmarkEnd w:id="32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6DE3AB" w14:textId="77777777" w:rsidR="0048689A" w:rsidRPr="00321D1E" w:rsidRDefault="0048689A" w:rsidP="0048689A">
      <w:pPr>
        <w:rPr>
          <w:color w:val="FF0000"/>
          <w:szCs w:val="22"/>
        </w:rPr>
      </w:pPr>
      <w:r>
        <w:t xml:space="preserve">Doba použitelnosti veterinárního léčivého přípravku v neporušeném obalu: 2 roky. </w:t>
      </w:r>
    </w:p>
    <w:p w14:paraId="1EC4045E" w14:textId="77777777" w:rsidR="0048689A" w:rsidRPr="00321D1E" w:rsidRDefault="0048689A" w:rsidP="0048689A">
      <w:pPr>
        <w:rPr>
          <w:szCs w:val="22"/>
        </w:rPr>
      </w:pPr>
      <w:r>
        <w:t>Doba použitelnosti po prvním otevření vnitřního obalu: 28 dní.</w:t>
      </w:r>
    </w:p>
    <w:p w14:paraId="36462F46" w14:textId="77777777" w:rsidR="0048689A" w:rsidRDefault="0048689A" w:rsidP="00B13B6D">
      <w:pPr>
        <w:pStyle w:val="Style1"/>
      </w:pPr>
    </w:p>
    <w:p w14:paraId="5A152485" w14:textId="4A4E3B4F" w:rsidR="00C114FF" w:rsidRPr="00B41D57" w:rsidRDefault="00D62896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E50F43" w14:textId="1D729D8B" w:rsidR="0048689A" w:rsidRPr="00321D1E" w:rsidRDefault="0048689A" w:rsidP="0048689A">
      <w:pPr>
        <w:rPr>
          <w:szCs w:val="22"/>
        </w:rPr>
      </w:pPr>
      <w:r>
        <w:t>Uchovávejte injekční lahvičku v krabičce, aby byl</w:t>
      </w:r>
      <w:r w:rsidR="001E3114">
        <w:t xml:space="preserve"> přípravek</w:t>
      </w:r>
      <w:r>
        <w:t xml:space="preserve"> chráněn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D62896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290D024A" w14:textId="77777777" w:rsidR="0048689A" w:rsidRPr="00321D1E" w:rsidRDefault="0048689A" w:rsidP="0048689A">
      <w:pPr>
        <w:rPr>
          <w:szCs w:val="22"/>
        </w:rPr>
      </w:pPr>
      <w:r>
        <w:t>Injekční lahvička z bezbarvého skla typu I uzavřená brombutylovou gumovou zátkou s hliníkovým flip off víčkem.</w:t>
      </w:r>
    </w:p>
    <w:p w14:paraId="731D9763" w14:textId="5112A44D" w:rsidR="0048689A" w:rsidRPr="00321D1E" w:rsidRDefault="0048689A" w:rsidP="0048689A">
      <w:pPr>
        <w:rPr>
          <w:szCs w:val="22"/>
        </w:rPr>
      </w:pPr>
      <w:r>
        <w:t>Krabička s jednou injekční lahvičkou o objemu 10 ml</w:t>
      </w:r>
      <w:r w:rsidR="00497D42">
        <w:t>,</w:t>
      </w:r>
      <w:r w:rsidR="00C82F45">
        <w:t xml:space="preserve"> </w:t>
      </w:r>
      <w:r>
        <w:t>20 ml</w:t>
      </w:r>
      <w:r w:rsidR="00497D42">
        <w:t>, 50 ml nebo 100 ml</w:t>
      </w:r>
      <w:r>
        <w:t>.</w:t>
      </w:r>
    </w:p>
    <w:p w14:paraId="5145AE3F" w14:textId="77777777" w:rsidR="0048689A" w:rsidRPr="00321D1E" w:rsidRDefault="0048689A" w:rsidP="0048689A">
      <w:pPr>
        <w:rPr>
          <w:szCs w:val="22"/>
        </w:rPr>
      </w:pPr>
      <w:r>
        <w:t>Krabička s 10 injekčními lahvičkami o objemu 20 ml.</w:t>
      </w:r>
    </w:p>
    <w:p w14:paraId="793A7555" w14:textId="77777777" w:rsidR="0048689A" w:rsidRPr="00321D1E" w:rsidRDefault="0048689A" w:rsidP="0048689A">
      <w:pPr>
        <w:rPr>
          <w:szCs w:val="22"/>
        </w:rPr>
      </w:pPr>
      <w: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D62896" w:rsidP="00D11C88">
      <w:pPr>
        <w:pStyle w:val="Style1"/>
        <w:keepNext/>
        <w:jc w:val="both"/>
      </w:pPr>
      <w:bookmarkStart w:id="33" w:name="_Hlk127277130"/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33"/>
    <w:p w14:paraId="4E04C78C" w14:textId="77777777" w:rsidR="00C114FF" w:rsidRPr="00B41D57" w:rsidRDefault="00C114FF" w:rsidP="00D11C8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5C2DED2B" w:rsidR="00FD1E45" w:rsidRPr="00B41D57" w:rsidRDefault="00D62896" w:rsidP="00D11C88">
      <w:pPr>
        <w:spacing w:line="240" w:lineRule="auto"/>
        <w:jc w:val="both"/>
        <w:rPr>
          <w:szCs w:val="22"/>
        </w:rPr>
      </w:pPr>
      <w:bookmarkStart w:id="34" w:name="_Hlk127277139"/>
      <w:r w:rsidRPr="00B41D57">
        <w:t>Léčivé přípravky se nesmí likvidovat prostřednictvím odpadní vody či domovního odpadu</w:t>
      </w:r>
      <w:r w:rsidR="00E2527C">
        <w:t>.</w:t>
      </w:r>
      <w:bookmarkEnd w:id="34"/>
    </w:p>
    <w:p w14:paraId="3F2195DA" w14:textId="77777777" w:rsidR="00C114FF" w:rsidRPr="00B41D57" w:rsidRDefault="00C114FF" w:rsidP="00D11C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7EAC55" w14:textId="0FE3C69A" w:rsidR="00C114FF" w:rsidRPr="00B41D57" w:rsidRDefault="007D7608" w:rsidP="00D11C88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B41D57">
        <w:t>Tento v</w:t>
      </w:r>
      <w:r w:rsidR="00D62896" w:rsidRPr="00B41D57">
        <w:t>eterinární léčivý přípravek nesmí kontaminovat vodní toky, protože  může být nebezpečný pro ryby a další vodní organismy.</w:t>
      </w:r>
    </w:p>
    <w:p w14:paraId="44A5EE14" w14:textId="77777777" w:rsidR="00FD1E45" w:rsidRPr="00B41D57" w:rsidRDefault="00FD1E45" w:rsidP="00D11C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D62896" w:rsidP="00D11C8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5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35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D62896" w:rsidP="00B13B6D">
      <w:pPr>
        <w:pStyle w:val="Style1"/>
      </w:pPr>
      <w:bookmarkStart w:id="36" w:name="_Hlk127277169"/>
      <w:r w:rsidRPr="00B41D57">
        <w:t>6.</w:t>
      </w:r>
      <w:r w:rsidRPr="00B41D57">
        <w:tab/>
        <w:t>JMÉNO DRŽITELE ROZHODNUTÍ O REGISTRACI</w:t>
      </w:r>
    </w:p>
    <w:bookmarkEnd w:id="36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891654" w14:textId="0B71B43D" w:rsidR="0048689A" w:rsidRPr="00321D1E" w:rsidRDefault="0048689A" w:rsidP="0048689A">
      <w:pPr>
        <w:rPr>
          <w:szCs w:val="22"/>
        </w:rPr>
      </w:pPr>
      <w:r w:rsidRPr="00D750A9">
        <w:rPr>
          <w:szCs w:val="22"/>
        </w:rPr>
        <w:t>Ceva Santé Animale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D62896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D7CD18B" w:rsidR="00C114FF" w:rsidRDefault="0048689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96/022/22-C</w:t>
      </w:r>
    </w:p>
    <w:p w14:paraId="1761A699" w14:textId="77777777" w:rsidR="0048689A" w:rsidRDefault="004868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DD4492" w14:textId="77777777" w:rsidR="0048689A" w:rsidRPr="00B41D57" w:rsidRDefault="004868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D62896" w:rsidP="00B13B6D">
      <w:pPr>
        <w:pStyle w:val="Style1"/>
      </w:pPr>
      <w:bookmarkStart w:id="37" w:name="_Hlk127277187"/>
      <w:r w:rsidRPr="00B41D57">
        <w:t>8.</w:t>
      </w:r>
      <w:r w:rsidRPr="00B41D57">
        <w:tab/>
        <w:t>DATUM PRVNÍ REGISTRACE</w:t>
      </w:r>
    </w:p>
    <w:bookmarkEnd w:id="37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81CED03" w:rsidR="00C114FF" w:rsidRPr="00B41D57" w:rsidRDefault="00D6289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48689A" w:rsidRPr="0048689A">
        <w:rPr>
          <w:szCs w:val="22"/>
        </w:rPr>
        <w:t xml:space="preserve"> </w:t>
      </w:r>
      <w:r w:rsidR="0048689A">
        <w:rPr>
          <w:szCs w:val="22"/>
        </w:rPr>
        <w:t>14. 6. 2022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D62896" w:rsidP="00B13B6D">
      <w:pPr>
        <w:pStyle w:val="Style1"/>
      </w:pPr>
      <w:bookmarkStart w:id="38" w:name="_Hlk127277204"/>
      <w:r w:rsidRPr="00B41D57">
        <w:t>9.</w:t>
      </w:r>
      <w:r w:rsidRPr="00B41D57">
        <w:tab/>
        <w:t>DATUM POSLEDNÍ AKTUALIZACE SOUHRNU ÚDAJŮ O PŘÍPRAVKU</w:t>
      </w:r>
    </w:p>
    <w:bookmarkEnd w:id="38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DCAA81B" w:rsidR="00C114FF" w:rsidRPr="00B41D57" w:rsidRDefault="00AA305A" w:rsidP="00A9226B">
      <w:pPr>
        <w:tabs>
          <w:tab w:val="clear" w:pos="567"/>
        </w:tabs>
        <w:spacing w:line="240" w:lineRule="auto"/>
        <w:rPr>
          <w:szCs w:val="22"/>
        </w:rPr>
      </w:pPr>
      <w:r>
        <w:t>Duben</w:t>
      </w:r>
      <w:bookmarkStart w:id="39" w:name="_GoBack"/>
      <w:bookmarkEnd w:id="39"/>
      <w:r w:rsidR="00616939">
        <w:t xml:space="preserve"> 2024</w:t>
      </w:r>
    </w:p>
    <w:p w14:paraId="2DB0E157" w14:textId="77777777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6A5DB8" w14:textId="77777777" w:rsidR="0048689A" w:rsidRPr="00B41D57" w:rsidRDefault="004868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D62896">
      <w:pPr>
        <w:pStyle w:val="Style1"/>
      </w:pPr>
      <w:bookmarkStart w:id="40" w:name="_Hlk127277223"/>
      <w:r w:rsidRPr="00B41D57">
        <w:t>10.</w:t>
      </w:r>
      <w:r w:rsidRPr="00B41D57">
        <w:tab/>
        <w:t>KLASIFIKACE VETERINÁRNÍCH LÉČIVÝCH PŘÍPRAVKŮ</w:t>
      </w:r>
    </w:p>
    <w:bookmarkEnd w:id="40"/>
    <w:p w14:paraId="1F12B426" w14:textId="77777777" w:rsidR="0078538F" w:rsidRPr="00B41D57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05E12133" w14:textId="6310BB85" w:rsidR="0078538F" w:rsidRDefault="00D62896">
      <w:pPr>
        <w:numPr>
          <w:ilvl w:val="12"/>
          <w:numId w:val="0"/>
        </w:numPr>
      </w:pPr>
      <w:bookmarkStart w:id="41" w:name="_Hlk127277247"/>
      <w:r w:rsidRPr="00B41D57">
        <w:t>Veterinární léčivý přípravek je vydáván pouze na předpis.</w:t>
      </w:r>
      <w:bookmarkEnd w:id="41"/>
    </w:p>
    <w:p w14:paraId="7F6976D3" w14:textId="77777777" w:rsidR="00310AFE" w:rsidRPr="00B41D57" w:rsidRDefault="00310AFE">
      <w:pPr>
        <w:numPr>
          <w:ilvl w:val="12"/>
          <w:numId w:val="0"/>
        </w:numPr>
        <w:rPr>
          <w:szCs w:val="22"/>
        </w:rPr>
      </w:pPr>
    </w:p>
    <w:p w14:paraId="28C35B4C" w14:textId="5D07ABCB" w:rsidR="0078538F" w:rsidRDefault="00D62896" w:rsidP="00AA305A">
      <w:pPr>
        <w:rPr>
          <w:i/>
          <w:szCs w:val="22"/>
        </w:rPr>
      </w:pPr>
      <w:bookmarkStart w:id="4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AA305A">
      <w:pPr>
        <w:rPr>
          <w:i/>
          <w:szCs w:val="22"/>
        </w:rPr>
      </w:pPr>
    </w:p>
    <w:p w14:paraId="23399C39" w14:textId="7686A0EC" w:rsidR="002977CC" w:rsidRPr="00B41D57" w:rsidRDefault="002977CC" w:rsidP="00AA305A">
      <w:pPr>
        <w:rPr>
          <w:szCs w:val="22"/>
        </w:rPr>
      </w:pPr>
      <w:r w:rsidRPr="00AA305A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AA305A">
          <w:rPr>
            <w:rStyle w:val="Hypertextovodkaz"/>
          </w:rPr>
          <w:t>https://www.uskvbl.cz</w:t>
        </w:r>
      </w:hyperlink>
      <w:r w:rsidRPr="00AA305A">
        <w:rPr>
          <w:rStyle w:val="markedcontent"/>
        </w:rPr>
        <w:t>).</w:t>
      </w:r>
    </w:p>
    <w:bookmarkEnd w:id="42"/>
    <w:p w14:paraId="72BBFD3F" w14:textId="0179A3AD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F7680C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0A50" w14:textId="77777777" w:rsidR="00741F18" w:rsidRDefault="00741F18">
      <w:pPr>
        <w:spacing w:line="240" w:lineRule="auto"/>
      </w:pPr>
      <w:r>
        <w:separator/>
      </w:r>
    </w:p>
  </w:endnote>
  <w:endnote w:type="continuationSeparator" w:id="0">
    <w:p w14:paraId="48967ECC" w14:textId="77777777" w:rsidR="00741F18" w:rsidRDefault="0074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6289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6289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014E2" w14:textId="77777777" w:rsidR="00741F18" w:rsidRDefault="00741F18">
      <w:pPr>
        <w:spacing w:line="240" w:lineRule="auto"/>
      </w:pPr>
      <w:r>
        <w:separator/>
      </w:r>
    </w:p>
  </w:footnote>
  <w:footnote w:type="continuationSeparator" w:id="0">
    <w:p w14:paraId="0EB9C3EF" w14:textId="77777777" w:rsidR="00741F18" w:rsidRDefault="00741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890AF" w14:textId="6D4AA9CD" w:rsidR="00AA1B60" w:rsidRDefault="00AA1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DA2AA9"/>
    <w:multiLevelType w:val="hybridMultilevel"/>
    <w:tmpl w:val="A002D3B0"/>
    <w:lvl w:ilvl="0" w:tplc="E19E0F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2EA3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64F1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3114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5111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7163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0E4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AFE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CF2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89A"/>
    <w:rsid w:val="00486BAD"/>
    <w:rsid w:val="00486BBE"/>
    <w:rsid w:val="00487123"/>
    <w:rsid w:val="00495A75"/>
    <w:rsid w:val="00495CAE"/>
    <w:rsid w:val="0049641F"/>
    <w:rsid w:val="00497D42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261"/>
    <w:rsid w:val="004F4DB1"/>
    <w:rsid w:val="004F64E7"/>
    <w:rsid w:val="004F6F64"/>
    <w:rsid w:val="005004EC"/>
    <w:rsid w:val="00506AAE"/>
    <w:rsid w:val="00517756"/>
    <w:rsid w:val="005202C6"/>
    <w:rsid w:val="00522B62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228B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55DD"/>
    <w:rsid w:val="005D6E04"/>
    <w:rsid w:val="005D7A12"/>
    <w:rsid w:val="005E3EBD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939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F18"/>
    <w:rsid w:val="007439DB"/>
    <w:rsid w:val="007464DA"/>
    <w:rsid w:val="007568D8"/>
    <w:rsid w:val="007616B4"/>
    <w:rsid w:val="00764DBC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77B1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1E1B"/>
    <w:rsid w:val="008C25FE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372E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52295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1B60"/>
    <w:rsid w:val="00AA305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316D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15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0FAF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2F45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6B2"/>
    <w:rsid w:val="00D028A9"/>
    <w:rsid w:val="00D0359D"/>
    <w:rsid w:val="00D04DED"/>
    <w:rsid w:val="00D1089A"/>
    <w:rsid w:val="00D116BD"/>
    <w:rsid w:val="00D11C88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2896"/>
    <w:rsid w:val="00D63575"/>
    <w:rsid w:val="00D64074"/>
    <w:rsid w:val="00D65777"/>
    <w:rsid w:val="00D66EE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388B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27C"/>
    <w:rsid w:val="00E25B7C"/>
    <w:rsid w:val="00E3076B"/>
    <w:rsid w:val="00E33224"/>
    <w:rsid w:val="00E3725B"/>
    <w:rsid w:val="00E434D1"/>
    <w:rsid w:val="00E569AA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4AE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680C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styleId="Odstavecseseznamem">
    <w:name w:val="List Paragraph"/>
    <w:basedOn w:val="Normln"/>
    <w:uiPriority w:val="34"/>
    <w:qFormat/>
    <w:rsid w:val="0048689A"/>
    <w:pPr>
      <w:suppressAutoHyphens/>
      <w:ind w:left="720"/>
      <w:contextualSpacing/>
    </w:pPr>
    <w:rPr>
      <w:lang w:eastAsia="ar-SA"/>
    </w:rPr>
  </w:style>
  <w:style w:type="character" w:customStyle="1" w:styleId="ZpatChar">
    <w:name w:val="Zápatí Char"/>
    <w:link w:val="Zpat"/>
    <w:rsid w:val="0048689A"/>
    <w:rPr>
      <w:rFonts w:ascii="Helvetica" w:hAnsi="Helvetic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F65C-77E1-4874-BADA-EA30389D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2201</Words>
  <Characters>12989</Characters>
  <Application>Microsoft Office Word</Application>
  <DocSecurity>0</DocSecurity>
  <Lines>108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29</cp:revision>
  <cp:lastPrinted>2024-04-09T11:44:00Z</cp:lastPrinted>
  <dcterms:created xsi:type="dcterms:W3CDTF">2022-10-26T09:20:00Z</dcterms:created>
  <dcterms:modified xsi:type="dcterms:W3CDTF">2024-04-09T11:44:00Z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