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2C9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546C76C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53C3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3928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08ED4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83AB6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2D2B3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869FFC9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58684EE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4A6802A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28FC611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0AE48ED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9308244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5024032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265A1AC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FF7FF5A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80BFE8E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F3165C6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51A551E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E4020DC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D398444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2941793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65900FA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F872E7F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00F8709" w14:textId="77777777" w:rsidR="001C0E23" w:rsidRDefault="001C0E23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BC24C0" w14:textId="77777777" w:rsidR="007F391A" w:rsidRDefault="007F391A" w:rsidP="007F39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B. PŘÍBALOVÁ INFORMACE</w:t>
      </w:r>
    </w:p>
    <w:p w14:paraId="7444F8DE" w14:textId="77777777" w:rsidR="007F391A" w:rsidRDefault="007F391A" w:rsidP="007F391A">
      <w:pPr>
        <w:rPr>
          <w:b/>
          <w:szCs w:val="22"/>
        </w:rPr>
      </w:pPr>
    </w:p>
    <w:p w14:paraId="150C458D" w14:textId="77777777" w:rsidR="007F391A" w:rsidRDefault="007F391A" w:rsidP="007F391A">
      <w:pPr>
        <w:rPr>
          <w:b/>
          <w:szCs w:val="22"/>
        </w:rPr>
      </w:pPr>
    </w:p>
    <w:p w14:paraId="12D4F117" w14:textId="77777777" w:rsidR="007F391A" w:rsidRDefault="007F391A" w:rsidP="007F391A">
      <w:pPr>
        <w:rPr>
          <w:b/>
          <w:szCs w:val="22"/>
        </w:rPr>
      </w:pPr>
    </w:p>
    <w:p w14:paraId="0E31C20C" w14:textId="70CC3678" w:rsidR="007F391A" w:rsidRPr="00474C50" w:rsidRDefault="007F391A" w:rsidP="007F391A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25EDECCD" w14:textId="77777777" w:rsidR="007F391A" w:rsidRDefault="00B93A8D" w:rsidP="007F391A">
      <w:pPr>
        <w:tabs>
          <w:tab w:val="clear" w:pos="567"/>
        </w:tabs>
        <w:spacing w:line="240" w:lineRule="auto"/>
        <w:ind w:left="567" w:hanging="567"/>
        <w:jc w:val="center"/>
        <w:rPr>
          <w:b/>
        </w:rPr>
      </w:pPr>
      <w:r>
        <w:rPr>
          <w:b/>
        </w:rPr>
        <w:t>Phenocillin 800 mg/g prášek pro podání v pitné vodě pro</w:t>
      </w:r>
      <w:r w:rsidR="00712E80">
        <w:rPr>
          <w:b/>
        </w:rPr>
        <w:t xml:space="preserve"> kura domácího</w:t>
      </w:r>
      <w:r>
        <w:rPr>
          <w:b/>
        </w:rPr>
        <w:t xml:space="preserve"> </w:t>
      </w:r>
    </w:p>
    <w:p w14:paraId="33A22EEB" w14:textId="77777777" w:rsidR="007F391A" w:rsidRDefault="007F391A" w:rsidP="007F391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6FEEBAEB" w14:textId="77777777" w:rsidR="007F391A" w:rsidRDefault="007F391A" w:rsidP="007F391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3485C980" w14:textId="77777777" w:rsidR="007F391A" w:rsidRPr="00474C50" w:rsidRDefault="007F391A" w:rsidP="007F391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F222C">
        <w:rPr>
          <w:b/>
          <w:highlight w:val="lightGray"/>
        </w:rPr>
        <w:t>1.</w:t>
      </w:r>
      <w:r>
        <w:tab/>
      </w:r>
      <w:r w:rsidRPr="00F153C9">
        <w:rPr>
          <w:b/>
          <w:highlight w:val="lightGray"/>
        </w:rPr>
        <w:t>JMÉNO A ADRESA DRŽITELE ROZHODNUTÍ O REGISTRACI A DRŽITELE POVOLENÍ K VÝROBĚ ODPOVĚDNÉHO ZA UVOLNĚNÍ ŠARŽE, POKUD SE NESHODUJE</w:t>
      </w:r>
    </w:p>
    <w:p w14:paraId="0B8FFE5B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2E1DAE25" w14:textId="77777777" w:rsidR="007F391A" w:rsidRPr="00F516B4" w:rsidRDefault="007F391A" w:rsidP="007F391A">
      <w:pPr>
        <w:tabs>
          <w:tab w:val="clear" w:pos="567"/>
        </w:tabs>
        <w:spacing w:line="240" w:lineRule="auto"/>
        <w:rPr>
          <w:b/>
          <w:iCs/>
          <w:szCs w:val="22"/>
        </w:rPr>
      </w:pPr>
      <w:r>
        <w:rPr>
          <w:b/>
          <w:u w:val="single"/>
        </w:rPr>
        <w:t>Držitel rozhodnutí o registraci a výrobce odpovědný za uvolnění šarže</w:t>
      </w:r>
      <w:r>
        <w:rPr>
          <w:b/>
        </w:rPr>
        <w:t>:</w:t>
      </w:r>
    </w:p>
    <w:p w14:paraId="43AE870D" w14:textId="77777777" w:rsidR="007F391A" w:rsidRPr="005C2005" w:rsidRDefault="007F391A" w:rsidP="007F391A">
      <w:pPr>
        <w:tabs>
          <w:tab w:val="clear" w:pos="567"/>
        </w:tabs>
        <w:spacing w:line="240" w:lineRule="auto"/>
        <w:ind w:left="567" w:hanging="567"/>
        <w:rPr>
          <w:rFonts w:eastAsia="SimSun"/>
          <w:szCs w:val="22"/>
        </w:rPr>
      </w:pPr>
      <w:r>
        <w:t>Eurovet Animal Health B.V.</w:t>
      </w:r>
    </w:p>
    <w:p w14:paraId="197FCDC0" w14:textId="77777777" w:rsidR="007F391A" w:rsidRPr="00E66753" w:rsidRDefault="007F391A" w:rsidP="007F391A">
      <w:pPr>
        <w:tabs>
          <w:tab w:val="clear" w:pos="567"/>
        </w:tabs>
        <w:spacing w:line="240" w:lineRule="auto"/>
        <w:ind w:left="567" w:hanging="567"/>
        <w:rPr>
          <w:rFonts w:eastAsia="SimSun"/>
          <w:szCs w:val="22"/>
        </w:rPr>
      </w:pPr>
      <w:r>
        <w:t>Handelsweg 25, 5531 AE Bladel, Nizozemsko</w:t>
      </w:r>
    </w:p>
    <w:p w14:paraId="5704F1ED" w14:textId="77777777" w:rsidR="007F391A" w:rsidRPr="00E66753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73C1ED42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2.</w:t>
      </w:r>
      <w:r>
        <w:tab/>
      </w:r>
      <w:r>
        <w:rPr>
          <w:b/>
        </w:rPr>
        <w:t>NÁZEV VETERINÁRNÍHO LÉČIVÉHO PŘÍPRAVKU</w:t>
      </w:r>
    </w:p>
    <w:p w14:paraId="71B7E6D9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372005FF" w14:textId="77777777" w:rsidR="007F391A" w:rsidRDefault="00B93A8D" w:rsidP="007F391A">
      <w:pPr>
        <w:tabs>
          <w:tab w:val="clear" w:pos="567"/>
        </w:tabs>
        <w:spacing w:line="240" w:lineRule="auto"/>
        <w:ind w:left="567" w:hanging="567"/>
      </w:pPr>
      <w:r>
        <w:t xml:space="preserve">Phenocillin 800 mg/g prášek pro podání v pitné vodě pro </w:t>
      </w:r>
      <w:r w:rsidR="00712E80">
        <w:t xml:space="preserve">kura domácího </w:t>
      </w:r>
    </w:p>
    <w:p w14:paraId="6292E884" w14:textId="77777777" w:rsidR="007F391A" w:rsidRDefault="00685C75" w:rsidP="007F391A">
      <w:pPr>
        <w:tabs>
          <w:tab w:val="clear" w:pos="567"/>
        </w:tabs>
        <w:spacing w:line="240" w:lineRule="auto"/>
        <w:ind w:left="567" w:hanging="567"/>
        <w:rPr>
          <w:snapToGrid w:val="0"/>
          <w:szCs w:val="22"/>
        </w:rPr>
      </w:pPr>
      <w:r>
        <w:rPr>
          <w:snapToGrid w:val="0"/>
        </w:rPr>
        <w:t>Phenoxymethylpenicillinum</w:t>
      </w:r>
    </w:p>
    <w:p w14:paraId="38EF0AD6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457F8963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b/>
          <w:szCs w:val="22"/>
        </w:rPr>
      </w:pPr>
      <w:r w:rsidRPr="006F222C">
        <w:rPr>
          <w:b/>
          <w:highlight w:val="lightGray"/>
        </w:rPr>
        <w:t>3.</w:t>
      </w:r>
      <w:r>
        <w:tab/>
      </w:r>
      <w:r>
        <w:rPr>
          <w:b/>
        </w:rPr>
        <w:t>OBSAH LÉČIVÝCH A OSTATNÍCH LÁTEK</w:t>
      </w:r>
    </w:p>
    <w:p w14:paraId="48C6660B" w14:textId="77777777" w:rsidR="00E5430A" w:rsidRDefault="00E5430A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</w:p>
    <w:p w14:paraId="7E458DFB" w14:textId="77777777" w:rsidR="007F391A" w:rsidRPr="002C7EE8" w:rsidRDefault="007F391A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  <w:r>
        <w:rPr>
          <w:snapToGrid w:val="0"/>
          <w:u w:val="single"/>
        </w:rPr>
        <w:t>1 g prášku obsahuje</w:t>
      </w:r>
      <w:r>
        <w:t xml:space="preserve">: </w:t>
      </w:r>
    </w:p>
    <w:p w14:paraId="4D64DC28" w14:textId="77777777" w:rsidR="007F391A" w:rsidRDefault="007F391A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</w:p>
    <w:p w14:paraId="315EBBAE" w14:textId="77777777" w:rsidR="007F391A" w:rsidRPr="002C7EE8" w:rsidRDefault="007F391A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  <w:r>
        <w:t>Léčivá látka:</w:t>
      </w:r>
    </w:p>
    <w:p w14:paraId="1A52D130" w14:textId="77777777" w:rsidR="007F391A" w:rsidRPr="002C7EE8" w:rsidRDefault="00685C75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  <w:r>
        <w:rPr>
          <w:snapToGrid w:val="0"/>
        </w:rPr>
        <w:t>Phenoxymethylpenicillinum</w:t>
      </w:r>
      <w:r w:rsidR="007F391A">
        <w:t xml:space="preserve"> 800 mg </w:t>
      </w:r>
    </w:p>
    <w:p w14:paraId="762FE325" w14:textId="6552839E" w:rsidR="007F391A" w:rsidRPr="002C7EE8" w:rsidRDefault="007F391A" w:rsidP="007F391A">
      <w:pPr>
        <w:tabs>
          <w:tab w:val="left" w:pos="1701"/>
        </w:tabs>
        <w:rPr>
          <w:iCs/>
          <w:szCs w:val="22"/>
        </w:rPr>
      </w:pPr>
      <w:r>
        <w:t xml:space="preserve">(odpovídá 887 mg </w:t>
      </w:r>
      <w:r w:rsidR="00685C75">
        <w:t xml:space="preserve">phenoxymethylpenicillinum </w:t>
      </w:r>
      <w:r w:rsidR="002E0300">
        <w:t>kalicum</w:t>
      </w:r>
      <w:r>
        <w:t>)</w:t>
      </w:r>
    </w:p>
    <w:p w14:paraId="2629F1F0" w14:textId="77777777" w:rsidR="006F32AB" w:rsidRDefault="00A44332" w:rsidP="006F32AB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  <w:r>
        <w:t>Bílý nebo téměř bílý prášek</w:t>
      </w:r>
    </w:p>
    <w:p w14:paraId="32334274" w14:textId="77777777" w:rsidR="007F391A" w:rsidRPr="002C7EE8" w:rsidRDefault="007F391A" w:rsidP="007F391A">
      <w:pPr>
        <w:widowControl w:val="0"/>
        <w:tabs>
          <w:tab w:val="left" w:pos="720"/>
          <w:tab w:val="right" w:pos="1334"/>
          <w:tab w:val="left" w:pos="2811"/>
          <w:tab w:val="left" w:pos="3492"/>
        </w:tabs>
        <w:rPr>
          <w:snapToGrid w:val="0"/>
          <w:szCs w:val="22"/>
        </w:rPr>
      </w:pPr>
    </w:p>
    <w:p w14:paraId="738933CE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6F222C">
        <w:rPr>
          <w:b/>
          <w:highlight w:val="lightGray"/>
        </w:rPr>
        <w:t>4.</w:t>
      </w:r>
      <w:r>
        <w:tab/>
      </w:r>
      <w:r>
        <w:rPr>
          <w:b/>
        </w:rPr>
        <w:t>INDIKACE</w:t>
      </w:r>
    </w:p>
    <w:p w14:paraId="7195539A" w14:textId="77777777" w:rsidR="007F391A" w:rsidRDefault="007F391A" w:rsidP="007F391A">
      <w:pPr>
        <w:tabs>
          <w:tab w:val="clear" w:pos="567"/>
        </w:tabs>
        <w:spacing w:line="240" w:lineRule="auto"/>
      </w:pPr>
    </w:p>
    <w:p w14:paraId="08B53F33" w14:textId="1D3DE25B" w:rsidR="007F391A" w:rsidRPr="00007184" w:rsidRDefault="00AB2D2D" w:rsidP="00A3630D">
      <w:pPr>
        <w:tabs>
          <w:tab w:val="clear" w:pos="567"/>
        </w:tabs>
        <w:spacing w:line="240" w:lineRule="auto"/>
        <w:jc w:val="both"/>
        <w:rPr>
          <w:rFonts w:eastAsia="SimSun"/>
          <w:b/>
          <w:szCs w:val="22"/>
        </w:rPr>
      </w:pPr>
      <w:r>
        <w:t>L</w:t>
      </w:r>
      <w:r w:rsidR="00195370">
        <w:t>éčb</w:t>
      </w:r>
      <w:r>
        <w:t>a</w:t>
      </w:r>
      <w:r w:rsidR="00195370">
        <w:t xml:space="preserve"> a metafylax</w:t>
      </w:r>
      <w:r>
        <w:t>e</w:t>
      </w:r>
      <w:r w:rsidR="00195370">
        <w:t xml:space="preserve"> nekrotické enteritidy </w:t>
      </w:r>
      <w:r>
        <w:t xml:space="preserve">vyvolané </w:t>
      </w:r>
      <w:r w:rsidR="00195370">
        <w:rPr>
          <w:i/>
        </w:rPr>
        <w:t>Clostridium perfringens</w:t>
      </w:r>
      <w:r w:rsidR="00195370">
        <w:t xml:space="preserve">. </w:t>
      </w:r>
      <w:r w:rsidR="00712E80">
        <w:t xml:space="preserve">Před metafylaktickým použitím musí být onemocnění </w:t>
      </w:r>
      <w:r>
        <w:t xml:space="preserve">aktuálně </w:t>
      </w:r>
      <w:r w:rsidR="00712E80">
        <w:t>diagnostikováno na úrovni hejna.</w:t>
      </w:r>
    </w:p>
    <w:p w14:paraId="2C462B92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1B0241AE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6F222C">
        <w:rPr>
          <w:b/>
          <w:highlight w:val="lightGray"/>
        </w:rPr>
        <w:t>5.</w:t>
      </w:r>
      <w:r>
        <w:tab/>
      </w:r>
      <w:r>
        <w:rPr>
          <w:b/>
        </w:rPr>
        <w:t>KONTRAINDIKACE</w:t>
      </w:r>
    </w:p>
    <w:p w14:paraId="409E682F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2A9A9381" w14:textId="1AF56EF8" w:rsidR="007F391A" w:rsidRDefault="00304C55" w:rsidP="007F391A">
      <w:pPr>
        <w:tabs>
          <w:tab w:val="clear" w:pos="567"/>
        </w:tabs>
        <w:spacing w:line="240" w:lineRule="auto"/>
      </w:pPr>
      <w:r w:rsidRPr="00D45968">
        <w:t xml:space="preserve">Nepoužívat </w:t>
      </w:r>
      <w:r>
        <w:t>ve známých případech</w:t>
      </w:r>
      <w:r w:rsidR="00CF1364">
        <w:t xml:space="preserve"> </w:t>
      </w:r>
      <w:r w:rsidRPr="00D45968">
        <w:t>přecitlivělosti na léčivou látku</w:t>
      </w:r>
      <w:r>
        <w:t xml:space="preserve">, </w:t>
      </w:r>
      <w:r w:rsidRPr="00327A91">
        <w:t>jiná beta-laktamová antibiotika</w:t>
      </w:r>
      <w:r w:rsidRPr="00D45968">
        <w:t xml:space="preserve"> nebo na některou z pomocných látek.</w:t>
      </w:r>
    </w:p>
    <w:p w14:paraId="216AF574" w14:textId="77777777" w:rsidR="00304C55" w:rsidRPr="00474C50" w:rsidRDefault="00304C55" w:rsidP="007F391A">
      <w:pPr>
        <w:tabs>
          <w:tab w:val="clear" w:pos="567"/>
        </w:tabs>
        <w:spacing w:line="240" w:lineRule="auto"/>
        <w:rPr>
          <w:szCs w:val="22"/>
        </w:rPr>
      </w:pPr>
    </w:p>
    <w:p w14:paraId="07197A35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6.</w:t>
      </w:r>
      <w:r>
        <w:tab/>
      </w:r>
      <w:r>
        <w:rPr>
          <w:b/>
        </w:rPr>
        <w:t>NEŽÁDOUCÍ ÚČINKY</w:t>
      </w:r>
    </w:p>
    <w:p w14:paraId="7771FB86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6ACB2D54" w14:textId="77777777" w:rsidR="00712E80" w:rsidRPr="008D167D" w:rsidRDefault="00712E80" w:rsidP="00A3630D">
      <w:pPr>
        <w:widowControl w:val="0"/>
        <w:autoSpaceDE w:val="0"/>
        <w:autoSpaceDN w:val="0"/>
        <w:jc w:val="both"/>
      </w:pPr>
      <w:r>
        <w:t>Přestože nebyly po podání přípravku pozorovány nežádoucí účinky, penicil</w:t>
      </w:r>
      <w:r w:rsidR="00C1213E">
        <w:t>i</w:t>
      </w:r>
      <w:r>
        <w:t>ny mohou vyvolat zvracení, průjem a změnu střevní mikroflóry selekcí rezistentních bakterií.</w:t>
      </w:r>
    </w:p>
    <w:p w14:paraId="0F96CDDB" w14:textId="77777777" w:rsidR="007F391A" w:rsidRPr="00474C50" w:rsidRDefault="007F391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71A3EF" w14:textId="124DDA25" w:rsidR="0030300A" w:rsidRPr="0030300A" w:rsidRDefault="0030300A" w:rsidP="0030300A">
      <w:pPr>
        <w:tabs>
          <w:tab w:val="clear" w:pos="567"/>
        </w:tabs>
        <w:spacing w:line="240" w:lineRule="auto"/>
        <w:rPr>
          <w:lang w:eastAsia="en-US" w:bidi="ar-SA"/>
        </w:rPr>
      </w:pPr>
      <w:r w:rsidRPr="0030300A">
        <w:rPr>
          <w:lang w:eastAsia="en-US" w:bidi="ar-SA"/>
        </w:rPr>
        <w:t>Jestliže zaznamenáte kterýkoliv z nežádoucích účinků</w:t>
      </w:r>
      <w:r w:rsidR="00CF1364">
        <w:rPr>
          <w:lang w:eastAsia="en-US" w:bidi="ar-SA"/>
        </w:rPr>
        <w:t>,</w:t>
      </w:r>
      <w:r w:rsidRPr="0030300A">
        <w:rPr>
          <w:lang w:eastAsia="en-US" w:bidi="ar-SA"/>
        </w:rPr>
        <w:t xml:space="preserve"> a to i takové, které nejsou uvedeny v této příbalové informaci, nebo si myslíte, že léčivo </w:t>
      </w:r>
      <w:r w:rsidR="00545BBD">
        <w:rPr>
          <w:lang w:eastAsia="en-US" w:bidi="ar-SA"/>
        </w:rPr>
        <w:t>není účinné</w:t>
      </w:r>
      <w:r w:rsidRPr="0030300A">
        <w:rPr>
          <w:lang w:eastAsia="en-US" w:bidi="ar-SA"/>
        </w:rPr>
        <w:t>, oznamte to, prosím, vašemu veterinárnímu lékaři.</w:t>
      </w:r>
    </w:p>
    <w:p w14:paraId="404985A2" w14:textId="255796FE" w:rsidR="007F391A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2C486079" w14:textId="32282D45" w:rsidR="00304C55" w:rsidRDefault="00304C55" w:rsidP="007F391A">
      <w:pPr>
        <w:tabs>
          <w:tab w:val="clear" w:pos="567"/>
        </w:tabs>
        <w:spacing w:line="240" w:lineRule="auto"/>
      </w:pPr>
      <w:r w:rsidRPr="00F30D3F">
        <w:t>M</w:t>
      </w:r>
      <w:r w:rsidRPr="000A6B2C">
        <w:t>ůžete</w:t>
      </w:r>
      <w:r w:rsidRPr="00F30D3F">
        <w:t xml:space="preserve"> také</w:t>
      </w:r>
      <w:r w:rsidRPr="000A6B2C">
        <w:t xml:space="preserve"> hlásit prostřednictvím </w:t>
      </w:r>
      <w:r w:rsidR="00CF1364">
        <w:t>celostátního</w:t>
      </w:r>
      <w:r w:rsidRPr="000A6B2C">
        <w:t xml:space="preserve"> systému hlášení nežádoucích účinků</w:t>
      </w:r>
      <w:r w:rsidR="00CF1364">
        <w:t>.</w:t>
      </w:r>
    </w:p>
    <w:p w14:paraId="48F0905B" w14:textId="77777777" w:rsidR="00CF1364" w:rsidRPr="000F652B" w:rsidRDefault="00CF1364" w:rsidP="00CF1364">
      <w:r w:rsidRPr="000F652B">
        <w:t xml:space="preserve">Nežádoucí účinky můžete hlásit prostřednictvím formuláře na webových stránkách ÚSKVBL elektronicky, nebo také přímo na adresu: </w:t>
      </w:r>
    </w:p>
    <w:p w14:paraId="4FDED118" w14:textId="77777777" w:rsidR="00CF1364" w:rsidRPr="000F652B" w:rsidRDefault="00CF1364" w:rsidP="00CF1364">
      <w:r w:rsidRPr="000F652B">
        <w:t xml:space="preserve">Ústav pro státní kontrolu veterinárních biopreparátů a léčiv </w:t>
      </w:r>
    </w:p>
    <w:p w14:paraId="32085DFC" w14:textId="77777777" w:rsidR="00CF1364" w:rsidRPr="000F652B" w:rsidRDefault="00CF1364" w:rsidP="00CF1364">
      <w:r w:rsidRPr="000F652B">
        <w:t>Hudcova 56a</w:t>
      </w:r>
    </w:p>
    <w:p w14:paraId="060A6557" w14:textId="77777777" w:rsidR="00CF1364" w:rsidRDefault="00CF1364" w:rsidP="00CF1364">
      <w:r w:rsidRPr="000F652B">
        <w:t>621 00 Brno</w:t>
      </w:r>
    </w:p>
    <w:p w14:paraId="57DE7772" w14:textId="77777777" w:rsidR="00CF1364" w:rsidRDefault="00CF1364" w:rsidP="00CF1364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14:paraId="4CFEA197" w14:textId="0C993D23" w:rsidR="00CF1364" w:rsidRDefault="00CF1364" w:rsidP="00CF1364">
      <w:pPr>
        <w:tabs>
          <w:tab w:val="clear" w:pos="567"/>
        </w:tabs>
        <w:spacing w:line="240" w:lineRule="auto"/>
      </w:pPr>
      <w:r w:rsidRPr="000F652B">
        <w:t xml:space="preserve">Webové stránky: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14:paraId="61B7F904" w14:textId="77777777" w:rsidR="00304C55" w:rsidRPr="00474C50" w:rsidRDefault="00304C55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F98786F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7.</w:t>
      </w:r>
      <w:r>
        <w:tab/>
      </w:r>
      <w:r>
        <w:rPr>
          <w:b/>
        </w:rPr>
        <w:t>CÍLOVÝ DRUH ZVÍŘAT</w:t>
      </w:r>
    </w:p>
    <w:p w14:paraId="77511955" w14:textId="77777777" w:rsidR="007F391A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7D45B801" w14:textId="72571841" w:rsidR="007F391A" w:rsidRPr="00474C50" w:rsidRDefault="00712E80" w:rsidP="007F391A">
      <w:pPr>
        <w:tabs>
          <w:tab w:val="clear" w:pos="567"/>
        </w:tabs>
        <w:spacing w:line="240" w:lineRule="auto"/>
        <w:rPr>
          <w:szCs w:val="22"/>
        </w:rPr>
      </w:pPr>
      <w:r>
        <w:t>Kur domácí</w:t>
      </w:r>
      <w:r w:rsidR="007F391A">
        <w:t>.</w:t>
      </w:r>
    </w:p>
    <w:p w14:paraId="76B0EE61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7CB5EE5B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8.</w:t>
      </w:r>
      <w:r>
        <w:tab/>
      </w:r>
      <w:r>
        <w:rPr>
          <w:b/>
        </w:rPr>
        <w:t>DÁVKOVÁNÍ PRO KAŽDÝ DRUH, CESTA(Y) A ZPŮSOB PODÁNÍ</w:t>
      </w:r>
    </w:p>
    <w:p w14:paraId="6A860148" w14:textId="77777777" w:rsidR="007F391A" w:rsidRDefault="007F391A" w:rsidP="007F391A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eastAsia="SimSun"/>
          <w:szCs w:val="22"/>
        </w:rPr>
      </w:pPr>
    </w:p>
    <w:p w14:paraId="31EC1A79" w14:textId="124A5AEB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  <w:r>
        <w:t>13,5 – 20 mg fenoxymetylpenicil</w:t>
      </w:r>
      <w:r w:rsidR="00C1213E">
        <w:t>i</w:t>
      </w:r>
      <w:r>
        <w:t xml:space="preserve">nu na kg </w:t>
      </w:r>
      <w:r w:rsidR="00712E80">
        <w:t>živé</w:t>
      </w:r>
      <w:r>
        <w:t xml:space="preserve"> hmotnosti denně, což odpovídá 17 – 25 mg přípravku na kg </w:t>
      </w:r>
      <w:r w:rsidR="00712E80">
        <w:t>živé</w:t>
      </w:r>
      <w:r>
        <w:t xml:space="preserve"> hmotnosti na den po</w:t>
      </w:r>
      <w:r w:rsidR="00712E80">
        <w:t xml:space="preserve"> dobu</w:t>
      </w:r>
      <w:r>
        <w:t xml:space="preserve"> 5 dnů. </w:t>
      </w:r>
    </w:p>
    <w:p w14:paraId="49C05C56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</w:p>
    <w:p w14:paraId="73A33AE9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  <w:r>
        <w:t xml:space="preserve">Způsob podání: perorální podání, rozpustit v pitné vodě a použít do 12 hodin. Maximální rozpustnost je 100 g přípravku na litr pitné vody. </w:t>
      </w:r>
    </w:p>
    <w:p w14:paraId="5817FD85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</w:p>
    <w:p w14:paraId="2B65C157" w14:textId="77777777" w:rsidR="007F391A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  <w:r>
        <w:t xml:space="preserve">Ke stanovení množství přípravku </w:t>
      </w:r>
      <w:r w:rsidR="00712E80">
        <w:t xml:space="preserve">v </w:t>
      </w:r>
      <w:r>
        <w:t xml:space="preserve">gramech, které se má přidat do 1000 litrů vody, lze použít následující výpočet: </w:t>
      </w:r>
    </w:p>
    <w:p w14:paraId="79B70144" w14:textId="77777777" w:rsidR="0096411A" w:rsidRDefault="0096411A" w:rsidP="007F391A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eastAsia="SimSun"/>
          <w:szCs w:val="22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964"/>
        <w:gridCol w:w="404"/>
        <w:gridCol w:w="2236"/>
        <w:gridCol w:w="316"/>
        <w:gridCol w:w="1447"/>
        <w:gridCol w:w="420"/>
        <w:gridCol w:w="1126"/>
        <w:gridCol w:w="419"/>
        <w:gridCol w:w="1450"/>
      </w:tblGrid>
      <w:tr w:rsidR="0096411A" w14:paraId="52701562" w14:textId="77777777" w:rsidTr="00F516B4"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85A9" w14:textId="77777777" w:rsidR="0096411A" w:rsidRPr="0099747B" w:rsidRDefault="0096411A" w:rsidP="00A16A0B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mg přípravku/kg </w:t>
            </w:r>
            <w:r w:rsidR="00A16A0B">
              <w:rPr>
                <w:sz w:val="20"/>
              </w:rPr>
              <w:t xml:space="preserve">živé </w:t>
            </w:r>
            <w:r>
              <w:rPr>
                <w:sz w:val="20"/>
              </w:rPr>
              <w:t>hmotnosti/den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9D41" w14:textId="77777777" w:rsidR="0096411A" w:rsidRPr="005F172B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9A002" w14:textId="498EB306" w:rsidR="0096411A" w:rsidRPr="0099747B" w:rsidRDefault="0096411A" w:rsidP="002C4ED7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průměrná </w:t>
            </w:r>
            <w:r w:rsidR="00A16A0B">
              <w:rPr>
                <w:sz w:val="20"/>
              </w:rPr>
              <w:t xml:space="preserve">živá </w:t>
            </w:r>
            <w:r>
              <w:rPr>
                <w:sz w:val="20"/>
              </w:rPr>
              <w:t xml:space="preserve">hmotnost </w:t>
            </w:r>
            <w:r w:rsidR="00A16A0B">
              <w:rPr>
                <w:sz w:val="20"/>
              </w:rPr>
              <w:t xml:space="preserve">jednotlivých </w:t>
            </w:r>
            <w:r>
              <w:rPr>
                <w:sz w:val="20"/>
              </w:rPr>
              <w:t>zvířat (kg)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1496" w14:textId="77777777" w:rsidR="0096411A" w:rsidRPr="005F172B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09C" w14:textId="77777777" w:rsidR="0096411A" w:rsidRPr="0099747B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počet zvířat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61A1CA7" w14:textId="77777777" w:rsidR="0096411A" w:rsidRPr="00E75BC1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9ED30" w14:textId="0276DC3A" w:rsidR="0096411A" w:rsidRPr="005F172B" w:rsidRDefault="0096411A" w:rsidP="002C4ED7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mg přípravku </w:t>
            </w:r>
            <w:r w:rsidR="002C4ED7">
              <w:rPr>
                <w:sz w:val="20"/>
              </w:rPr>
              <w:t>/litr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79D1EF5" w14:textId="77777777" w:rsidR="0096411A" w:rsidRPr="005F172B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B972A5" w14:textId="77777777" w:rsidR="0096411A" w:rsidRPr="005F172B" w:rsidRDefault="0096411A" w:rsidP="00F422D5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 přípravku/1000 l vody</w:t>
            </w:r>
          </w:p>
        </w:tc>
      </w:tr>
      <w:tr w:rsidR="0096411A" w14:paraId="6265C16E" w14:textId="77777777" w:rsidTr="00F516B4">
        <w:trPr>
          <w:trHeight w:val="520"/>
        </w:trPr>
        <w:tc>
          <w:tcPr>
            <w:tcW w:w="65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12A97" w14:textId="39B1012F" w:rsidR="0096411A" w:rsidRPr="0099747B" w:rsidRDefault="0096411A" w:rsidP="002C4ED7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Celková spotřeba vody (litry) </w:t>
            </w:r>
            <w:r w:rsidR="002C4ED7">
              <w:rPr>
                <w:sz w:val="20"/>
              </w:rPr>
              <w:t>skupinou zvířa</w:t>
            </w:r>
            <w:r w:rsidR="001C63D4">
              <w:rPr>
                <w:sz w:val="20"/>
              </w:rPr>
              <w:t>t</w:t>
            </w:r>
            <w:r>
              <w:rPr>
                <w:sz w:val="20"/>
              </w:rPr>
              <w:t>, kter</w:t>
            </w:r>
            <w:r w:rsidR="00A16A0B">
              <w:rPr>
                <w:sz w:val="20"/>
              </w:rPr>
              <w:t>á</w:t>
            </w:r>
            <w:r>
              <w:rPr>
                <w:sz w:val="20"/>
              </w:rPr>
              <w:t xml:space="preserve"> se má léčit, v předchozí den</w:t>
            </w:r>
          </w:p>
        </w:tc>
        <w:tc>
          <w:tcPr>
            <w:tcW w:w="426" w:type="dxa"/>
            <w:vMerge/>
            <w:shd w:val="clear" w:color="auto" w:fill="auto"/>
          </w:tcPr>
          <w:p w14:paraId="2EFBC277" w14:textId="77777777" w:rsidR="0096411A" w:rsidRDefault="0096411A" w:rsidP="00F422D5">
            <w:pPr>
              <w:widowControl w:val="0"/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14:paraId="0B602062" w14:textId="77777777" w:rsidR="0096411A" w:rsidRDefault="0096411A" w:rsidP="00F422D5">
            <w:pPr>
              <w:widowControl w:val="0"/>
              <w:spacing w:line="240" w:lineRule="auto"/>
            </w:pPr>
          </w:p>
        </w:tc>
        <w:tc>
          <w:tcPr>
            <w:tcW w:w="425" w:type="dxa"/>
            <w:vMerge/>
            <w:shd w:val="clear" w:color="auto" w:fill="auto"/>
          </w:tcPr>
          <w:p w14:paraId="01C6F838" w14:textId="77777777" w:rsidR="0096411A" w:rsidRDefault="0096411A" w:rsidP="00F422D5">
            <w:pPr>
              <w:widowControl w:val="0"/>
              <w:spacing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492D1AB1" w14:textId="77777777" w:rsidR="0096411A" w:rsidRDefault="0096411A" w:rsidP="00F422D5">
            <w:pPr>
              <w:widowControl w:val="0"/>
              <w:spacing w:line="240" w:lineRule="auto"/>
            </w:pPr>
          </w:p>
        </w:tc>
      </w:tr>
    </w:tbl>
    <w:p w14:paraId="74BA9497" w14:textId="77777777" w:rsidR="007F391A" w:rsidRPr="00D45C5C" w:rsidRDefault="007F391A" w:rsidP="007F391A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eastAsia="SimSun"/>
          <w:szCs w:val="22"/>
        </w:rPr>
      </w:pPr>
      <w:r>
        <w:t xml:space="preserve"> </w:t>
      </w:r>
    </w:p>
    <w:p w14:paraId="34E359D2" w14:textId="093E7CAB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  <w:r>
        <w:t>Pro správný výpočet požadovaného</w:t>
      </w:r>
      <w:r w:rsidR="00A16A0B">
        <w:t xml:space="preserve"> množství přípravku</w:t>
      </w:r>
      <w:r>
        <w:t xml:space="preserve"> se doporučuje použít kalibrovanou váhu. S ohledem na to, že nemocná zvířata mohou pít méně, se doporučuje </w:t>
      </w:r>
      <w:r w:rsidR="00A16A0B">
        <w:t>zahájit</w:t>
      </w:r>
      <w:r>
        <w:t xml:space="preserve"> léčbu s </w:t>
      </w:r>
      <w:r w:rsidR="00304C55" w:rsidRPr="00304C55">
        <w:t xml:space="preserve"> </w:t>
      </w:r>
      <w:r w:rsidR="00304C55" w:rsidRPr="00327A91">
        <w:t>nejvyšší povolenou</w:t>
      </w:r>
      <w:r>
        <w:t xml:space="preserve"> dávkou, aby se kompenzoval případný nižší příjem </w:t>
      </w:r>
      <w:r w:rsidR="0014673E" w:rsidRPr="00D45968">
        <w:t>vody</w:t>
      </w:r>
      <w:r w:rsidR="0014673E">
        <w:t xml:space="preserve"> s obsahem přípravku</w:t>
      </w:r>
      <w:r>
        <w:t>.</w:t>
      </w:r>
    </w:p>
    <w:p w14:paraId="10F99599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</w:p>
    <w:p w14:paraId="51ECCCEC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  <w:r>
        <w:t xml:space="preserve">Pro zajištění správného dávkování je třeba co nejpřesněji určit </w:t>
      </w:r>
      <w:r w:rsidR="00A16A0B">
        <w:t xml:space="preserve">živou </w:t>
      </w:r>
      <w:r>
        <w:t xml:space="preserve">hmotnost zvířat, aby se zabránilo </w:t>
      </w:r>
      <w:r w:rsidR="00A16A0B">
        <w:t>poddávkování.</w:t>
      </w:r>
    </w:p>
    <w:p w14:paraId="047E585F" w14:textId="77777777" w:rsidR="007F391A" w:rsidRPr="00D45C5C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SimSun"/>
          <w:szCs w:val="22"/>
        </w:rPr>
      </w:pPr>
    </w:p>
    <w:p w14:paraId="7E10F7CB" w14:textId="3D41534F" w:rsidR="007F391A" w:rsidRPr="00474C50" w:rsidRDefault="007F391A" w:rsidP="00A3630D">
      <w:pPr>
        <w:tabs>
          <w:tab w:val="clear" w:pos="56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iCs/>
          <w:szCs w:val="22"/>
        </w:rPr>
      </w:pPr>
      <w:r>
        <w:t>Během období</w:t>
      </w:r>
      <w:r w:rsidR="00A16A0B">
        <w:t xml:space="preserve"> léčby</w:t>
      </w:r>
      <w:r>
        <w:t xml:space="preserve"> by neměl být k dispozici žádný jiný zdroj pitné vody. V případech změněné spotřeby pitné vody u </w:t>
      </w:r>
      <w:r w:rsidR="00A16A0B">
        <w:t>drůbeže</w:t>
      </w:r>
      <w:r>
        <w:t xml:space="preserve"> </w:t>
      </w:r>
      <w:r w:rsidR="00A16A0B">
        <w:t>je třeba</w:t>
      </w:r>
      <w:r>
        <w:t xml:space="preserve"> koncentrac</w:t>
      </w:r>
      <w:r w:rsidR="002C4ED7">
        <w:t>i</w:t>
      </w:r>
      <w:r>
        <w:t xml:space="preserve"> upravit tak,</w:t>
      </w:r>
      <w:r w:rsidR="00A16A0B">
        <w:t xml:space="preserve"> </w:t>
      </w:r>
      <w:r>
        <w:t xml:space="preserve">aby bylo dosaženo doporučené dávky. Po ukončení období léčby je nutno vyčistit </w:t>
      </w:r>
      <w:r w:rsidR="00B85E95">
        <w:t>napájecí systém</w:t>
      </w:r>
      <w:r>
        <w:t xml:space="preserve"> vhodným způsobem, aby se zabránilo následnému příjmu subterapeutických množství léčivé látky.</w:t>
      </w:r>
    </w:p>
    <w:p w14:paraId="6BFF2B4B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CC286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9.</w:t>
      </w:r>
      <w:r>
        <w:tab/>
      </w:r>
      <w:r>
        <w:rPr>
          <w:b/>
        </w:rPr>
        <w:t>POKYNY PRO SPRÁVNÉ PODÁNÍ</w:t>
      </w:r>
    </w:p>
    <w:p w14:paraId="4B2F6645" w14:textId="77777777" w:rsidR="00E5430A" w:rsidRDefault="00E5430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74734BDD" w14:textId="77777777" w:rsidR="007F391A" w:rsidRPr="00474C50" w:rsidRDefault="00E5430A" w:rsidP="007F391A">
      <w:pPr>
        <w:tabs>
          <w:tab w:val="clear" w:pos="567"/>
        </w:tabs>
        <w:spacing w:line="240" w:lineRule="auto"/>
        <w:rPr>
          <w:szCs w:val="22"/>
        </w:rPr>
      </w:pPr>
      <w:r w:rsidRPr="00F153C9">
        <w:rPr>
          <w:highlight w:val="lightGray"/>
        </w:rPr>
        <w:t>Nejsou</w:t>
      </w:r>
    </w:p>
    <w:p w14:paraId="06326595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66FC830" w14:textId="2892DB56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10.</w:t>
      </w:r>
      <w:r>
        <w:tab/>
      </w:r>
      <w:r>
        <w:rPr>
          <w:b/>
        </w:rPr>
        <w:t>OCHRANNÁ</w:t>
      </w:r>
      <w:r w:rsidR="00D91D1C">
        <w:rPr>
          <w:b/>
        </w:rPr>
        <w:t>(É)</w:t>
      </w:r>
      <w:r>
        <w:rPr>
          <w:b/>
        </w:rPr>
        <w:t xml:space="preserve"> LHŮTA</w:t>
      </w:r>
      <w:r w:rsidR="00D91D1C">
        <w:rPr>
          <w:b/>
        </w:rPr>
        <w:t>(Y)</w:t>
      </w:r>
    </w:p>
    <w:p w14:paraId="195FC915" w14:textId="77777777" w:rsidR="007F391A" w:rsidRDefault="007F391A" w:rsidP="007F391A">
      <w:pPr>
        <w:tabs>
          <w:tab w:val="clear" w:pos="567"/>
        </w:tabs>
        <w:spacing w:line="240" w:lineRule="auto"/>
        <w:rPr>
          <w:rFonts w:eastAsia="SimSun"/>
          <w:szCs w:val="22"/>
        </w:rPr>
      </w:pPr>
    </w:p>
    <w:p w14:paraId="0AB1F6D6" w14:textId="0E25D777" w:rsidR="007F391A" w:rsidRPr="00D45C5C" w:rsidRDefault="007F391A" w:rsidP="007F391A">
      <w:pPr>
        <w:tabs>
          <w:tab w:val="clear" w:pos="567"/>
        </w:tabs>
        <w:spacing w:line="240" w:lineRule="auto"/>
        <w:rPr>
          <w:rFonts w:eastAsia="SimSun"/>
          <w:szCs w:val="22"/>
        </w:rPr>
      </w:pPr>
      <w:r>
        <w:t>Maso: 2 dn</w:t>
      </w:r>
      <w:r w:rsidR="0050730E">
        <w:t>y</w:t>
      </w:r>
    </w:p>
    <w:p w14:paraId="685718CD" w14:textId="77777777" w:rsidR="007F391A" w:rsidRDefault="007F391A" w:rsidP="007F391A">
      <w:pPr>
        <w:tabs>
          <w:tab w:val="clear" w:pos="567"/>
        </w:tabs>
        <w:spacing w:line="240" w:lineRule="auto"/>
        <w:rPr>
          <w:rFonts w:eastAsia="SimSun"/>
          <w:szCs w:val="22"/>
        </w:rPr>
      </w:pPr>
      <w:r>
        <w:t xml:space="preserve">Vejce: </w:t>
      </w:r>
      <w:r w:rsidR="0050730E">
        <w:t xml:space="preserve"> Bez ochranných lhůt.</w:t>
      </w:r>
    </w:p>
    <w:p w14:paraId="705F5EFD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CC0D0B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11.</w:t>
      </w:r>
      <w:r>
        <w:tab/>
      </w:r>
      <w:r>
        <w:rPr>
          <w:b/>
        </w:rPr>
        <w:t>ZVLÁŠTNÍ OPATŘENÍ PRO UCHOVÁVÁNÍ</w:t>
      </w:r>
    </w:p>
    <w:p w14:paraId="501D1FA9" w14:textId="77777777" w:rsidR="007F391A" w:rsidRPr="00474C50" w:rsidRDefault="007F391A" w:rsidP="007F391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85466DF" w14:textId="7071A779" w:rsidR="007F391A" w:rsidRPr="00474C50" w:rsidRDefault="007F391A" w:rsidP="00A3630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Uchovávat mimo </w:t>
      </w:r>
      <w:r w:rsidR="0030300A" w:rsidRPr="006F222C">
        <w:t xml:space="preserve">dohled a </w:t>
      </w:r>
      <w:r>
        <w:t>dosah dětí.</w:t>
      </w:r>
    </w:p>
    <w:p w14:paraId="28FB2FA3" w14:textId="77777777" w:rsidR="007F391A" w:rsidRPr="00474C50" w:rsidRDefault="007F391A" w:rsidP="00A3630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75F43A6" w14:textId="5CC7BAEF" w:rsidR="007F391A" w:rsidRPr="00007184" w:rsidRDefault="007F391A" w:rsidP="00A3630D">
      <w:pPr>
        <w:tabs>
          <w:tab w:val="clear" w:pos="567"/>
        </w:tabs>
        <w:spacing w:line="240" w:lineRule="auto"/>
        <w:ind w:right="-142"/>
        <w:jc w:val="both"/>
        <w:rPr>
          <w:rFonts w:eastAsia="SimSun"/>
          <w:szCs w:val="22"/>
        </w:rPr>
      </w:pPr>
      <w:r>
        <w:t xml:space="preserve">Tento veterinární léčivý přípravek nevyžaduje žádné </w:t>
      </w:r>
      <w:r w:rsidR="00685C75">
        <w:t xml:space="preserve">zvláštní </w:t>
      </w:r>
      <w:r>
        <w:t xml:space="preserve">podmínky uchovávání. </w:t>
      </w:r>
    </w:p>
    <w:p w14:paraId="2CB3236D" w14:textId="77777777" w:rsidR="007F391A" w:rsidRDefault="007F391A" w:rsidP="00A3630D">
      <w:pPr>
        <w:tabs>
          <w:tab w:val="clear" w:pos="567"/>
        </w:tabs>
        <w:spacing w:line="240" w:lineRule="auto"/>
        <w:jc w:val="both"/>
        <w:rPr>
          <w:rFonts w:eastAsia="SimSun"/>
          <w:szCs w:val="22"/>
        </w:rPr>
      </w:pPr>
    </w:p>
    <w:p w14:paraId="6F62EA8E" w14:textId="77777777" w:rsidR="007F391A" w:rsidRPr="00474C50" w:rsidRDefault="007F391A" w:rsidP="00A3630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Nepoužívejte tento veterinární léčivý přípravek po uplynutí doby použitelnosti uvedené na etiketě </w:t>
      </w:r>
      <w:r w:rsidR="00685C75">
        <w:t xml:space="preserve">po </w:t>
      </w:r>
      <w:r>
        <w:t xml:space="preserve">EXP. Doba použitelnosti </w:t>
      </w:r>
      <w:r w:rsidR="00685C75">
        <w:t xml:space="preserve">končí posledním dnem v uvedeném </w:t>
      </w:r>
      <w:r>
        <w:t>měsíc</w:t>
      </w:r>
      <w:r w:rsidR="00685C75">
        <w:t>i</w:t>
      </w:r>
      <w:r>
        <w:t>.</w:t>
      </w:r>
    </w:p>
    <w:p w14:paraId="40CD413F" w14:textId="77777777" w:rsidR="007F391A" w:rsidRPr="00007184" w:rsidRDefault="007F391A" w:rsidP="00A3630D">
      <w:pPr>
        <w:tabs>
          <w:tab w:val="clear" w:pos="567"/>
        </w:tabs>
        <w:spacing w:line="240" w:lineRule="auto"/>
        <w:jc w:val="both"/>
        <w:rPr>
          <w:rFonts w:eastAsia="SimSun"/>
          <w:szCs w:val="22"/>
        </w:rPr>
      </w:pPr>
      <w:r>
        <w:t>Doba použitelnosti po prvním otevření vnitřního obalu: 3 měsíc</w:t>
      </w:r>
      <w:r w:rsidR="00685C75">
        <w:t>e</w:t>
      </w:r>
      <w:r>
        <w:t xml:space="preserve">. </w:t>
      </w:r>
    </w:p>
    <w:p w14:paraId="1D4CEAE0" w14:textId="77777777" w:rsidR="007F391A" w:rsidRPr="00007184" w:rsidRDefault="007F391A" w:rsidP="00A3630D">
      <w:pPr>
        <w:tabs>
          <w:tab w:val="clear" w:pos="567"/>
        </w:tabs>
        <w:spacing w:line="240" w:lineRule="auto"/>
        <w:jc w:val="both"/>
        <w:rPr>
          <w:rFonts w:eastAsia="SimSun"/>
          <w:szCs w:val="22"/>
        </w:rPr>
      </w:pPr>
      <w:r>
        <w:t xml:space="preserve">Doba použitelnosti po </w:t>
      </w:r>
      <w:r w:rsidR="00685C75">
        <w:t xml:space="preserve">rozpuštění </w:t>
      </w:r>
      <w:r>
        <w:t xml:space="preserve">nebo rekonstituci podle </w:t>
      </w:r>
      <w:r w:rsidR="00685C75">
        <w:t>návodu</w:t>
      </w:r>
      <w:r>
        <w:t xml:space="preserve">: 12 hodin. </w:t>
      </w:r>
    </w:p>
    <w:p w14:paraId="2ADB56D0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3B9E2F52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6F222C">
        <w:rPr>
          <w:b/>
          <w:highlight w:val="lightGray"/>
        </w:rPr>
        <w:t>12.</w:t>
      </w:r>
      <w:r>
        <w:tab/>
      </w:r>
      <w:r>
        <w:rPr>
          <w:b/>
        </w:rPr>
        <w:t>ZVLÁŠTNÍ UPOZORNĚNÍ</w:t>
      </w:r>
    </w:p>
    <w:p w14:paraId="3E8A3AC0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7FCA90C" w14:textId="77777777" w:rsidR="007F391A" w:rsidRPr="00E2745C" w:rsidRDefault="007F391A" w:rsidP="00A3630D">
      <w:pPr>
        <w:tabs>
          <w:tab w:val="clear" w:pos="567"/>
        </w:tabs>
        <w:spacing w:line="240" w:lineRule="auto"/>
        <w:jc w:val="both"/>
        <w:rPr>
          <w:u w:val="single"/>
        </w:rPr>
      </w:pPr>
      <w:r>
        <w:rPr>
          <w:u w:val="single"/>
        </w:rPr>
        <w:t>Zvláštní opatření pro použití u zvířat</w:t>
      </w:r>
      <w:r>
        <w:t>:</w:t>
      </w:r>
    </w:p>
    <w:p w14:paraId="12EE0E46" w14:textId="47CB1502" w:rsidR="0067763F" w:rsidRDefault="0067763F" w:rsidP="00A3630D">
      <w:pPr>
        <w:widowControl w:val="0"/>
        <w:jc w:val="both"/>
      </w:pPr>
      <w:r>
        <w:t>Použití přípravku by mělo být založeno na výsledcích stanovení citlivosti kmenů baktérií izolovaných od zvířat v rámci farmy. Pokud to není možné, je nutné založit terapii na místní (regionální, na úrovni farmy) epidemiologick</w:t>
      </w:r>
      <w:r w:rsidR="0014673E">
        <w:t>é</w:t>
      </w:r>
      <w:r>
        <w:t xml:space="preserve"> informac</w:t>
      </w:r>
      <w:r w:rsidR="0014673E">
        <w:t>i</w:t>
      </w:r>
      <w:r>
        <w:t xml:space="preserve"> o citlivost</w:t>
      </w:r>
      <w:r w:rsidR="00E03385">
        <w:t>i</w:t>
      </w:r>
      <w:r>
        <w:t xml:space="preserve"> </w:t>
      </w:r>
      <w:r w:rsidR="00113358">
        <w:t xml:space="preserve">cílové </w:t>
      </w:r>
      <w:r>
        <w:t xml:space="preserve">bakterie. Přípravek se nesmí používat ke kompenzaci nedostatečné hygieny a </w:t>
      </w:r>
      <w:r w:rsidR="00113358">
        <w:t xml:space="preserve">managementu chovu </w:t>
      </w:r>
      <w:r>
        <w:t xml:space="preserve">na farmách. </w:t>
      </w:r>
    </w:p>
    <w:p w14:paraId="51A64FE5" w14:textId="2E7B6F39" w:rsidR="007F391A" w:rsidRPr="00474C50" w:rsidRDefault="0014673E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673E">
        <w:t>Použití přípravku, které je odlišné od pokynů uvedených  v</w:t>
      </w:r>
      <w:r>
        <w:t> této příbalové informaci</w:t>
      </w:r>
      <w:r w:rsidRPr="0014673E">
        <w:t xml:space="preserve">, může zvýšit prevalenci bakterií rezistentních k fenoxymetylpenicilinu a snížit účinnost léčby jinými peniciliny z důvodu možné zkřížené rezistence. </w:t>
      </w:r>
      <w:r w:rsidR="0067763F">
        <w:t>Při použití přípravku je nutno zohlednit oficiální celostátní a místní pravidla antibiotické politiky.</w:t>
      </w:r>
    </w:p>
    <w:p w14:paraId="7453F46E" w14:textId="77777777" w:rsidR="007F391A" w:rsidRPr="00E2745C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3D523E9" w14:textId="77777777" w:rsidR="007F391A" w:rsidRPr="00E2745C" w:rsidRDefault="007F391A" w:rsidP="006F222C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určené osobám, které podávají veterinární léčivý přípravek zvířatům</w:t>
      </w:r>
      <w:r>
        <w:t>:</w:t>
      </w:r>
    </w:p>
    <w:p w14:paraId="32CF768A" w14:textId="77777777" w:rsidR="00073CC6" w:rsidRDefault="00073CC6" w:rsidP="00A3630D">
      <w:pPr>
        <w:tabs>
          <w:tab w:val="clear" w:pos="567"/>
        </w:tabs>
        <w:spacing w:line="240" w:lineRule="auto"/>
        <w:jc w:val="both"/>
      </w:pPr>
      <w:r>
        <w:t>Penicil</w:t>
      </w:r>
      <w:r w:rsidR="00C1213E">
        <w:t>i</w:t>
      </w:r>
      <w:r>
        <w:t>ny, jako je fenoxymetylpenicil</w:t>
      </w:r>
      <w:r w:rsidR="00C1213E">
        <w:t>i</w:t>
      </w:r>
      <w:r>
        <w:t>n, mohou po injekci, inhalaci, požití nebo kontaktu s kůží vyvolat přecitlivělost (alergii). Přecitlivělost na fenoxymetylpenicil</w:t>
      </w:r>
      <w:r w:rsidR="00C1213E">
        <w:t>i</w:t>
      </w:r>
      <w:r>
        <w:t>n může vést ke zkříženým reakcím s jinými penicil</w:t>
      </w:r>
      <w:r w:rsidR="00C1213E">
        <w:t>i</w:t>
      </w:r>
      <w:r>
        <w:t xml:space="preserve">ny a cefalosporiny a naopak. Alergické reakce na tyto látky mohou být v některých případech vážné. </w:t>
      </w:r>
    </w:p>
    <w:p w14:paraId="5C035E41" w14:textId="50669C0C" w:rsidR="00073CC6" w:rsidRDefault="00073CC6" w:rsidP="00A3630D">
      <w:pPr>
        <w:tabs>
          <w:tab w:val="clear" w:pos="567"/>
        </w:tabs>
        <w:spacing w:line="240" w:lineRule="auto"/>
        <w:jc w:val="both"/>
      </w:pPr>
      <w:r>
        <w:t>Nemanipulujte s přípravkem, pokud víte, že jste přecitlivělí, nebo pokud vám bylo doporučeno s</w:t>
      </w:r>
      <w:r w:rsidR="00CF2EB2">
        <w:t> </w:t>
      </w:r>
      <w:r>
        <w:t xml:space="preserve">přípravky tohoto typu nepracovat. </w:t>
      </w:r>
    </w:p>
    <w:p w14:paraId="0843C074" w14:textId="77777777" w:rsidR="00073CC6" w:rsidRDefault="00073CC6" w:rsidP="00A3630D">
      <w:pPr>
        <w:tabs>
          <w:tab w:val="clear" w:pos="567"/>
        </w:tabs>
        <w:spacing w:line="240" w:lineRule="auto"/>
        <w:jc w:val="both"/>
      </w:pPr>
      <w:r>
        <w:t xml:space="preserve">Při manipulaci s přípravkem dodržujte všechna doporučená bezpečnostní opatření a buďte maximálně obezřetní, aby nedošlo k přímému kontaktu. </w:t>
      </w:r>
    </w:p>
    <w:p w14:paraId="2A3AD7A4" w14:textId="459136EB" w:rsidR="00073CC6" w:rsidRDefault="00073CC6" w:rsidP="00A3630D">
      <w:pPr>
        <w:tabs>
          <w:tab w:val="clear" w:pos="567"/>
        </w:tabs>
        <w:spacing w:line="240" w:lineRule="auto"/>
        <w:jc w:val="both"/>
      </w:pPr>
      <w:r>
        <w:t xml:space="preserve">Pokud se </w:t>
      </w:r>
      <w:r w:rsidR="00CF2EB2">
        <w:t>u vás objeví postexpoziční příznaky,</w:t>
      </w:r>
      <w:r>
        <w:t xml:space="preserve"> jako např. vyrážka, vyhledejte lékařskou pomoc a</w:t>
      </w:r>
      <w:r w:rsidR="00CF2EB2">
        <w:t> </w:t>
      </w:r>
      <w:r>
        <w:t>ukažte lékaři toto upozornění. Otok obličeje, rtů, očí nebo potíže s dýcháním jsou vážné příznaky a</w:t>
      </w:r>
      <w:r w:rsidR="00CF2EB2">
        <w:t> </w:t>
      </w:r>
      <w:r>
        <w:t>vyžadují okamžité lékařské ošetření.</w:t>
      </w:r>
    </w:p>
    <w:p w14:paraId="2E6F7C94" w14:textId="77777777" w:rsidR="00073CC6" w:rsidRDefault="00073CC6" w:rsidP="00A3630D">
      <w:pPr>
        <w:tabs>
          <w:tab w:val="clear" w:pos="567"/>
        </w:tabs>
        <w:spacing w:line="240" w:lineRule="auto"/>
        <w:jc w:val="both"/>
      </w:pPr>
    </w:p>
    <w:p w14:paraId="060B16FB" w14:textId="3DCCC6F3" w:rsidR="00073CC6" w:rsidRDefault="007014BC" w:rsidP="00A3630D">
      <w:pPr>
        <w:tabs>
          <w:tab w:val="clear" w:pos="567"/>
        </w:tabs>
        <w:spacing w:line="240" w:lineRule="auto"/>
        <w:jc w:val="both"/>
      </w:pPr>
      <w:r w:rsidRPr="007014BC">
        <w:t xml:space="preserve">Lidé, kteří nakládají s tímto přípravkem, by měli zabránit vdechování prachových částic a kontaktu přípravku s kůží. Při míchání a manipulaci s přípravkem používejte ochranný oděv, nepropustné rukavice a buď jednorázový respirátor </w:t>
      </w:r>
      <w:r w:rsidR="00CF2EB2">
        <w:t xml:space="preserve">s polomaskou </w:t>
      </w:r>
      <w:r w:rsidRPr="007014BC">
        <w:t xml:space="preserve">vyhovující </w:t>
      </w:r>
      <w:r w:rsidR="00CF2EB2">
        <w:t xml:space="preserve">evropské </w:t>
      </w:r>
      <w:r w:rsidRPr="007014BC">
        <w:t xml:space="preserve">normě EN 149, nebo respirátor pro opakované použití </w:t>
      </w:r>
      <w:r w:rsidR="00CF2EB2">
        <w:t xml:space="preserve">podle evropské </w:t>
      </w:r>
      <w:r w:rsidRPr="007014BC">
        <w:t>norm</w:t>
      </w:r>
      <w:r w:rsidR="00CF2EB2">
        <w:t>y</w:t>
      </w:r>
      <w:r w:rsidRPr="007014BC">
        <w:t xml:space="preserve"> EN 140 s filtrem podle normy EN 143.</w:t>
      </w:r>
    </w:p>
    <w:p w14:paraId="727D4D28" w14:textId="77777777" w:rsidR="007014BC" w:rsidRDefault="007014BC" w:rsidP="00073CC6">
      <w:pPr>
        <w:tabs>
          <w:tab w:val="clear" w:pos="567"/>
        </w:tabs>
        <w:spacing w:line="240" w:lineRule="auto"/>
      </w:pPr>
    </w:p>
    <w:p w14:paraId="4C05FDA7" w14:textId="77777777" w:rsidR="00073CC6" w:rsidRDefault="00073CC6" w:rsidP="00073CC6">
      <w:pPr>
        <w:tabs>
          <w:tab w:val="clear" w:pos="567"/>
        </w:tabs>
        <w:spacing w:line="240" w:lineRule="auto"/>
      </w:pPr>
      <w:r>
        <w:t xml:space="preserve">Po použití si důkladně umyjte ruce a potřísněnou kůži. </w:t>
      </w:r>
    </w:p>
    <w:p w14:paraId="1CE0CEE7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CE38612" w14:textId="16AF894F" w:rsidR="0067763F" w:rsidRPr="008D167D" w:rsidRDefault="00236B4A" w:rsidP="006F222C">
      <w:pPr>
        <w:widowControl w:val="0"/>
        <w:tabs>
          <w:tab w:val="left" w:pos="851"/>
        </w:tabs>
      </w:pPr>
      <w:r w:rsidRPr="006F222C">
        <w:rPr>
          <w:u w:val="single"/>
        </w:rPr>
        <w:t>Snáška</w:t>
      </w:r>
      <w:r w:rsidR="007F391A">
        <w:t>:</w:t>
      </w:r>
      <w:r w:rsidR="007F391A">
        <w:rPr>
          <w:szCs w:val="22"/>
          <w:u w:val="single"/>
        </w:rPr>
        <w:br/>
      </w:r>
      <w:r w:rsidR="0067763F">
        <w:t>Studie provedené na laboratorních zvířatech a u lidí nepodaly žádné důkazy o vlivu na reprodukční funkci nebo vývoj plodu.</w:t>
      </w:r>
    </w:p>
    <w:p w14:paraId="1F9B49D1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236B9245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dalšími léčivými přípravky a další formy interakce:</w:t>
      </w:r>
    </w:p>
    <w:p w14:paraId="70D73582" w14:textId="77777777" w:rsidR="007F391A" w:rsidRPr="00474C50" w:rsidRDefault="007F391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Tento veterinární léčivý přípravek by se neměl kombinovat s bakteriostatickými antibiotiky.</w:t>
      </w:r>
    </w:p>
    <w:p w14:paraId="0B2CB145" w14:textId="77777777" w:rsidR="007F391A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4C994D0D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302DD346" w14:textId="364BE4B4" w:rsidR="0067763F" w:rsidRPr="008D167D" w:rsidRDefault="0067763F" w:rsidP="00A3630D">
      <w:pPr>
        <w:widowControl w:val="0"/>
        <w:jc w:val="both"/>
      </w:pPr>
      <w:r>
        <w:t>Fenoxymetylpenicil</w:t>
      </w:r>
      <w:r w:rsidR="00C1213E">
        <w:t>i</w:t>
      </w:r>
      <w:r>
        <w:t xml:space="preserve">n má </w:t>
      </w:r>
      <w:r w:rsidR="00113358">
        <w:t xml:space="preserve">široký </w:t>
      </w:r>
      <w:r>
        <w:t xml:space="preserve">terapeutický index. Při podávání pitné vody </w:t>
      </w:r>
      <w:r w:rsidR="00F710BC">
        <w:t xml:space="preserve">s obsahem přípravku </w:t>
      </w:r>
      <w:r>
        <w:t>v dvojnásobku až pětinásobku doporučené terapeutické dávky po dvojnásobek doporučen</w:t>
      </w:r>
      <w:r w:rsidR="005E4AE1">
        <w:t>é doby léčby se neobjevily</w:t>
      </w:r>
      <w:r>
        <w:t xml:space="preserve"> nežádoucí účinky. U některých jedinců podávání pětinásobku doporučené terapeutické dávky po dvojnásobek doporučené doby trvání léčby vedlo ke zvýšení spotřeby vody, poklesu příjmu potravy a vodnatému trusu. </w:t>
      </w:r>
    </w:p>
    <w:p w14:paraId="690EFF51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7F65ACED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</w:t>
      </w:r>
      <w:r>
        <w:t>:</w:t>
      </w:r>
    </w:p>
    <w:p w14:paraId="7AA7EC84" w14:textId="77777777" w:rsidR="007F391A" w:rsidRPr="00533CFE" w:rsidRDefault="007F391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Nemísit s jinými veterinárními léčivými přípravky.</w:t>
      </w:r>
    </w:p>
    <w:p w14:paraId="17297DDD" w14:textId="77777777" w:rsidR="00E5430A" w:rsidRDefault="00E5430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CE4F25" w14:textId="77777777" w:rsidR="007F391A" w:rsidRPr="00533CFE" w:rsidRDefault="007F391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 známo, že kontakt roztoků obsahujících penicil</w:t>
      </w:r>
      <w:r w:rsidR="00C1213E">
        <w:t>i</w:t>
      </w:r>
      <w:r>
        <w:t>n s kovy a použití kovových systémů k jejich podání nepříznivě ovlivňuje stabilitu penicil</w:t>
      </w:r>
      <w:r w:rsidR="00C1213E">
        <w:t>i</w:t>
      </w:r>
      <w:r>
        <w:t xml:space="preserve">nu. Proto je nutné </w:t>
      </w:r>
      <w:r w:rsidR="005B5C6B">
        <w:t xml:space="preserve">zabránit </w:t>
      </w:r>
      <w:r>
        <w:t>používání takových systémů a nepoužívat je k uchovávání roztoků.</w:t>
      </w:r>
    </w:p>
    <w:p w14:paraId="5EBEF955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5F70293D" w14:textId="233FDCD8" w:rsidR="007F391A" w:rsidRPr="00474C50" w:rsidRDefault="007F391A" w:rsidP="007F391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F222C">
        <w:rPr>
          <w:b/>
          <w:highlight w:val="lightGray"/>
        </w:rPr>
        <w:t>13.</w:t>
      </w:r>
      <w:r>
        <w:tab/>
      </w:r>
      <w:r>
        <w:rPr>
          <w:b/>
        </w:rPr>
        <w:t>ZVLÁŠTNÍ OPATŘENÍ PRO ZNEŠKODŇOVÁNÍ NEPOUŽIT</w:t>
      </w:r>
      <w:r w:rsidR="00803F1E">
        <w:rPr>
          <w:b/>
        </w:rPr>
        <w:t>ÝCH</w:t>
      </w:r>
      <w:r>
        <w:rPr>
          <w:b/>
        </w:rPr>
        <w:t xml:space="preserve"> </w:t>
      </w:r>
      <w:r w:rsidR="00803F1E">
        <w:rPr>
          <w:b/>
        </w:rPr>
        <w:t xml:space="preserve">PŘÍPRAVKŮ </w:t>
      </w:r>
      <w:r>
        <w:rPr>
          <w:b/>
        </w:rPr>
        <w:t>NEBO ODPADU, POKUD JE JICH TŘEBA</w:t>
      </w:r>
    </w:p>
    <w:p w14:paraId="6CEAF08F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0C1B9144" w14:textId="77777777" w:rsidR="00D04360" w:rsidRPr="00D04360" w:rsidRDefault="007F391A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Léčivé přípravky se nesmí likvidovat prostřednictvím odpadní vody či domovního odpadu.</w:t>
      </w:r>
    </w:p>
    <w:p w14:paraId="18A0A629" w14:textId="77777777" w:rsidR="007F391A" w:rsidRPr="00474C50" w:rsidRDefault="00D04360" w:rsidP="00A3630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 možnostech likvidace nepotřebných léčivých přípravků se poraďte s vaším veterinárním lékařem. Tato opatření napomáhají chránit životní prostředí.</w:t>
      </w:r>
    </w:p>
    <w:p w14:paraId="66133F2B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0B6B5161" w14:textId="77777777" w:rsidR="007F391A" w:rsidRPr="00474C50" w:rsidRDefault="007F391A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rPr>
          <w:b/>
          <w:highlight w:val="lightGray"/>
        </w:rPr>
        <w:t>14.</w:t>
      </w:r>
      <w:r>
        <w:tab/>
      </w:r>
      <w:r>
        <w:rPr>
          <w:b/>
        </w:rPr>
        <w:t>DATUM POSLEDNÍ REVIZE PŘÍBALOVÉ INFORMACE</w:t>
      </w:r>
    </w:p>
    <w:p w14:paraId="2F1DBA46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227FE693" w14:textId="5D0ADC5A" w:rsidR="007F391A" w:rsidRDefault="00F710BC" w:rsidP="007F3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Leden 2021</w:t>
      </w:r>
    </w:p>
    <w:p w14:paraId="1FBD5265" w14:textId="77777777" w:rsidR="00C1213E" w:rsidRPr="00474C50" w:rsidRDefault="00C1213E" w:rsidP="007F391A">
      <w:pPr>
        <w:tabs>
          <w:tab w:val="clear" w:pos="567"/>
        </w:tabs>
        <w:spacing w:line="240" w:lineRule="auto"/>
        <w:rPr>
          <w:szCs w:val="22"/>
        </w:rPr>
      </w:pPr>
    </w:p>
    <w:p w14:paraId="3D0EC0FC" w14:textId="77777777" w:rsidR="007F391A" w:rsidRDefault="007F391A" w:rsidP="007F391A">
      <w:pPr>
        <w:keepNext/>
        <w:tabs>
          <w:tab w:val="clear" w:pos="567"/>
        </w:tabs>
        <w:spacing w:line="240" w:lineRule="auto"/>
        <w:rPr>
          <w:b/>
        </w:rPr>
      </w:pPr>
      <w:r w:rsidRPr="006F222C">
        <w:rPr>
          <w:b/>
          <w:highlight w:val="lightGray"/>
        </w:rPr>
        <w:t>15.</w:t>
      </w:r>
      <w:r>
        <w:tab/>
      </w:r>
      <w:r>
        <w:rPr>
          <w:b/>
        </w:rPr>
        <w:t>DALŠÍ INFORMACE</w:t>
      </w:r>
    </w:p>
    <w:p w14:paraId="2E0B0519" w14:textId="77777777" w:rsidR="001675C4" w:rsidRDefault="001675C4" w:rsidP="007F391A">
      <w:pPr>
        <w:keepNext/>
        <w:tabs>
          <w:tab w:val="clear" w:pos="567"/>
        </w:tabs>
        <w:spacing w:line="240" w:lineRule="auto"/>
        <w:rPr>
          <w:b/>
        </w:rPr>
      </w:pPr>
    </w:p>
    <w:p w14:paraId="77CF5025" w14:textId="26F8A733" w:rsidR="001675C4" w:rsidRPr="006F222C" w:rsidRDefault="001675C4" w:rsidP="007F391A">
      <w:pPr>
        <w:keepNext/>
        <w:tabs>
          <w:tab w:val="clear" w:pos="567"/>
        </w:tabs>
        <w:spacing w:line="240" w:lineRule="auto"/>
      </w:pPr>
      <w:r w:rsidRPr="006F222C">
        <w:t>Pouze pro zvířata.</w:t>
      </w:r>
    </w:p>
    <w:p w14:paraId="7D57A8EE" w14:textId="41C6CCD2" w:rsidR="001675C4" w:rsidRPr="001675C4" w:rsidRDefault="001675C4" w:rsidP="007F391A">
      <w:pPr>
        <w:keepNext/>
        <w:tabs>
          <w:tab w:val="clear" w:pos="567"/>
        </w:tabs>
        <w:spacing w:line="240" w:lineRule="auto"/>
        <w:rPr>
          <w:szCs w:val="22"/>
        </w:rPr>
      </w:pPr>
      <w:r w:rsidRPr="006F222C">
        <w:t>Veterinární léčivý přípravek je vydáván pouze na předpis.</w:t>
      </w:r>
    </w:p>
    <w:p w14:paraId="7A0E6AA5" w14:textId="77777777" w:rsidR="007F391A" w:rsidRPr="00474C50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161E39C0" w14:textId="47DC6ABB" w:rsidR="007F391A" w:rsidRPr="0025510B" w:rsidRDefault="007F391A" w:rsidP="007F391A">
      <w:pPr>
        <w:tabs>
          <w:tab w:val="clear" w:pos="567"/>
        </w:tabs>
        <w:spacing w:line="240" w:lineRule="auto"/>
        <w:rPr>
          <w:rFonts w:eastAsia="SimSun"/>
          <w:szCs w:val="22"/>
        </w:rPr>
      </w:pPr>
      <w:r>
        <w:t>Velikost</w:t>
      </w:r>
      <w:r w:rsidR="005B5C6B">
        <w:t>i</w:t>
      </w:r>
      <w:r>
        <w:t xml:space="preserve"> balení: 100 g, 10 x 100 g, 250 g, 500 g, 1</w:t>
      </w:r>
      <w:r w:rsidR="00304C55">
        <w:t>000</w:t>
      </w:r>
      <w:r>
        <w:t xml:space="preserve"> g a 25</w:t>
      </w:r>
      <w:r w:rsidR="00304C55">
        <w:t>00</w:t>
      </w:r>
      <w:r>
        <w:t xml:space="preserve"> g.</w:t>
      </w:r>
    </w:p>
    <w:p w14:paraId="209A2D54" w14:textId="77777777" w:rsidR="00EF49CF" w:rsidRPr="0025510B" w:rsidRDefault="007F391A" w:rsidP="007F391A">
      <w:pPr>
        <w:tabs>
          <w:tab w:val="clear" w:pos="567"/>
        </w:tabs>
        <w:spacing w:line="240" w:lineRule="auto"/>
        <w:rPr>
          <w:rFonts w:eastAsia="SimSun"/>
          <w:szCs w:val="22"/>
        </w:rPr>
      </w:pPr>
      <w:r>
        <w:t>Na trhu nemusí být všechny velikosti balení.</w:t>
      </w:r>
    </w:p>
    <w:p w14:paraId="55C9BA4B" w14:textId="7B4CC677" w:rsidR="007F391A" w:rsidRDefault="007F391A" w:rsidP="007F391A">
      <w:pPr>
        <w:tabs>
          <w:tab w:val="clear" w:pos="567"/>
        </w:tabs>
        <w:spacing w:line="240" w:lineRule="auto"/>
        <w:rPr>
          <w:szCs w:val="22"/>
        </w:rPr>
      </w:pPr>
    </w:p>
    <w:p w14:paraId="4B66B220" w14:textId="0A7C3AB1" w:rsidR="00304C55" w:rsidRPr="00474C50" w:rsidRDefault="00304C55" w:rsidP="007F391A">
      <w:pPr>
        <w:tabs>
          <w:tab w:val="clear" w:pos="567"/>
        </w:tabs>
        <w:spacing w:line="240" w:lineRule="auto"/>
        <w:rPr>
          <w:szCs w:val="22"/>
        </w:rPr>
      </w:pPr>
      <w:r w:rsidRPr="006F222C">
        <w:rPr>
          <w:highlight w:val="lightGray"/>
        </w:rPr>
        <w:t>Pokud chcete získat informace o tomto veterinárním léčivém přípravku, kontaktujte prosím příslušného místního zástupce držitele rozhodnutí o registraci</w:t>
      </w:r>
      <w:r>
        <w:t>.</w:t>
      </w:r>
    </w:p>
    <w:sectPr w:rsidR="00304C55" w:rsidRPr="00474C50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B9A0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FF58" w14:textId="77777777" w:rsidR="00FF1319" w:rsidRDefault="00FF1319">
      <w:r>
        <w:separator/>
      </w:r>
    </w:p>
  </w:endnote>
  <w:endnote w:type="continuationSeparator" w:id="0">
    <w:p w14:paraId="0956FAD2" w14:textId="77777777" w:rsidR="00FF1319" w:rsidRDefault="00FF1319">
      <w:r>
        <w:continuationSeparator/>
      </w:r>
    </w:p>
  </w:endnote>
  <w:endnote w:type="continuationNotice" w:id="1">
    <w:p w14:paraId="1A7F995C" w14:textId="77777777" w:rsidR="00FF1319" w:rsidRDefault="00FF1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3499F" w14:textId="17B7FC6F" w:rsidR="00F422D5" w:rsidRPr="00B94A1B" w:rsidRDefault="00F422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FF1319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9AA0F" w14:textId="77777777" w:rsidR="00F422D5" w:rsidRDefault="00F422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2375B" w14:textId="77777777" w:rsidR="00FF1319" w:rsidRDefault="00FF1319">
      <w:r>
        <w:separator/>
      </w:r>
    </w:p>
  </w:footnote>
  <w:footnote w:type="continuationSeparator" w:id="0">
    <w:p w14:paraId="530AEBEA" w14:textId="77777777" w:rsidR="00FF1319" w:rsidRDefault="00FF1319">
      <w:r>
        <w:continuationSeparator/>
      </w:r>
    </w:p>
  </w:footnote>
  <w:footnote w:type="continuationNotice" w:id="1">
    <w:p w14:paraId="2F322937" w14:textId="77777777" w:rsidR="00FF1319" w:rsidRDefault="00FF1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92C5E" w14:textId="1D8D664A" w:rsidR="00234DEF" w:rsidRDefault="00234DEF" w:rsidP="00234DEF">
    <w:pPr>
      <w:pStyle w:val="Zhlav"/>
    </w:pPr>
    <w:r>
      <w:t xml:space="preserve">   </w:t>
    </w:r>
  </w:p>
  <w:p w14:paraId="36FCB3BA" w14:textId="77777777" w:rsidR="009922D2" w:rsidRDefault="009922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D237D7D"/>
    <w:multiLevelType w:val="hybridMultilevel"/>
    <w:tmpl w:val="D50604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n de Laat">
    <w15:presenceInfo w15:providerId="AD" w15:userId="S-1-5-21-866424155-3593848799-2785557441-12654"/>
  </w15:person>
  <w15:person w15:author="Latifa Marouan">
    <w15:presenceInfo w15:providerId="None" w15:userId="Latifa Marouan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7184"/>
    <w:rsid w:val="00024E21"/>
    <w:rsid w:val="00030F78"/>
    <w:rsid w:val="00036C50"/>
    <w:rsid w:val="00052D2B"/>
    <w:rsid w:val="00054F55"/>
    <w:rsid w:val="00062945"/>
    <w:rsid w:val="00064585"/>
    <w:rsid w:val="00073CC6"/>
    <w:rsid w:val="000860CE"/>
    <w:rsid w:val="000938A6"/>
    <w:rsid w:val="000960AD"/>
    <w:rsid w:val="000A1DF5"/>
    <w:rsid w:val="000A3714"/>
    <w:rsid w:val="000A5C4C"/>
    <w:rsid w:val="000B7873"/>
    <w:rsid w:val="000C1D4F"/>
    <w:rsid w:val="000D67D0"/>
    <w:rsid w:val="000E195C"/>
    <w:rsid w:val="000E3602"/>
    <w:rsid w:val="000F3453"/>
    <w:rsid w:val="000F38DA"/>
    <w:rsid w:val="000F5822"/>
    <w:rsid w:val="000F796B"/>
    <w:rsid w:val="0010031E"/>
    <w:rsid w:val="001012EB"/>
    <w:rsid w:val="001078D1"/>
    <w:rsid w:val="00113358"/>
    <w:rsid w:val="00115782"/>
    <w:rsid w:val="00124F36"/>
    <w:rsid w:val="00125C80"/>
    <w:rsid w:val="00134F30"/>
    <w:rsid w:val="00136449"/>
    <w:rsid w:val="00140DF6"/>
    <w:rsid w:val="00145D34"/>
    <w:rsid w:val="00146284"/>
    <w:rsid w:val="0014673E"/>
    <w:rsid w:val="0014690F"/>
    <w:rsid w:val="00156C74"/>
    <w:rsid w:val="001674D3"/>
    <w:rsid w:val="001675C4"/>
    <w:rsid w:val="001803D2"/>
    <w:rsid w:val="00180707"/>
    <w:rsid w:val="00180CD4"/>
    <w:rsid w:val="0018228B"/>
    <w:rsid w:val="00185B50"/>
    <w:rsid w:val="00187DE7"/>
    <w:rsid w:val="00192045"/>
    <w:rsid w:val="001922C7"/>
    <w:rsid w:val="00193B14"/>
    <w:rsid w:val="00193E72"/>
    <w:rsid w:val="00195267"/>
    <w:rsid w:val="00195370"/>
    <w:rsid w:val="0019600B"/>
    <w:rsid w:val="0019686E"/>
    <w:rsid w:val="001A28C9"/>
    <w:rsid w:val="001A34BC"/>
    <w:rsid w:val="001B1C77"/>
    <w:rsid w:val="001C0E23"/>
    <w:rsid w:val="001C5288"/>
    <w:rsid w:val="001C5B03"/>
    <w:rsid w:val="001C63D4"/>
    <w:rsid w:val="001E14B4"/>
    <w:rsid w:val="001F2014"/>
    <w:rsid w:val="001F6622"/>
    <w:rsid w:val="0020252F"/>
    <w:rsid w:val="00203B65"/>
    <w:rsid w:val="002100FC"/>
    <w:rsid w:val="00213890"/>
    <w:rsid w:val="00214E52"/>
    <w:rsid w:val="002207C0"/>
    <w:rsid w:val="00234DEF"/>
    <w:rsid w:val="0023676E"/>
    <w:rsid w:val="00236B4A"/>
    <w:rsid w:val="002414B6"/>
    <w:rsid w:val="002422EB"/>
    <w:rsid w:val="00242397"/>
    <w:rsid w:val="00250DD1"/>
    <w:rsid w:val="00251183"/>
    <w:rsid w:val="00251689"/>
    <w:rsid w:val="0025267C"/>
    <w:rsid w:val="0025338F"/>
    <w:rsid w:val="00253B6B"/>
    <w:rsid w:val="0025510B"/>
    <w:rsid w:val="00265656"/>
    <w:rsid w:val="00266155"/>
    <w:rsid w:val="0027270B"/>
    <w:rsid w:val="00290805"/>
    <w:rsid w:val="00290C2A"/>
    <w:rsid w:val="002931DD"/>
    <w:rsid w:val="002A0E7C"/>
    <w:rsid w:val="002A21ED"/>
    <w:rsid w:val="002A3F88"/>
    <w:rsid w:val="002B3BB4"/>
    <w:rsid w:val="002C4ED7"/>
    <w:rsid w:val="002C592B"/>
    <w:rsid w:val="002C6385"/>
    <w:rsid w:val="002D59EA"/>
    <w:rsid w:val="002E0300"/>
    <w:rsid w:val="002E3A90"/>
    <w:rsid w:val="002E62CB"/>
    <w:rsid w:val="002E6DF1"/>
    <w:rsid w:val="002F0957"/>
    <w:rsid w:val="002F43F6"/>
    <w:rsid w:val="003020BB"/>
    <w:rsid w:val="0030300A"/>
    <w:rsid w:val="00304393"/>
    <w:rsid w:val="00304C55"/>
    <w:rsid w:val="00305AB2"/>
    <w:rsid w:val="00307B62"/>
    <w:rsid w:val="0031032B"/>
    <w:rsid w:val="00315B24"/>
    <w:rsid w:val="00316E87"/>
    <w:rsid w:val="003256AC"/>
    <w:rsid w:val="00327A58"/>
    <w:rsid w:val="0033129D"/>
    <w:rsid w:val="003320ED"/>
    <w:rsid w:val="0033480E"/>
    <w:rsid w:val="00337123"/>
    <w:rsid w:val="00341866"/>
    <w:rsid w:val="003535E0"/>
    <w:rsid w:val="003648B1"/>
    <w:rsid w:val="00366F56"/>
    <w:rsid w:val="0037368E"/>
    <w:rsid w:val="003737C8"/>
    <w:rsid w:val="0037589D"/>
    <w:rsid w:val="00376BB1"/>
    <w:rsid w:val="00377E23"/>
    <w:rsid w:val="00381EB2"/>
    <w:rsid w:val="0038277C"/>
    <w:rsid w:val="003909E0"/>
    <w:rsid w:val="00395B15"/>
    <w:rsid w:val="00396026"/>
    <w:rsid w:val="003A6CCB"/>
    <w:rsid w:val="003A7FE1"/>
    <w:rsid w:val="003B48EB"/>
    <w:rsid w:val="003C33FF"/>
    <w:rsid w:val="003C64A5"/>
    <w:rsid w:val="003D03CC"/>
    <w:rsid w:val="003D0C82"/>
    <w:rsid w:val="003D4BB7"/>
    <w:rsid w:val="003E0116"/>
    <w:rsid w:val="003E26C3"/>
    <w:rsid w:val="003F0D6C"/>
    <w:rsid w:val="003F0F26"/>
    <w:rsid w:val="003F12D9"/>
    <w:rsid w:val="003F1B4C"/>
    <w:rsid w:val="004008F6"/>
    <w:rsid w:val="004139C6"/>
    <w:rsid w:val="00414369"/>
    <w:rsid w:val="00414B20"/>
    <w:rsid w:val="00417DE3"/>
    <w:rsid w:val="00423968"/>
    <w:rsid w:val="00427054"/>
    <w:rsid w:val="004304B1"/>
    <w:rsid w:val="0043320A"/>
    <w:rsid w:val="00437A1A"/>
    <w:rsid w:val="004500A8"/>
    <w:rsid w:val="00450E13"/>
    <w:rsid w:val="004518A6"/>
    <w:rsid w:val="00453E1D"/>
    <w:rsid w:val="00454589"/>
    <w:rsid w:val="00456ED0"/>
    <w:rsid w:val="00457550"/>
    <w:rsid w:val="00457E63"/>
    <w:rsid w:val="0047243D"/>
    <w:rsid w:val="00474C50"/>
    <w:rsid w:val="004839E3"/>
    <w:rsid w:val="00486006"/>
    <w:rsid w:val="00486BAD"/>
    <w:rsid w:val="00486BBE"/>
    <w:rsid w:val="00487123"/>
    <w:rsid w:val="004A1BD5"/>
    <w:rsid w:val="004A4EDB"/>
    <w:rsid w:val="004A61E1"/>
    <w:rsid w:val="004A794B"/>
    <w:rsid w:val="004B2344"/>
    <w:rsid w:val="004B798E"/>
    <w:rsid w:val="004C5015"/>
    <w:rsid w:val="004C7290"/>
    <w:rsid w:val="004D3B81"/>
    <w:rsid w:val="004D3E58"/>
    <w:rsid w:val="004D6746"/>
    <w:rsid w:val="004E0F32"/>
    <w:rsid w:val="004E23A1"/>
    <w:rsid w:val="004E7ECE"/>
    <w:rsid w:val="004F7861"/>
    <w:rsid w:val="005004EC"/>
    <w:rsid w:val="0050730E"/>
    <w:rsid w:val="00515821"/>
    <w:rsid w:val="00523C53"/>
    <w:rsid w:val="00527B8F"/>
    <w:rsid w:val="00533CFE"/>
    <w:rsid w:val="005373E1"/>
    <w:rsid w:val="00542012"/>
    <w:rsid w:val="00543DF5"/>
    <w:rsid w:val="00545BBD"/>
    <w:rsid w:val="0055260D"/>
    <w:rsid w:val="00555810"/>
    <w:rsid w:val="00562DCA"/>
    <w:rsid w:val="0056568F"/>
    <w:rsid w:val="0057142D"/>
    <w:rsid w:val="00572CBA"/>
    <w:rsid w:val="00580AEA"/>
    <w:rsid w:val="00582578"/>
    <w:rsid w:val="00587A28"/>
    <w:rsid w:val="005B04A8"/>
    <w:rsid w:val="005B328D"/>
    <w:rsid w:val="005B3503"/>
    <w:rsid w:val="005B4DCD"/>
    <w:rsid w:val="005B4FAD"/>
    <w:rsid w:val="005B5C6B"/>
    <w:rsid w:val="005C2005"/>
    <w:rsid w:val="005C6957"/>
    <w:rsid w:val="005D380C"/>
    <w:rsid w:val="005D551D"/>
    <w:rsid w:val="005D6E04"/>
    <w:rsid w:val="005D7A12"/>
    <w:rsid w:val="005E4AE1"/>
    <w:rsid w:val="005E53EE"/>
    <w:rsid w:val="005F0542"/>
    <w:rsid w:val="005F0F72"/>
    <w:rsid w:val="005F1C1F"/>
    <w:rsid w:val="005F346D"/>
    <w:rsid w:val="005F38FB"/>
    <w:rsid w:val="005F680D"/>
    <w:rsid w:val="00601224"/>
    <w:rsid w:val="00606A10"/>
    <w:rsid w:val="00606EA1"/>
    <w:rsid w:val="006128F0"/>
    <w:rsid w:val="0061726B"/>
    <w:rsid w:val="00620C72"/>
    <w:rsid w:val="0062387A"/>
    <w:rsid w:val="00624D16"/>
    <w:rsid w:val="006344BE"/>
    <w:rsid w:val="00634A66"/>
    <w:rsid w:val="00636128"/>
    <w:rsid w:val="00640336"/>
    <w:rsid w:val="00640FC9"/>
    <w:rsid w:val="006432F2"/>
    <w:rsid w:val="0065320F"/>
    <w:rsid w:val="00653D64"/>
    <w:rsid w:val="00654E13"/>
    <w:rsid w:val="00667489"/>
    <w:rsid w:val="00670D44"/>
    <w:rsid w:val="00676AFC"/>
    <w:rsid w:val="0067763F"/>
    <w:rsid w:val="006807CD"/>
    <w:rsid w:val="00682D43"/>
    <w:rsid w:val="00685BAF"/>
    <w:rsid w:val="00685C75"/>
    <w:rsid w:val="00687533"/>
    <w:rsid w:val="006B12CB"/>
    <w:rsid w:val="006B5916"/>
    <w:rsid w:val="006C4F4A"/>
    <w:rsid w:val="006C5E80"/>
    <w:rsid w:val="006C7CEE"/>
    <w:rsid w:val="006D075E"/>
    <w:rsid w:val="006D7C6E"/>
    <w:rsid w:val="006E2F95"/>
    <w:rsid w:val="006F222C"/>
    <w:rsid w:val="006F32AB"/>
    <w:rsid w:val="006F4C36"/>
    <w:rsid w:val="007010A3"/>
    <w:rsid w:val="0070130E"/>
    <w:rsid w:val="007014BC"/>
    <w:rsid w:val="00705EAF"/>
    <w:rsid w:val="007101CC"/>
    <w:rsid w:val="00712E80"/>
    <w:rsid w:val="00716C18"/>
    <w:rsid w:val="0072031D"/>
    <w:rsid w:val="00724E3B"/>
    <w:rsid w:val="007250C2"/>
    <w:rsid w:val="00725EEA"/>
    <w:rsid w:val="00730CE9"/>
    <w:rsid w:val="00732B83"/>
    <w:rsid w:val="0073373D"/>
    <w:rsid w:val="007439DB"/>
    <w:rsid w:val="00765316"/>
    <w:rsid w:val="007708C8"/>
    <w:rsid w:val="007710EB"/>
    <w:rsid w:val="0077719D"/>
    <w:rsid w:val="00780DF0"/>
    <w:rsid w:val="00782F0F"/>
    <w:rsid w:val="00787482"/>
    <w:rsid w:val="007A286D"/>
    <w:rsid w:val="007A38DF"/>
    <w:rsid w:val="007A7BE0"/>
    <w:rsid w:val="007B20CF"/>
    <w:rsid w:val="007B2499"/>
    <w:rsid w:val="007B72E1"/>
    <w:rsid w:val="007B783A"/>
    <w:rsid w:val="007C1B95"/>
    <w:rsid w:val="007E2F2D"/>
    <w:rsid w:val="007F128D"/>
    <w:rsid w:val="007F1433"/>
    <w:rsid w:val="007F1491"/>
    <w:rsid w:val="007F2F03"/>
    <w:rsid w:val="007F391A"/>
    <w:rsid w:val="00800FE0"/>
    <w:rsid w:val="00803F1E"/>
    <w:rsid w:val="008066AD"/>
    <w:rsid w:val="00810619"/>
    <w:rsid w:val="008113CE"/>
    <w:rsid w:val="0081517F"/>
    <w:rsid w:val="00815370"/>
    <w:rsid w:val="0082153D"/>
    <w:rsid w:val="008255AA"/>
    <w:rsid w:val="00830FF3"/>
    <w:rsid w:val="00836B8C"/>
    <w:rsid w:val="008410C5"/>
    <w:rsid w:val="00846C08"/>
    <w:rsid w:val="008530E7"/>
    <w:rsid w:val="00857675"/>
    <w:rsid w:val="00857F82"/>
    <w:rsid w:val="0087112C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6A74"/>
    <w:rsid w:val="00896EBD"/>
    <w:rsid w:val="008A39EF"/>
    <w:rsid w:val="008A5665"/>
    <w:rsid w:val="008B24A8"/>
    <w:rsid w:val="008B3D78"/>
    <w:rsid w:val="008C261B"/>
    <w:rsid w:val="008C4FCA"/>
    <w:rsid w:val="008C6667"/>
    <w:rsid w:val="008C7882"/>
    <w:rsid w:val="008C7A03"/>
    <w:rsid w:val="008D2261"/>
    <w:rsid w:val="008D4C28"/>
    <w:rsid w:val="008D577B"/>
    <w:rsid w:val="008E17C4"/>
    <w:rsid w:val="008E4444"/>
    <w:rsid w:val="008E45C4"/>
    <w:rsid w:val="008E64B1"/>
    <w:rsid w:val="008E64FA"/>
    <w:rsid w:val="008F3073"/>
    <w:rsid w:val="008F4DEF"/>
    <w:rsid w:val="009048E1"/>
    <w:rsid w:val="009114D0"/>
    <w:rsid w:val="00913885"/>
    <w:rsid w:val="00914F8C"/>
    <w:rsid w:val="00931D41"/>
    <w:rsid w:val="00933D18"/>
    <w:rsid w:val="00941720"/>
    <w:rsid w:val="00942221"/>
    <w:rsid w:val="00950FBB"/>
    <w:rsid w:val="00953349"/>
    <w:rsid w:val="00954E0C"/>
    <w:rsid w:val="00960D6E"/>
    <w:rsid w:val="00961156"/>
    <w:rsid w:val="00961F97"/>
    <w:rsid w:val="0096411A"/>
    <w:rsid w:val="00965FB8"/>
    <w:rsid w:val="00966F1F"/>
    <w:rsid w:val="00976D32"/>
    <w:rsid w:val="009844F7"/>
    <w:rsid w:val="009922D2"/>
    <w:rsid w:val="009A05AA"/>
    <w:rsid w:val="009A2B0A"/>
    <w:rsid w:val="009A2D5A"/>
    <w:rsid w:val="009B2C7E"/>
    <w:rsid w:val="009C2E47"/>
    <w:rsid w:val="009C425C"/>
    <w:rsid w:val="009C6BFB"/>
    <w:rsid w:val="009D0C05"/>
    <w:rsid w:val="009D7409"/>
    <w:rsid w:val="009E2115"/>
    <w:rsid w:val="009E2C00"/>
    <w:rsid w:val="009E70F4"/>
    <w:rsid w:val="009F1AD2"/>
    <w:rsid w:val="009F5738"/>
    <w:rsid w:val="00A11755"/>
    <w:rsid w:val="00A16A0B"/>
    <w:rsid w:val="00A207FB"/>
    <w:rsid w:val="00A26F44"/>
    <w:rsid w:val="00A3630D"/>
    <w:rsid w:val="00A37598"/>
    <w:rsid w:val="00A4313D"/>
    <w:rsid w:val="00A44332"/>
    <w:rsid w:val="00A50120"/>
    <w:rsid w:val="00A60351"/>
    <w:rsid w:val="00A61C6D"/>
    <w:rsid w:val="00A63015"/>
    <w:rsid w:val="00A678B4"/>
    <w:rsid w:val="00A704A3"/>
    <w:rsid w:val="00A75E23"/>
    <w:rsid w:val="00A82AA0"/>
    <w:rsid w:val="00A82F8A"/>
    <w:rsid w:val="00A900EC"/>
    <w:rsid w:val="00A9226B"/>
    <w:rsid w:val="00A9575C"/>
    <w:rsid w:val="00A95B56"/>
    <w:rsid w:val="00A969AF"/>
    <w:rsid w:val="00AB1A2E"/>
    <w:rsid w:val="00AB2D2D"/>
    <w:rsid w:val="00AB328A"/>
    <w:rsid w:val="00AB4918"/>
    <w:rsid w:val="00AB4BC8"/>
    <w:rsid w:val="00AB6BA7"/>
    <w:rsid w:val="00AD0710"/>
    <w:rsid w:val="00AD4DB9"/>
    <w:rsid w:val="00AD63C0"/>
    <w:rsid w:val="00AE35B2"/>
    <w:rsid w:val="00AE6AA0"/>
    <w:rsid w:val="00AF06EC"/>
    <w:rsid w:val="00AF7D35"/>
    <w:rsid w:val="00B05584"/>
    <w:rsid w:val="00B119A2"/>
    <w:rsid w:val="00B177F2"/>
    <w:rsid w:val="00B201F1"/>
    <w:rsid w:val="00B20B51"/>
    <w:rsid w:val="00B304E7"/>
    <w:rsid w:val="00B30F58"/>
    <w:rsid w:val="00B31125"/>
    <w:rsid w:val="00B318B6"/>
    <w:rsid w:val="00B32A77"/>
    <w:rsid w:val="00B51F0C"/>
    <w:rsid w:val="00B52361"/>
    <w:rsid w:val="00B60AC9"/>
    <w:rsid w:val="00B60B76"/>
    <w:rsid w:val="00B636C3"/>
    <w:rsid w:val="00B67323"/>
    <w:rsid w:val="00B74071"/>
    <w:rsid w:val="00B7428E"/>
    <w:rsid w:val="00B74B67"/>
    <w:rsid w:val="00B82ED4"/>
    <w:rsid w:val="00B8424F"/>
    <w:rsid w:val="00B85E95"/>
    <w:rsid w:val="00B86896"/>
    <w:rsid w:val="00B875A6"/>
    <w:rsid w:val="00B93A8D"/>
    <w:rsid w:val="00B93E4C"/>
    <w:rsid w:val="00B94A1B"/>
    <w:rsid w:val="00BA5C89"/>
    <w:rsid w:val="00BB4CE2"/>
    <w:rsid w:val="00BC0EFB"/>
    <w:rsid w:val="00BC2E39"/>
    <w:rsid w:val="00BE3261"/>
    <w:rsid w:val="00BF23A0"/>
    <w:rsid w:val="00BF476A"/>
    <w:rsid w:val="00BF58FC"/>
    <w:rsid w:val="00C01F77"/>
    <w:rsid w:val="00C01FFC"/>
    <w:rsid w:val="00C06AE4"/>
    <w:rsid w:val="00C114FF"/>
    <w:rsid w:val="00C1213E"/>
    <w:rsid w:val="00C171A1"/>
    <w:rsid w:val="00C171A4"/>
    <w:rsid w:val="00C17F12"/>
    <w:rsid w:val="00C237E9"/>
    <w:rsid w:val="00C269F7"/>
    <w:rsid w:val="00C36883"/>
    <w:rsid w:val="00C40928"/>
    <w:rsid w:val="00C43F01"/>
    <w:rsid w:val="00C4605E"/>
    <w:rsid w:val="00C47552"/>
    <w:rsid w:val="00C57A81"/>
    <w:rsid w:val="00C60193"/>
    <w:rsid w:val="00C613CF"/>
    <w:rsid w:val="00C634D4"/>
    <w:rsid w:val="00C63AA5"/>
    <w:rsid w:val="00C65071"/>
    <w:rsid w:val="00C73F6D"/>
    <w:rsid w:val="00C74F6E"/>
    <w:rsid w:val="00C77FA4"/>
    <w:rsid w:val="00C77FFA"/>
    <w:rsid w:val="00C80401"/>
    <w:rsid w:val="00C81C97"/>
    <w:rsid w:val="00C83709"/>
    <w:rsid w:val="00C840C2"/>
    <w:rsid w:val="00C84101"/>
    <w:rsid w:val="00C84341"/>
    <w:rsid w:val="00C8535F"/>
    <w:rsid w:val="00C87EB5"/>
    <w:rsid w:val="00C90EDA"/>
    <w:rsid w:val="00C959E7"/>
    <w:rsid w:val="00CC1E65"/>
    <w:rsid w:val="00CC567A"/>
    <w:rsid w:val="00CC6F17"/>
    <w:rsid w:val="00CD4059"/>
    <w:rsid w:val="00CD4E5A"/>
    <w:rsid w:val="00CE03CE"/>
    <w:rsid w:val="00CE5498"/>
    <w:rsid w:val="00CE7ED0"/>
    <w:rsid w:val="00CF0DFF"/>
    <w:rsid w:val="00CF1364"/>
    <w:rsid w:val="00CF2EB2"/>
    <w:rsid w:val="00D0359D"/>
    <w:rsid w:val="00D04360"/>
    <w:rsid w:val="00D04DED"/>
    <w:rsid w:val="00D1089A"/>
    <w:rsid w:val="00D116BD"/>
    <w:rsid w:val="00D22C52"/>
    <w:rsid w:val="00D3691A"/>
    <w:rsid w:val="00D377E2"/>
    <w:rsid w:val="00D42DCB"/>
    <w:rsid w:val="00D43578"/>
    <w:rsid w:val="00D45C5C"/>
    <w:rsid w:val="00D464EB"/>
    <w:rsid w:val="00D46DF2"/>
    <w:rsid w:val="00D47674"/>
    <w:rsid w:val="00D5338C"/>
    <w:rsid w:val="00D606B2"/>
    <w:rsid w:val="00D65777"/>
    <w:rsid w:val="00D728A0"/>
    <w:rsid w:val="00D91D1C"/>
    <w:rsid w:val="00D97E7D"/>
    <w:rsid w:val="00DA7A19"/>
    <w:rsid w:val="00DB3439"/>
    <w:rsid w:val="00DC2946"/>
    <w:rsid w:val="00DC550F"/>
    <w:rsid w:val="00DC64FD"/>
    <w:rsid w:val="00DE127F"/>
    <w:rsid w:val="00DE424A"/>
    <w:rsid w:val="00DE4419"/>
    <w:rsid w:val="00DF0ACA"/>
    <w:rsid w:val="00DF2245"/>
    <w:rsid w:val="00DF77CF"/>
    <w:rsid w:val="00E026E8"/>
    <w:rsid w:val="00E03385"/>
    <w:rsid w:val="00E106E5"/>
    <w:rsid w:val="00E14C47"/>
    <w:rsid w:val="00E22698"/>
    <w:rsid w:val="00E24A19"/>
    <w:rsid w:val="00E25B7C"/>
    <w:rsid w:val="00E2745C"/>
    <w:rsid w:val="00E3725B"/>
    <w:rsid w:val="00E41E57"/>
    <w:rsid w:val="00E43230"/>
    <w:rsid w:val="00E434D1"/>
    <w:rsid w:val="00E5430A"/>
    <w:rsid w:val="00E56299"/>
    <w:rsid w:val="00E56CBB"/>
    <w:rsid w:val="00E61E51"/>
    <w:rsid w:val="00E6552A"/>
    <w:rsid w:val="00E66753"/>
    <w:rsid w:val="00E6707D"/>
    <w:rsid w:val="00E70E7C"/>
    <w:rsid w:val="00E71313"/>
    <w:rsid w:val="00E72606"/>
    <w:rsid w:val="00E73A7F"/>
    <w:rsid w:val="00E73C3E"/>
    <w:rsid w:val="00E84045"/>
    <w:rsid w:val="00E84E9D"/>
    <w:rsid w:val="00E935AF"/>
    <w:rsid w:val="00EA74F8"/>
    <w:rsid w:val="00EB0A41"/>
    <w:rsid w:val="00EB0E20"/>
    <w:rsid w:val="00EC4F3A"/>
    <w:rsid w:val="00ED594D"/>
    <w:rsid w:val="00ED6DA6"/>
    <w:rsid w:val="00EE36E1"/>
    <w:rsid w:val="00EF49CF"/>
    <w:rsid w:val="00F0054D"/>
    <w:rsid w:val="00F02467"/>
    <w:rsid w:val="00F07D60"/>
    <w:rsid w:val="00F12214"/>
    <w:rsid w:val="00F12565"/>
    <w:rsid w:val="00F14ACA"/>
    <w:rsid w:val="00F153C9"/>
    <w:rsid w:val="00F23927"/>
    <w:rsid w:val="00F2664A"/>
    <w:rsid w:val="00F26A05"/>
    <w:rsid w:val="00F307CE"/>
    <w:rsid w:val="00F37108"/>
    <w:rsid w:val="00F422D5"/>
    <w:rsid w:val="00F47BAA"/>
    <w:rsid w:val="00F516B4"/>
    <w:rsid w:val="00F52EAB"/>
    <w:rsid w:val="00F55F04"/>
    <w:rsid w:val="00F67269"/>
    <w:rsid w:val="00F67A2D"/>
    <w:rsid w:val="00F70A1B"/>
    <w:rsid w:val="00F710BC"/>
    <w:rsid w:val="00F72FDF"/>
    <w:rsid w:val="00F75960"/>
    <w:rsid w:val="00F82526"/>
    <w:rsid w:val="00F84380"/>
    <w:rsid w:val="00F84672"/>
    <w:rsid w:val="00F84802"/>
    <w:rsid w:val="00FA06FD"/>
    <w:rsid w:val="00FA515B"/>
    <w:rsid w:val="00FA6B90"/>
    <w:rsid w:val="00FA74CB"/>
    <w:rsid w:val="00FB2886"/>
    <w:rsid w:val="00FB466E"/>
    <w:rsid w:val="00FC2CAB"/>
    <w:rsid w:val="00FD0492"/>
    <w:rsid w:val="00FD13EC"/>
    <w:rsid w:val="00FD4DA8"/>
    <w:rsid w:val="00FD4EEF"/>
    <w:rsid w:val="00FD5461"/>
    <w:rsid w:val="00FD6BDB"/>
    <w:rsid w:val="00FD6F00"/>
    <w:rsid w:val="00FD7B98"/>
    <w:rsid w:val="00FE2663"/>
    <w:rsid w:val="00FF131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B2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453"/>
    <w:pPr>
      <w:tabs>
        <w:tab w:val="left" w:pos="567"/>
      </w:tabs>
      <w:spacing w:line="260" w:lineRule="exact"/>
    </w:pPr>
    <w:rPr>
      <w:sz w:val="22"/>
      <w:lang w:val="cs-CZ" w:eastAsia="cs-CZ" w:bidi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sid w:val="0019686E"/>
    <w:rPr>
      <w:sz w:val="22"/>
      <w:lang w:val="cs-CZ" w:eastAsia="cs-CZ" w:bidi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 w:bidi="cs-CZ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Revize">
    <w:name w:val="Revision"/>
    <w:hidden/>
    <w:uiPriority w:val="99"/>
    <w:semiHidden/>
    <w:rsid w:val="0096411A"/>
    <w:rPr>
      <w:sz w:val="22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B3BB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34DEF"/>
    <w:rPr>
      <w:rFonts w:ascii="Helvetica" w:hAnsi="Helvetica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453"/>
    <w:pPr>
      <w:tabs>
        <w:tab w:val="left" w:pos="567"/>
      </w:tabs>
      <w:spacing w:line="260" w:lineRule="exact"/>
    </w:pPr>
    <w:rPr>
      <w:sz w:val="22"/>
      <w:lang w:val="cs-CZ" w:eastAsia="cs-CZ" w:bidi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sid w:val="0019686E"/>
    <w:rPr>
      <w:sz w:val="22"/>
      <w:lang w:val="cs-CZ" w:eastAsia="cs-CZ" w:bidi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 w:bidi="cs-CZ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Revize">
    <w:name w:val="Revision"/>
    <w:hidden/>
    <w:uiPriority w:val="99"/>
    <w:semiHidden/>
    <w:rsid w:val="0096411A"/>
    <w:rPr>
      <w:sz w:val="22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B3BB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34DEF"/>
    <w:rPr>
      <w:rFonts w:ascii="Helvetica" w:hAnsi="Helvetic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kvbl.cz/cs/farmakovigilance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79A8-1138-41BB-828B-328CEA17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1145</Words>
  <Characters>6762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Hennie Bisschop</dc:creator>
  <cp:keywords/>
  <cp:lastModifiedBy>Neugebauerová Kateřina</cp:lastModifiedBy>
  <cp:revision>23</cp:revision>
  <cp:lastPrinted>2021-01-29T12:24:00Z</cp:lastPrinted>
  <dcterms:created xsi:type="dcterms:W3CDTF">2020-12-29T22:02:00Z</dcterms:created>
  <dcterms:modified xsi:type="dcterms:W3CDTF">2021-01-29T12:24:00Z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