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4BE8" w14:textId="77777777" w:rsidR="00A91A2F" w:rsidRPr="000753C8" w:rsidRDefault="00A91A2F">
      <w:pPr>
        <w:rPr>
          <w:rFonts w:ascii="Times New Roman" w:hAnsi="Times New Roman"/>
          <w:lang w:val="cs-CZ"/>
        </w:rPr>
      </w:pPr>
    </w:p>
    <w:p w14:paraId="69F2044E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049C1C73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73FC21C5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2AA87309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1B51EC79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30E9AD62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0FAD50C3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06FFF93F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2509A667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7E417FF3" w14:textId="77777777" w:rsidR="00A2389D" w:rsidRPr="000753C8" w:rsidRDefault="00A2389D" w:rsidP="00F9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cs-CZ"/>
        </w:rPr>
      </w:pPr>
    </w:p>
    <w:p w14:paraId="31D698DF" w14:textId="2AE3EFCD" w:rsidR="00F95395" w:rsidRPr="000753C8" w:rsidRDefault="000A20E0" w:rsidP="00F9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0"/>
          <w:lang w:val="cs-CZ"/>
        </w:rPr>
      </w:pPr>
      <w:r w:rsidRPr="000753C8">
        <w:rPr>
          <w:b/>
          <w:lang w:val="cs-CZ"/>
        </w:rPr>
        <w:t>KOMBINOVAN</w:t>
      </w:r>
      <w:r w:rsidR="00873210" w:rsidRPr="000753C8">
        <w:rPr>
          <w:b/>
          <w:caps/>
          <w:lang w:val="cs-CZ"/>
        </w:rPr>
        <w:t>á</w:t>
      </w:r>
      <w:r w:rsidR="00873210" w:rsidRPr="000753C8">
        <w:rPr>
          <w:b/>
          <w:lang w:val="cs-CZ"/>
        </w:rPr>
        <w:t xml:space="preserve"> ETIKETA</w:t>
      </w:r>
      <w:r w:rsidR="00F95395" w:rsidRPr="000753C8">
        <w:rPr>
          <w:b/>
          <w:lang w:val="cs-CZ"/>
        </w:rPr>
        <w:t xml:space="preserve"> A PŘÍBALOVÁ INFORMACE</w:t>
      </w:r>
    </w:p>
    <w:p w14:paraId="10B365C7" w14:textId="77777777" w:rsidR="00A2389D" w:rsidRPr="000753C8" w:rsidRDefault="00A2389D" w:rsidP="00F9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cs-CZ"/>
        </w:rPr>
      </w:pPr>
    </w:p>
    <w:p w14:paraId="4D5430B3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431E590B" w14:textId="50A95EDE" w:rsidR="00D12CFC" w:rsidRPr="000753C8" w:rsidRDefault="007C03D2" w:rsidP="00D12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u w:val="single"/>
          <w:lang w:val="cs-CZ"/>
        </w:rPr>
      </w:pPr>
      <w:r w:rsidRPr="000753C8">
        <w:rPr>
          <w:lang w:val="cs-CZ"/>
        </w:rPr>
        <w:br w:type="page"/>
      </w:r>
      <w:r w:rsidR="000926D3" w:rsidRPr="000753C8">
        <w:rPr>
          <w:rFonts w:ascii="Times New Roman" w:hAnsi="Times New Roman"/>
          <w:b/>
          <w:bCs/>
          <w:u w:val="single"/>
          <w:lang w:val="cs-CZ"/>
        </w:rPr>
        <w:lastRenderedPageBreak/>
        <w:t>KOMBINOVANÁ ETIKETA</w:t>
      </w:r>
      <w:r w:rsidR="000926D3" w:rsidRPr="000753C8">
        <w:rPr>
          <w:rFonts w:ascii="Times New Roman" w:hAnsi="Times New Roman"/>
          <w:b/>
          <w:bCs/>
          <w:lang w:val="cs-CZ"/>
        </w:rPr>
        <w:t xml:space="preserve"> (PODROBNÉ </w:t>
      </w:r>
      <w:r w:rsidR="00990EBC" w:rsidRPr="000753C8">
        <w:rPr>
          <w:rFonts w:ascii="Times New Roman" w:hAnsi="Times New Roman"/>
          <w:b/>
          <w:bCs/>
          <w:lang w:val="cs-CZ"/>
        </w:rPr>
        <w:t>ÚDAJE UVÁDĚNÉ NA VNITŘNÍM OBALU</w:t>
      </w:r>
      <w:r w:rsidR="000926D3" w:rsidRPr="000753C8">
        <w:rPr>
          <w:rFonts w:ascii="Times New Roman" w:hAnsi="Times New Roman"/>
          <w:b/>
          <w:bCs/>
          <w:lang w:val="cs-CZ"/>
        </w:rPr>
        <w:t>)</w:t>
      </w:r>
      <w:r w:rsidR="00990EBC" w:rsidRPr="000753C8">
        <w:rPr>
          <w:rFonts w:ascii="Times New Roman" w:hAnsi="Times New Roman"/>
          <w:b/>
          <w:bCs/>
          <w:u w:val="single"/>
          <w:lang w:val="cs-CZ"/>
        </w:rPr>
        <w:t xml:space="preserve"> A</w:t>
      </w:r>
      <w:r w:rsidR="000753C8" w:rsidRPr="000753C8">
        <w:rPr>
          <w:rFonts w:ascii="Times New Roman" w:hAnsi="Times New Roman"/>
          <w:b/>
          <w:bCs/>
          <w:u w:val="single"/>
          <w:lang w:val="cs-CZ"/>
        </w:rPr>
        <w:t> </w:t>
      </w:r>
      <w:r w:rsidR="00990EBC" w:rsidRPr="000753C8">
        <w:rPr>
          <w:rFonts w:ascii="Times New Roman" w:hAnsi="Times New Roman"/>
          <w:b/>
          <w:bCs/>
          <w:u w:val="single"/>
          <w:lang w:val="cs-CZ"/>
        </w:rPr>
        <w:t>PŘÍBALOVÁ INFORMACE</w:t>
      </w:r>
    </w:p>
    <w:p w14:paraId="7E4AD249" w14:textId="5744BEF1" w:rsidR="00D12CFC" w:rsidRPr="000753C8" w:rsidRDefault="00990EBC" w:rsidP="0003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cs-CZ"/>
        </w:rPr>
      </w:pPr>
      <w:r w:rsidRPr="000753C8">
        <w:rPr>
          <w:rFonts w:ascii="Times New Roman" w:hAnsi="Times New Roman"/>
          <w:b/>
          <w:lang w:val="cs-CZ"/>
        </w:rPr>
        <w:t xml:space="preserve">Nádoby z </w:t>
      </w:r>
      <w:r w:rsidRPr="000753C8">
        <w:rPr>
          <w:rFonts w:ascii="Times New Roman" w:hAnsi="Times New Roman"/>
          <w:b/>
          <w:bCs/>
          <w:lang w:val="cs-CZ"/>
        </w:rPr>
        <w:t xml:space="preserve">HDPE o objemu </w:t>
      </w:r>
      <w:r w:rsidR="00D12CFC" w:rsidRPr="000753C8">
        <w:rPr>
          <w:rFonts w:ascii="Times New Roman" w:hAnsi="Times New Roman"/>
          <w:b/>
          <w:lang w:val="cs-CZ"/>
        </w:rPr>
        <w:t>100 m</w:t>
      </w:r>
      <w:r w:rsidRPr="000753C8">
        <w:rPr>
          <w:rFonts w:ascii="Times New Roman" w:hAnsi="Times New Roman"/>
          <w:b/>
          <w:lang w:val="cs-CZ"/>
        </w:rPr>
        <w:t>l</w:t>
      </w:r>
      <w:r w:rsidR="00D12CFC" w:rsidRPr="000753C8">
        <w:rPr>
          <w:rFonts w:ascii="Times New Roman" w:hAnsi="Times New Roman"/>
          <w:b/>
          <w:lang w:val="cs-CZ"/>
        </w:rPr>
        <w:t xml:space="preserve">, 1 </w:t>
      </w:r>
      <w:r w:rsidRPr="000753C8">
        <w:rPr>
          <w:rFonts w:ascii="Times New Roman" w:hAnsi="Times New Roman"/>
          <w:b/>
          <w:lang w:val="cs-CZ"/>
        </w:rPr>
        <w:t>l</w:t>
      </w:r>
      <w:r w:rsidR="00D12CFC" w:rsidRPr="000753C8">
        <w:rPr>
          <w:rFonts w:ascii="Times New Roman" w:hAnsi="Times New Roman"/>
          <w:b/>
          <w:lang w:val="cs-CZ"/>
        </w:rPr>
        <w:t xml:space="preserve"> a 5 </w:t>
      </w:r>
      <w:r w:rsidRPr="000753C8">
        <w:rPr>
          <w:rFonts w:ascii="Times New Roman" w:hAnsi="Times New Roman"/>
          <w:b/>
          <w:lang w:val="cs-CZ"/>
        </w:rPr>
        <w:t>l</w:t>
      </w:r>
    </w:p>
    <w:p w14:paraId="6D8C5A91" w14:textId="249E1178" w:rsidR="00B07519" w:rsidRPr="000753C8" w:rsidRDefault="000926D3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J</w:t>
      </w:r>
      <w:r w:rsidR="008258A6" w:rsidRPr="000753C8">
        <w:rPr>
          <w:rFonts w:ascii="Times New Roman" w:hAnsi="Times New Roman"/>
          <w:lang w:val="cs-CZ"/>
        </w:rPr>
        <w:t xml:space="preserve">MÉNO A ADRESA DRŽITELE ROZHODNUTÍ O REGISTRACI A DRŽITELE POVOLENÍ K VÝROBĚ ODPOVĚDNÉHO ZA </w:t>
      </w:r>
      <w:r w:rsidRPr="000753C8">
        <w:rPr>
          <w:rFonts w:ascii="Times New Roman" w:hAnsi="Times New Roman"/>
          <w:lang w:val="cs-CZ"/>
        </w:rPr>
        <w:t xml:space="preserve">UVOLNĚNÍ </w:t>
      </w:r>
      <w:r w:rsidR="008258A6" w:rsidRPr="000753C8">
        <w:rPr>
          <w:rFonts w:ascii="Times New Roman" w:hAnsi="Times New Roman"/>
          <w:lang w:val="cs-CZ"/>
        </w:rPr>
        <w:t>ŠARŽ</w:t>
      </w:r>
      <w:r w:rsidRPr="000753C8">
        <w:rPr>
          <w:rFonts w:ascii="Times New Roman" w:hAnsi="Times New Roman"/>
          <w:lang w:val="cs-CZ"/>
        </w:rPr>
        <w:t>E, POKUD SE NESHODUJE</w:t>
      </w:r>
    </w:p>
    <w:p w14:paraId="3C7B622A" w14:textId="77777777" w:rsidR="00E94229" w:rsidRPr="000753C8" w:rsidRDefault="00E94229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6471B7E7" w14:textId="287AC650" w:rsidR="00D259BA" w:rsidRPr="000753C8" w:rsidRDefault="00D259BA" w:rsidP="00D259BA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Držitel rozhodnutí o registraci a výrobce odpovědný za </w:t>
      </w:r>
      <w:r w:rsidR="000926D3" w:rsidRPr="000753C8">
        <w:rPr>
          <w:rFonts w:ascii="Times New Roman" w:hAnsi="Times New Roman"/>
          <w:lang w:val="cs-CZ"/>
        </w:rPr>
        <w:t xml:space="preserve">uvolnění </w:t>
      </w:r>
      <w:r w:rsidRPr="000753C8">
        <w:rPr>
          <w:rFonts w:ascii="Times New Roman" w:hAnsi="Times New Roman"/>
          <w:lang w:val="cs-CZ"/>
        </w:rPr>
        <w:t>šarž</w:t>
      </w:r>
      <w:r w:rsidR="000926D3" w:rsidRPr="000753C8">
        <w:rPr>
          <w:rFonts w:ascii="Times New Roman" w:hAnsi="Times New Roman"/>
          <w:lang w:val="cs-CZ"/>
        </w:rPr>
        <w:t>e</w:t>
      </w:r>
      <w:r w:rsidRPr="000753C8">
        <w:rPr>
          <w:rFonts w:ascii="Times New Roman" w:hAnsi="Times New Roman"/>
          <w:lang w:val="cs-CZ"/>
        </w:rPr>
        <w:t>:</w:t>
      </w:r>
    </w:p>
    <w:p w14:paraId="79A9002A" w14:textId="77777777" w:rsidR="00B07519" w:rsidRPr="000753C8" w:rsidRDefault="00CC0251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HUVEPHARMA SA</w:t>
      </w:r>
      <w:r w:rsidRPr="000753C8">
        <w:rPr>
          <w:rFonts w:ascii="Times New Roman" w:hAnsi="Times New Roman"/>
          <w:lang w:val="cs-CZ"/>
        </w:rPr>
        <w:br/>
        <w:t>34 rue Jean Monnet</w:t>
      </w:r>
    </w:p>
    <w:p w14:paraId="637856FF" w14:textId="77777777" w:rsidR="00B07519" w:rsidRPr="000753C8" w:rsidRDefault="00CC0251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Z.I. d’Etriché</w:t>
      </w:r>
    </w:p>
    <w:p w14:paraId="1AAE6BB3" w14:textId="77777777" w:rsidR="00CC0251" w:rsidRPr="000753C8" w:rsidRDefault="00CC0251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Segré</w:t>
      </w:r>
    </w:p>
    <w:p w14:paraId="30667D8E" w14:textId="77777777" w:rsidR="00B07519" w:rsidRPr="000753C8" w:rsidRDefault="00CC0251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49500 Segré-en-Anjou Bleu</w:t>
      </w:r>
    </w:p>
    <w:p w14:paraId="66EB8E05" w14:textId="77777777" w:rsidR="00B07519" w:rsidRPr="000753C8" w:rsidRDefault="00B07519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Francie</w:t>
      </w:r>
    </w:p>
    <w:p w14:paraId="75B4430F" w14:textId="77777777" w:rsidR="008258A6" w:rsidRPr="000753C8" w:rsidRDefault="008258A6">
      <w:pPr>
        <w:spacing w:after="0" w:line="240" w:lineRule="auto"/>
        <w:rPr>
          <w:rFonts w:ascii="Times New Roman" w:hAnsi="Times New Roman"/>
          <w:lang w:val="cs-CZ"/>
        </w:rPr>
      </w:pPr>
    </w:p>
    <w:p w14:paraId="1F7D9036" w14:textId="77777777" w:rsidR="0089116B" w:rsidRPr="00BF00E0" w:rsidRDefault="0089116B" w:rsidP="00D302D0">
      <w:pPr>
        <w:spacing w:after="0" w:line="240" w:lineRule="auto"/>
        <w:ind w:firstLine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nebo</w:t>
      </w:r>
    </w:p>
    <w:p w14:paraId="2F12218A" w14:textId="77777777" w:rsidR="0089116B" w:rsidRPr="00BF00E0" w:rsidRDefault="0089116B">
      <w:pPr>
        <w:spacing w:after="0" w:line="240" w:lineRule="auto"/>
        <w:rPr>
          <w:rFonts w:ascii="Times New Roman" w:hAnsi="Times New Roman"/>
          <w:highlight w:val="lightGray"/>
          <w:lang w:val="cs-CZ"/>
        </w:rPr>
      </w:pPr>
    </w:p>
    <w:p w14:paraId="659D6E44" w14:textId="77777777" w:rsidR="0089116B" w:rsidRPr="00BF00E0" w:rsidRDefault="0089116B" w:rsidP="00D302D0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Držitel rozhodnutí o registraci:</w:t>
      </w:r>
    </w:p>
    <w:p w14:paraId="639C1D50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HUVEPHARMA SA</w:t>
      </w:r>
      <w:r w:rsidRPr="00BF00E0">
        <w:rPr>
          <w:rFonts w:ascii="Times New Roman" w:hAnsi="Times New Roman"/>
          <w:highlight w:val="lightGray"/>
          <w:lang w:val="cs-CZ"/>
        </w:rPr>
        <w:br/>
        <w:t>34 rue Jean Monnet</w:t>
      </w:r>
    </w:p>
    <w:p w14:paraId="771D7481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Z.I. d’Etriché</w:t>
      </w:r>
    </w:p>
    <w:p w14:paraId="400B6F07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Segré</w:t>
      </w:r>
    </w:p>
    <w:p w14:paraId="11AF2441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49500 Segré-en-Anjou Bleu</w:t>
      </w:r>
    </w:p>
    <w:p w14:paraId="070E9ABF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Francie</w:t>
      </w:r>
    </w:p>
    <w:p w14:paraId="56534FA7" w14:textId="77777777" w:rsidR="0089116B" w:rsidRPr="00BF00E0" w:rsidRDefault="0089116B" w:rsidP="0089116B">
      <w:pPr>
        <w:spacing w:after="0" w:line="240" w:lineRule="auto"/>
        <w:rPr>
          <w:rFonts w:ascii="Times New Roman" w:hAnsi="Times New Roman"/>
          <w:highlight w:val="lightGray"/>
          <w:lang w:val="cs-CZ"/>
        </w:rPr>
      </w:pPr>
    </w:p>
    <w:p w14:paraId="55239155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Výrobce odpovědný za uvolnění šarže:</w:t>
      </w:r>
    </w:p>
    <w:p w14:paraId="508B57A6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Biovet Joint Stock Company</w:t>
      </w:r>
    </w:p>
    <w:p w14:paraId="0CAE591E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39 Petar Rakov Str.</w:t>
      </w:r>
    </w:p>
    <w:p w14:paraId="179D9743" w14:textId="77777777" w:rsidR="0089116B" w:rsidRPr="00BF00E0" w:rsidRDefault="0089116B" w:rsidP="0089116B">
      <w:pPr>
        <w:spacing w:after="0" w:line="240" w:lineRule="auto"/>
        <w:ind w:left="709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4550 Peshtera</w:t>
      </w:r>
    </w:p>
    <w:p w14:paraId="13C0A422" w14:textId="0916A596" w:rsidR="0089116B" w:rsidRPr="000753C8" w:rsidRDefault="0089116B" w:rsidP="0089116B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Bul</w:t>
      </w:r>
      <w:r w:rsidR="00873210" w:rsidRPr="00BF00E0">
        <w:rPr>
          <w:rFonts w:ascii="Times New Roman" w:hAnsi="Times New Roman"/>
          <w:highlight w:val="lightGray"/>
          <w:lang w:val="cs-CZ"/>
        </w:rPr>
        <w:t>harsko</w:t>
      </w:r>
    </w:p>
    <w:p w14:paraId="60656811" w14:textId="77777777" w:rsidR="0089116B" w:rsidRPr="000753C8" w:rsidRDefault="0089116B" w:rsidP="00D302D0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2D564B77" w14:textId="77777777" w:rsidR="00984073" w:rsidRPr="000753C8" w:rsidRDefault="00984073">
      <w:pPr>
        <w:spacing w:after="0" w:line="240" w:lineRule="auto"/>
        <w:rPr>
          <w:rFonts w:ascii="Times New Roman" w:hAnsi="Times New Roman"/>
          <w:lang w:val="cs-CZ"/>
        </w:rPr>
      </w:pPr>
    </w:p>
    <w:p w14:paraId="6299CE4C" w14:textId="77777777" w:rsidR="00C079FF" w:rsidRPr="000753C8" w:rsidRDefault="00C079FF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NÁZEV VETERINÁRNÍHO LÉČIVÉHO PŘÍPRAVKU</w:t>
      </w:r>
    </w:p>
    <w:p w14:paraId="418C310C" w14:textId="77777777" w:rsidR="00E94229" w:rsidRPr="000753C8" w:rsidRDefault="00E94229" w:rsidP="007B1D1C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3A42615E" w14:textId="77777777" w:rsidR="0068564B" w:rsidRPr="000753C8" w:rsidRDefault="00F91EA7" w:rsidP="007B1D1C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AMPROLINE 400 mg/ml roztok pro </w:t>
      </w:r>
      <w:r w:rsidR="000A20E0" w:rsidRPr="000753C8">
        <w:rPr>
          <w:rFonts w:ascii="Times New Roman" w:hAnsi="Times New Roman"/>
          <w:lang w:val="cs-CZ"/>
        </w:rPr>
        <w:t xml:space="preserve">podání </w:t>
      </w:r>
      <w:r w:rsidRPr="000753C8">
        <w:rPr>
          <w:rFonts w:ascii="Times New Roman" w:hAnsi="Times New Roman"/>
          <w:lang w:val="cs-CZ"/>
        </w:rPr>
        <w:t xml:space="preserve">v pitné vodě pro </w:t>
      </w:r>
      <w:r w:rsidR="00EB1DC5" w:rsidRPr="000753C8">
        <w:rPr>
          <w:rFonts w:ascii="Times New Roman" w:hAnsi="Times New Roman"/>
          <w:lang w:val="cs-CZ"/>
        </w:rPr>
        <w:t xml:space="preserve">kura domácího </w:t>
      </w:r>
      <w:r w:rsidRPr="000753C8">
        <w:rPr>
          <w:rFonts w:ascii="Times New Roman" w:hAnsi="Times New Roman"/>
          <w:lang w:val="cs-CZ"/>
        </w:rPr>
        <w:t>a krůty</w:t>
      </w:r>
    </w:p>
    <w:p w14:paraId="1F9E1BFB" w14:textId="77777777" w:rsidR="0068564B" w:rsidRPr="000753C8" w:rsidRDefault="000A20E0" w:rsidP="007B1D1C">
      <w:pPr>
        <w:pStyle w:val="Odstavecseseznamem"/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Léčivá </w:t>
      </w:r>
      <w:r w:rsidR="009B4B1E" w:rsidRPr="000753C8">
        <w:rPr>
          <w:rFonts w:ascii="Times New Roman" w:hAnsi="Times New Roman"/>
          <w:lang w:val="cs-CZ"/>
        </w:rPr>
        <w:t>látka: amprolium (jako hydrochlorid</w:t>
      </w:r>
      <w:r w:rsidRPr="000753C8">
        <w:rPr>
          <w:rFonts w:ascii="Times New Roman" w:hAnsi="Times New Roman"/>
          <w:lang w:val="cs-CZ"/>
        </w:rPr>
        <w:t>um</w:t>
      </w:r>
      <w:r w:rsidR="009B4B1E" w:rsidRPr="000753C8">
        <w:rPr>
          <w:rFonts w:ascii="Times New Roman" w:hAnsi="Times New Roman"/>
          <w:lang w:val="cs-CZ"/>
        </w:rPr>
        <w:t>)</w:t>
      </w:r>
    </w:p>
    <w:p w14:paraId="0FA434F1" w14:textId="77777777" w:rsidR="0068564B" w:rsidRPr="000753C8" w:rsidRDefault="0068564B" w:rsidP="007B1D1C">
      <w:pPr>
        <w:pStyle w:val="Odstavecseseznamem"/>
        <w:spacing w:after="0" w:line="240" w:lineRule="auto"/>
        <w:rPr>
          <w:rFonts w:ascii="Times New Roman" w:hAnsi="Times New Roman"/>
          <w:lang w:val="cs-CZ"/>
        </w:rPr>
      </w:pPr>
    </w:p>
    <w:p w14:paraId="298FC357" w14:textId="77777777" w:rsidR="00F91EA7" w:rsidRPr="000753C8" w:rsidRDefault="00F91EA7" w:rsidP="007B1D1C">
      <w:pPr>
        <w:pStyle w:val="Odstavecseseznamem"/>
        <w:spacing w:after="0" w:line="240" w:lineRule="auto"/>
        <w:rPr>
          <w:rFonts w:ascii="Times New Roman" w:hAnsi="Times New Roman"/>
          <w:lang w:val="cs-CZ"/>
        </w:rPr>
      </w:pPr>
    </w:p>
    <w:p w14:paraId="0B45A684" w14:textId="77777777" w:rsidR="0068564B" w:rsidRPr="000753C8" w:rsidRDefault="00517253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OBSAH LÉČIVÝCH A OSTATNÍCH LÁTEK</w:t>
      </w:r>
    </w:p>
    <w:p w14:paraId="0A11DB7D" w14:textId="77777777" w:rsidR="00794401" w:rsidRPr="000753C8" w:rsidRDefault="00794401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A1E1377" w14:textId="2473CAF3" w:rsidR="005906D7" w:rsidRPr="000753C8" w:rsidRDefault="000A20E0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Každý </w:t>
      </w:r>
      <w:r w:rsidR="00D869C6" w:rsidRPr="000753C8">
        <w:rPr>
          <w:rFonts w:ascii="Times New Roman" w:hAnsi="Times New Roman"/>
          <w:lang w:val="cs-CZ"/>
        </w:rPr>
        <w:t>ml obsahuje:</w:t>
      </w:r>
    </w:p>
    <w:p w14:paraId="1EDD99E5" w14:textId="77777777" w:rsidR="00D869C6" w:rsidRPr="000753C8" w:rsidRDefault="00D869C6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6659B9E" w14:textId="77777777" w:rsidR="00D869C6" w:rsidRPr="000753C8" w:rsidRDefault="000A20E0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Léčivá </w:t>
      </w:r>
      <w:r w:rsidR="00D869C6" w:rsidRPr="000753C8">
        <w:rPr>
          <w:rFonts w:ascii="Times New Roman" w:hAnsi="Times New Roman"/>
          <w:lang w:val="cs-CZ"/>
        </w:rPr>
        <w:t>látka:</w:t>
      </w:r>
    </w:p>
    <w:p w14:paraId="730FC36D" w14:textId="4512A3F8" w:rsidR="00D869C6" w:rsidRPr="000753C8" w:rsidRDefault="004B3D5E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Amprolium ……………….400,0 mg</w:t>
      </w:r>
    </w:p>
    <w:p w14:paraId="3EC9344B" w14:textId="7729323D" w:rsidR="00EB7621" w:rsidRPr="000753C8" w:rsidRDefault="00EB7621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(</w:t>
      </w:r>
      <w:r w:rsidR="000A20E0" w:rsidRPr="000753C8">
        <w:rPr>
          <w:rFonts w:ascii="Times New Roman" w:hAnsi="Times New Roman"/>
          <w:lang w:val="cs-CZ"/>
        </w:rPr>
        <w:t>odpovídá</w:t>
      </w:r>
      <w:r w:rsidRPr="000753C8">
        <w:rPr>
          <w:rFonts w:ascii="Times New Roman" w:hAnsi="Times New Roman"/>
          <w:lang w:val="cs-CZ"/>
        </w:rPr>
        <w:t> </w:t>
      </w:r>
      <w:r w:rsidR="00990EBC" w:rsidRPr="000753C8">
        <w:rPr>
          <w:rFonts w:ascii="Times New Roman" w:hAnsi="Times New Roman"/>
          <w:lang w:val="cs-CZ"/>
        </w:rPr>
        <w:t xml:space="preserve">452,4 mg </w:t>
      </w:r>
      <w:r w:rsidR="000A20E0" w:rsidRPr="000753C8">
        <w:rPr>
          <w:rFonts w:ascii="Times New Roman" w:hAnsi="Times New Roman"/>
          <w:lang w:val="cs-CZ"/>
        </w:rPr>
        <w:t xml:space="preserve">amprolii </w:t>
      </w:r>
      <w:r w:rsidRPr="000753C8">
        <w:rPr>
          <w:rFonts w:ascii="Times New Roman" w:hAnsi="Times New Roman"/>
          <w:lang w:val="cs-CZ"/>
        </w:rPr>
        <w:t>hydrochloridu</w:t>
      </w:r>
      <w:r w:rsidR="000A20E0" w:rsidRPr="000753C8">
        <w:rPr>
          <w:rFonts w:ascii="Times New Roman" w:hAnsi="Times New Roman"/>
          <w:lang w:val="cs-CZ"/>
        </w:rPr>
        <w:t>m</w:t>
      </w:r>
      <w:r w:rsidRPr="000753C8">
        <w:rPr>
          <w:rFonts w:ascii="Times New Roman" w:hAnsi="Times New Roman"/>
          <w:lang w:val="cs-CZ"/>
        </w:rPr>
        <w:t>)</w:t>
      </w:r>
    </w:p>
    <w:p w14:paraId="47E7F949" w14:textId="77777777" w:rsidR="00F91EA7" w:rsidRPr="000753C8" w:rsidRDefault="00F91EA7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9534FC5" w14:textId="77777777" w:rsidR="00F91EA7" w:rsidRPr="000753C8" w:rsidRDefault="00F91EA7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Pomocné látky:</w:t>
      </w:r>
    </w:p>
    <w:p w14:paraId="7C2801C5" w14:textId="77777777" w:rsidR="00F91EA7" w:rsidRPr="000753C8" w:rsidRDefault="00F91EA7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Konzervant: kyselina sorbová (E</w:t>
      </w:r>
      <w:r w:rsidR="000A20E0" w:rsidRPr="000753C8">
        <w:rPr>
          <w:rFonts w:ascii="Times New Roman" w:hAnsi="Times New Roman"/>
          <w:lang w:val="cs-CZ"/>
        </w:rPr>
        <w:t xml:space="preserve"> </w:t>
      </w:r>
      <w:r w:rsidRPr="000753C8">
        <w:rPr>
          <w:rFonts w:ascii="Times New Roman" w:hAnsi="Times New Roman"/>
          <w:lang w:val="cs-CZ"/>
        </w:rPr>
        <w:t>200)…………….0,5 mg</w:t>
      </w:r>
    </w:p>
    <w:p w14:paraId="25D8CE2A" w14:textId="77777777" w:rsidR="00D869C6" w:rsidRPr="000753C8" w:rsidRDefault="00D869C6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69F4CE" w14:textId="77777777" w:rsidR="009C1A4D" w:rsidRPr="000753C8" w:rsidRDefault="009C1A4D" w:rsidP="009C1A4D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0E14A9E" w14:textId="77777777" w:rsidR="009C1A4D" w:rsidRPr="000753C8" w:rsidRDefault="009C1A4D" w:rsidP="009C1A4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LÉKOVÁ FORMA</w:t>
      </w:r>
    </w:p>
    <w:p w14:paraId="1DF869B0" w14:textId="77777777" w:rsidR="009C1A4D" w:rsidRPr="000753C8" w:rsidRDefault="009C1A4D" w:rsidP="009C1A4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5DFB5A0E" w14:textId="2E30C063" w:rsidR="009C1A4D" w:rsidRPr="000753C8" w:rsidRDefault="009B4C17" w:rsidP="009C1A4D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lastRenderedPageBreak/>
        <w:t xml:space="preserve">Roztok pro </w:t>
      </w:r>
      <w:r w:rsidR="000A20E0" w:rsidRPr="000753C8">
        <w:rPr>
          <w:rFonts w:ascii="Times New Roman" w:hAnsi="Times New Roman"/>
          <w:lang w:val="cs-CZ"/>
        </w:rPr>
        <w:t xml:space="preserve">podání </w:t>
      </w:r>
      <w:r w:rsidRPr="000753C8">
        <w:rPr>
          <w:rFonts w:ascii="Times New Roman" w:hAnsi="Times New Roman"/>
          <w:lang w:val="cs-CZ"/>
        </w:rPr>
        <w:t>v pitné vodě</w:t>
      </w:r>
    </w:p>
    <w:p w14:paraId="1F5173DA" w14:textId="12D63C87" w:rsidR="00990EBC" w:rsidRPr="000753C8" w:rsidRDefault="00990EBC" w:rsidP="009C1A4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3FDCC1B6" w14:textId="601B582F" w:rsidR="00990EBC" w:rsidRPr="000753C8" w:rsidRDefault="00990EBC" w:rsidP="009C1A4D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Čirý roztok</w:t>
      </w:r>
      <w:r w:rsidR="00EA5FB6" w:rsidRPr="000753C8">
        <w:rPr>
          <w:rFonts w:ascii="Times New Roman" w:hAnsi="Times New Roman"/>
          <w:lang w:val="cs-CZ"/>
        </w:rPr>
        <w:t xml:space="preserve"> žluté barvy</w:t>
      </w:r>
    </w:p>
    <w:p w14:paraId="0EBAB21E" w14:textId="77777777" w:rsidR="009C1A4D" w:rsidRPr="000753C8" w:rsidRDefault="009C1A4D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B4FD302" w14:textId="77777777" w:rsidR="009D2895" w:rsidRPr="000753C8" w:rsidRDefault="009D2895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05ED0B7" w14:textId="77777777" w:rsidR="009D2895" w:rsidRPr="000753C8" w:rsidRDefault="004121D7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VELIKOST </w:t>
      </w:r>
      <w:r w:rsidR="009D2895" w:rsidRPr="000753C8">
        <w:rPr>
          <w:rFonts w:ascii="Times New Roman" w:hAnsi="Times New Roman"/>
          <w:lang w:val="cs-CZ"/>
        </w:rPr>
        <w:t>BALENÍ</w:t>
      </w:r>
    </w:p>
    <w:p w14:paraId="4079BFEB" w14:textId="77777777" w:rsidR="0076553E" w:rsidRPr="000753C8" w:rsidRDefault="0076553E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19C46022" w14:textId="77777777" w:rsidR="005906D7" w:rsidRPr="000753C8" w:rsidRDefault="00F91EA7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100 ml</w:t>
      </w:r>
    </w:p>
    <w:p w14:paraId="1DA8AFF3" w14:textId="77777777" w:rsidR="00EF3159" w:rsidRPr="00BF00E0" w:rsidRDefault="00EF3159" w:rsidP="007B1D1C">
      <w:pPr>
        <w:pStyle w:val="Odstavecseseznamem"/>
        <w:spacing w:after="0" w:line="240" w:lineRule="auto"/>
        <w:jc w:val="both"/>
        <w:rPr>
          <w:rFonts w:ascii="Times New Roman" w:hAnsi="Times New Roman"/>
          <w:highlight w:val="lightGray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1 l</w:t>
      </w:r>
    </w:p>
    <w:p w14:paraId="6B72CE92" w14:textId="77777777" w:rsidR="00E9611D" w:rsidRPr="000753C8" w:rsidRDefault="00E9611D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BF00E0">
        <w:rPr>
          <w:rFonts w:ascii="Times New Roman" w:hAnsi="Times New Roman"/>
          <w:highlight w:val="lightGray"/>
          <w:lang w:val="cs-CZ"/>
        </w:rPr>
        <w:t>5 l</w:t>
      </w:r>
    </w:p>
    <w:p w14:paraId="2E6BBA51" w14:textId="77777777" w:rsidR="00B07519" w:rsidRPr="000753C8" w:rsidRDefault="00B07519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5D771E4" w14:textId="77777777" w:rsidR="00B07519" w:rsidRPr="000753C8" w:rsidRDefault="00B07519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5392812" w14:textId="77777777" w:rsidR="00B07519" w:rsidRPr="000753C8" w:rsidRDefault="00B07519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INDIKACE</w:t>
      </w:r>
    </w:p>
    <w:p w14:paraId="5CC31846" w14:textId="77777777" w:rsidR="00E94229" w:rsidRPr="000753C8" w:rsidRDefault="00E94229" w:rsidP="007B1D1C">
      <w:pPr>
        <w:spacing w:after="0" w:line="240" w:lineRule="auto"/>
        <w:ind w:left="720"/>
        <w:jc w:val="both"/>
        <w:rPr>
          <w:rFonts w:ascii="Times New Roman" w:hAnsi="Times New Roman"/>
          <w:lang w:val="cs-CZ"/>
        </w:rPr>
      </w:pPr>
    </w:p>
    <w:p w14:paraId="4387182F" w14:textId="77777777" w:rsidR="00030D69" w:rsidRPr="000753C8" w:rsidRDefault="00F91EA7" w:rsidP="007B1D1C">
      <w:pPr>
        <w:spacing w:after="0" w:line="240" w:lineRule="auto"/>
        <w:ind w:left="720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Léčba střevní kokcidiózy </w:t>
      </w:r>
      <w:r w:rsidR="00EB1DC5" w:rsidRPr="000753C8">
        <w:rPr>
          <w:rFonts w:ascii="Times New Roman" w:hAnsi="Times New Roman"/>
          <w:lang w:val="cs-CZ"/>
        </w:rPr>
        <w:t xml:space="preserve">vyvolané </w:t>
      </w:r>
      <w:r w:rsidRPr="000753C8">
        <w:rPr>
          <w:rFonts w:ascii="Times New Roman" w:hAnsi="Times New Roman"/>
          <w:i/>
          <w:lang w:val="cs-CZ"/>
        </w:rPr>
        <w:t xml:space="preserve">Eimeria </w:t>
      </w:r>
      <w:r w:rsidRPr="000753C8">
        <w:rPr>
          <w:rFonts w:ascii="Times New Roman" w:hAnsi="Times New Roman"/>
          <w:lang w:val="cs-CZ"/>
        </w:rPr>
        <w:t>spp</w:t>
      </w:r>
      <w:r w:rsidRPr="000753C8">
        <w:rPr>
          <w:rFonts w:ascii="Times New Roman" w:hAnsi="Times New Roman"/>
          <w:i/>
          <w:lang w:val="cs-CZ"/>
        </w:rPr>
        <w:t>.</w:t>
      </w:r>
      <w:r w:rsidRPr="000753C8">
        <w:rPr>
          <w:rFonts w:ascii="Times New Roman" w:hAnsi="Times New Roman"/>
          <w:lang w:val="cs-CZ"/>
        </w:rPr>
        <w:t xml:space="preserve"> citliv</w:t>
      </w:r>
      <w:r w:rsidR="00EB1DC5" w:rsidRPr="000753C8">
        <w:rPr>
          <w:rFonts w:ascii="Times New Roman" w:hAnsi="Times New Roman"/>
          <w:lang w:val="cs-CZ"/>
        </w:rPr>
        <w:t>ými k</w:t>
      </w:r>
      <w:r w:rsidRPr="000753C8">
        <w:rPr>
          <w:rFonts w:ascii="Times New Roman" w:hAnsi="Times New Roman"/>
          <w:lang w:val="cs-CZ"/>
        </w:rPr>
        <w:t xml:space="preserve"> amproliu.</w:t>
      </w:r>
    </w:p>
    <w:p w14:paraId="30B7AC5A" w14:textId="77777777" w:rsidR="00053A3D" w:rsidRPr="000753C8" w:rsidRDefault="00053A3D">
      <w:pPr>
        <w:spacing w:after="0" w:line="240" w:lineRule="auto"/>
        <w:ind w:left="709"/>
        <w:rPr>
          <w:rFonts w:ascii="Times New Roman" w:eastAsia="Times New Roman" w:hAnsi="Times New Roman"/>
          <w:lang w:val="cs-CZ" w:eastAsia="fr-FR"/>
        </w:rPr>
      </w:pPr>
    </w:p>
    <w:p w14:paraId="115BB40B" w14:textId="77777777" w:rsidR="00B07519" w:rsidRPr="000753C8" w:rsidRDefault="00B07519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616B815" w14:textId="77777777" w:rsidR="00B07519" w:rsidRPr="000753C8" w:rsidRDefault="00B07519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KONTRAINDIKACE</w:t>
      </w:r>
    </w:p>
    <w:p w14:paraId="30A0A5F1" w14:textId="77777777" w:rsidR="00E94229" w:rsidRPr="000753C8" w:rsidRDefault="00E94229">
      <w:pPr>
        <w:spacing w:after="0" w:line="240" w:lineRule="auto"/>
        <w:ind w:left="709"/>
        <w:jc w:val="both"/>
        <w:rPr>
          <w:rFonts w:ascii="Times New Roman" w:eastAsia="Times New Roman" w:hAnsi="Times New Roman"/>
          <w:lang w:val="cs-CZ" w:eastAsia="fr-FR"/>
        </w:rPr>
      </w:pPr>
    </w:p>
    <w:p w14:paraId="1E0ADDC1" w14:textId="011F4A5D" w:rsidR="00A54A1D" w:rsidRPr="000753C8" w:rsidRDefault="00A54A1D" w:rsidP="007C474F">
      <w:pPr>
        <w:spacing w:after="0" w:line="240" w:lineRule="auto"/>
        <w:ind w:firstLine="709"/>
        <w:rPr>
          <w:rFonts w:ascii="Times New Roman" w:eastAsia="Times New Roman" w:hAnsi="Times New Roman"/>
          <w:lang w:val="cs-CZ" w:eastAsia="fr-FR"/>
        </w:rPr>
      </w:pPr>
      <w:r w:rsidRPr="000753C8">
        <w:rPr>
          <w:rFonts w:ascii="Times New Roman" w:eastAsia="Times New Roman" w:hAnsi="Times New Roman"/>
          <w:lang w:val="cs-CZ" w:eastAsia="fr-FR"/>
        </w:rPr>
        <w:t>Nepoužívat v případech přecitlivělosti na léčivou látku, nebo na</w:t>
      </w:r>
      <w:r w:rsidR="00990EBC" w:rsidRPr="000753C8">
        <w:rPr>
          <w:rFonts w:ascii="Times New Roman" w:eastAsia="Times New Roman" w:hAnsi="Times New Roman"/>
          <w:lang w:val="cs-CZ" w:eastAsia="fr-FR"/>
        </w:rPr>
        <w:t xml:space="preserve"> některou</w:t>
      </w:r>
      <w:r w:rsidR="00782E0A" w:rsidRPr="000753C8">
        <w:rPr>
          <w:rFonts w:ascii="Times New Roman" w:eastAsia="Times New Roman" w:hAnsi="Times New Roman"/>
          <w:lang w:val="cs-CZ" w:eastAsia="fr-FR"/>
        </w:rPr>
        <w:t xml:space="preserve"> z</w:t>
      </w:r>
      <w:r w:rsidRPr="000753C8">
        <w:rPr>
          <w:rFonts w:ascii="Times New Roman" w:eastAsia="Times New Roman" w:hAnsi="Times New Roman"/>
          <w:lang w:val="cs-CZ" w:eastAsia="fr-FR"/>
        </w:rPr>
        <w:t xml:space="preserve"> </w:t>
      </w:r>
      <w:r w:rsidR="00782E0A" w:rsidRPr="000753C8">
        <w:rPr>
          <w:rFonts w:ascii="Times New Roman" w:eastAsia="Times New Roman" w:hAnsi="Times New Roman"/>
          <w:lang w:val="cs-CZ" w:eastAsia="fr-FR"/>
        </w:rPr>
        <w:t xml:space="preserve">pomocných </w:t>
      </w:r>
      <w:r w:rsidRPr="000753C8">
        <w:rPr>
          <w:rFonts w:ascii="Times New Roman" w:eastAsia="Times New Roman" w:hAnsi="Times New Roman"/>
          <w:lang w:val="cs-CZ" w:eastAsia="fr-FR"/>
        </w:rPr>
        <w:t>lát</w:t>
      </w:r>
      <w:r w:rsidR="00782E0A" w:rsidRPr="000753C8">
        <w:rPr>
          <w:rFonts w:ascii="Times New Roman" w:eastAsia="Times New Roman" w:hAnsi="Times New Roman"/>
          <w:lang w:val="cs-CZ" w:eastAsia="fr-FR"/>
        </w:rPr>
        <w:t>ek</w:t>
      </w:r>
      <w:r w:rsidRPr="000753C8">
        <w:rPr>
          <w:rFonts w:ascii="Times New Roman" w:eastAsia="Times New Roman" w:hAnsi="Times New Roman"/>
          <w:lang w:val="cs-CZ" w:eastAsia="fr-FR"/>
        </w:rPr>
        <w:t>.</w:t>
      </w:r>
    </w:p>
    <w:p w14:paraId="21E9E85E" w14:textId="77777777" w:rsidR="00053A3D" w:rsidRPr="000753C8" w:rsidRDefault="00053A3D" w:rsidP="000753C8">
      <w:pPr>
        <w:spacing w:after="0" w:line="240" w:lineRule="auto"/>
        <w:ind w:left="708"/>
        <w:jc w:val="both"/>
        <w:rPr>
          <w:rFonts w:ascii="Times New Roman" w:eastAsia="Times New Roman" w:hAnsi="Times New Roman"/>
          <w:lang w:val="cs-CZ" w:eastAsia="fr-FR"/>
        </w:rPr>
      </w:pPr>
    </w:p>
    <w:p w14:paraId="25841AEB" w14:textId="77777777" w:rsidR="004B3D5E" w:rsidRPr="000753C8" w:rsidRDefault="004B3D5E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580968C2" w14:textId="77777777" w:rsidR="00B07519" w:rsidRPr="000753C8" w:rsidRDefault="00B07519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NEŽÁDOUCÍ ÚČINKY</w:t>
      </w:r>
    </w:p>
    <w:p w14:paraId="7C04CDF0" w14:textId="77777777" w:rsidR="00B07519" w:rsidRPr="000753C8" w:rsidRDefault="00B07519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5F5D6CDE" w14:textId="77777777" w:rsidR="009B4B1E" w:rsidRPr="000753C8" w:rsidRDefault="00F91EA7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Nejsou znám</w:t>
      </w:r>
      <w:r w:rsidR="00EB1DC5" w:rsidRPr="000753C8">
        <w:rPr>
          <w:rFonts w:ascii="Times New Roman" w:hAnsi="Times New Roman"/>
          <w:lang w:val="cs-CZ"/>
        </w:rPr>
        <w:t>y</w:t>
      </w:r>
      <w:r w:rsidRPr="000753C8">
        <w:rPr>
          <w:rFonts w:ascii="Times New Roman" w:hAnsi="Times New Roman"/>
          <w:lang w:val="cs-CZ"/>
        </w:rPr>
        <w:t>.</w:t>
      </w:r>
    </w:p>
    <w:p w14:paraId="27A0CAB0" w14:textId="77777777" w:rsidR="00782E0A" w:rsidRPr="000753C8" w:rsidRDefault="00782E0A" w:rsidP="00036053">
      <w:pPr>
        <w:spacing w:after="0" w:line="240" w:lineRule="auto"/>
        <w:ind w:left="709"/>
        <w:jc w:val="both"/>
        <w:rPr>
          <w:rFonts w:ascii="Times New Roman" w:hAnsi="Times New Roman" w:cs="Segoe UI"/>
          <w:szCs w:val="20"/>
          <w:lang w:val="cs-CZ"/>
        </w:rPr>
      </w:pPr>
      <w:r w:rsidRPr="000753C8">
        <w:rPr>
          <w:rFonts w:ascii="Times New Roman" w:hAnsi="Times New Roman" w:cs="Segoe UI"/>
          <w:szCs w:val="20"/>
          <w:lang w:val="cs-CZ"/>
        </w:rPr>
        <w:t xml:space="preserve">Můžete také hlásit prostřednictvím celostátního systému hlášení nežádoucích účinků: </w:t>
      </w:r>
    </w:p>
    <w:p w14:paraId="5E8C8B24" w14:textId="77777777" w:rsidR="00782E0A" w:rsidRPr="000753C8" w:rsidRDefault="00782E0A" w:rsidP="00036053">
      <w:pPr>
        <w:tabs>
          <w:tab w:val="left" w:pos="567"/>
        </w:tabs>
        <w:spacing w:after="0" w:line="260" w:lineRule="exact"/>
        <w:ind w:left="709"/>
        <w:rPr>
          <w:rFonts w:ascii="Times New Roman" w:eastAsia="Times New Roman" w:hAnsi="Times New Roman"/>
          <w:szCs w:val="20"/>
          <w:lang w:val="cs-CZ"/>
        </w:rPr>
      </w:pPr>
      <w:r w:rsidRPr="000753C8">
        <w:rPr>
          <w:rFonts w:ascii="Times New Roman" w:eastAsia="Times New Roman" w:hAnsi="Times New Roman"/>
          <w:szCs w:val="20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50C2CFAD" w14:textId="77777777" w:rsidR="00782E0A" w:rsidRPr="000753C8" w:rsidRDefault="00782E0A" w:rsidP="00036053">
      <w:pPr>
        <w:tabs>
          <w:tab w:val="left" w:pos="567"/>
        </w:tabs>
        <w:spacing w:after="0" w:line="260" w:lineRule="exact"/>
        <w:ind w:left="709"/>
        <w:rPr>
          <w:rFonts w:ascii="Times New Roman" w:eastAsia="Times New Roman" w:hAnsi="Times New Roman"/>
          <w:szCs w:val="20"/>
          <w:lang w:val="cs-CZ"/>
        </w:rPr>
      </w:pPr>
      <w:r w:rsidRPr="000753C8">
        <w:rPr>
          <w:rFonts w:ascii="Times New Roman" w:eastAsia="Times New Roman" w:hAnsi="Times New Roman"/>
          <w:szCs w:val="20"/>
          <w:lang w:val="cs-CZ"/>
        </w:rPr>
        <w:t xml:space="preserve">Ústav pro státní kontrolu veterinárních biopreparátů a léčiv </w:t>
      </w:r>
    </w:p>
    <w:p w14:paraId="5CA5F364" w14:textId="77777777" w:rsidR="00782E0A" w:rsidRPr="000753C8" w:rsidRDefault="00782E0A" w:rsidP="00036053">
      <w:pPr>
        <w:tabs>
          <w:tab w:val="left" w:pos="567"/>
        </w:tabs>
        <w:spacing w:after="0" w:line="260" w:lineRule="exact"/>
        <w:ind w:left="709"/>
        <w:rPr>
          <w:rFonts w:ascii="Times New Roman" w:eastAsia="Times New Roman" w:hAnsi="Times New Roman"/>
          <w:szCs w:val="20"/>
          <w:lang w:val="cs-CZ"/>
        </w:rPr>
      </w:pPr>
      <w:r w:rsidRPr="000753C8">
        <w:rPr>
          <w:rFonts w:ascii="Times New Roman" w:eastAsia="Times New Roman" w:hAnsi="Times New Roman"/>
          <w:szCs w:val="20"/>
          <w:lang w:val="cs-CZ"/>
        </w:rPr>
        <w:t>Hudcova 56a</w:t>
      </w:r>
    </w:p>
    <w:p w14:paraId="65773179" w14:textId="77777777" w:rsidR="00782E0A" w:rsidRPr="000753C8" w:rsidRDefault="00782E0A" w:rsidP="00036053">
      <w:pPr>
        <w:tabs>
          <w:tab w:val="left" w:pos="567"/>
        </w:tabs>
        <w:spacing w:after="0" w:line="260" w:lineRule="exact"/>
        <w:ind w:left="709"/>
        <w:rPr>
          <w:rFonts w:ascii="Times New Roman" w:eastAsia="Times New Roman" w:hAnsi="Times New Roman"/>
          <w:szCs w:val="20"/>
          <w:lang w:val="cs-CZ"/>
        </w:rPr>
      </w:pPr>
      <w:r w:rsidRPr="000753C8">
        <w:rPr>
          <w:rFonts w:ascii="Times New Roman" w:eastAsia="Times New Roman" w:hAnsi="Times New Roman"/>
          <w:szCs w:val="20"/>
          <w:lang w:val="cs-CZ"/>
        </w:rPr>
        <w:t>621 00 Brno</w:t>
      </w:r>
    </w:p>
    <w:p w14:paraId="28B1C93F" w14:textId="77777777" w:rsidR="00782E0A" w:rsidRPr="000753C8" w:rsidRDefault="00782E0A" w:rsidP="00036053">
      <w:pPr>
        <w:tabs>
          <w:tab w:val="left" w:pos="567"/>
        </w:tabs>
        <w:spacing w:after="0" w:line="260" w:lineRule="exact"/>
        <w:ind w:left="709"/>
        <w:rPr>
          <w:rFonts w:ascii="Times New Roman" w:eastAsia="Times New Roman" w:hAnsi="Times New Roman"/>
          <w:szCs w:val="20"/>
          <w:lang w:val="cs-CZ"/>
        </w:rPr>
      </w:pPr>
      <w:r w:rsidRPr="000753C8">
        <w:rPr>
          <w:rFonts w:ascii="Times New Roman" w:eastAsia="Times New Roman" w:hAnsi="Times New Roman"/>
          <w:szCs w:val="20"/>
          <w:lang w:val="cs-CZ"/>
        </w:rPr>
        <w:t xml:space="preserve">Mail: </w:t>
      </w:r>
      <w:hyperlink r:id="rId8" w:history="1">
        <w:r w:rsidRPr="000753C8">
          <w:rPr>
            <w:rFonts w:ascii="Times New Roman" w:eastAsia="Times New Roman" w:hAnsi="Times New Roman"/>
            <w:color w:val="0000FF"/>
            <w:szCs w:val="20"/>
            <w:u w:val="single"/>
            <w:lang w:val="cs-CZ"/>
          </w:rPr>
          <w:t>adr@uskvbl.cz</w:t>
        </w:r>
      </w:hyperlink>
    </w:p>
    <w:p w14:paraId="1E266415" w14:textId="2874827E" w:rsidR="00B07519" w:rsidRPr="000753C8" w:rsidRDefault="00782E0A" w:rsidP="00036053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Webové stránky: </w:t>
      </w:r>
      <w:hyperlink r:id="rId9" w:history="1">
        <w:r w:rsidRPr="000753C8">
          <w:rPr>
            <w:rFonts w:ascii="Times New Roman" w:hAnsi="Times New Roman"/>
            <w:color w:val="0000FF"/>
            <w:u w:val="single"/>
            <w:lang w:val="cs-CZ"/>
          </w:rPr>
          <w:t>http://www.uskvbl.cz/cs/farmakovigilance</w:t>
        </w:r>
      </w:hyperlink>
      <w:r w:rsidR="00990EBC" w:rsidRPr="000753C8">
        <w:rPr>
          <w:rFonts w:ascii="Times New Roman" w:hAnsi="Times New Roman"/>
          <w:lang w:val="cs-CZ"/>
        </w:rPr>
        <w:t>.</w:t>
      </w:r>
    </w:p>
    <w:p w14:paraId="7AFE8B83" w14:textId="77777777" w:rsidR="00990EBC" w:rsidRPr="000753C8" w:rsidRDefault="00990EBC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1DA2E87" w14:textId="77777777" w:rsidR="00F95395" w:rsidRPr="000753C8" w:rsidRDefault="00F95395" w:rsidP="00F95395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A37D405" w14:textId="77777777" w:rsidR="004121D7" w:rsidRPr="000753C8" w:rsidRDefault="004121D7" w:rsidP="004121D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CÍLOVÝ DRUH ZVÍŘAT</w:t>
      </w:r>
    </w:p>
    <w:p w14:paraId="7ACDC1FE" w14:textId="77777777" w:rsidR="00F95395" w:rsidRPr="000753C8" w:rsidRDefault="00F95395" w:rsidP="00F95395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29828FB" w14:textId="18BEE8CC" w:rsidR="00F95395" w:rsidRPr="000753C8" w:rsidRDefault="00EB1DC5" w:rsidP="00F95395">
      <w:pPr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Kur domácí </w:t>
      </w:r>
      <w:r w:rsidR="00F95395" w:rsidRPr="000753C8">
        <w:rPr>
          <w:rFonts w:ascii="Times New Roman" w:hAnsi="Times New Roman"/>
          <w:lang w:val="cs-CZ"/>
        </w:rPr>
        <w:t xml:space="preserve">(brojleři, </w:t>
      </w:r>
      <w:r w:rsidR="002953C1" w:rsidRPr="000753C8">
        <w:rPr>
          <w:rFonts w:ascii="Times New Roman" w:hAnsi="Times New Roman"/>
          <w:lang w:val="cs-CZ"/>
        </w:rPr>
        <w:t>kuřice</w:t>
      </w:r>
      <w:r w:rsidR="00F95395" w:rsidRPr="000753C8">
        <w:rPr>
          <w:rFonts w:ascii="Times New Roman" w:hAnsi="Times New Roman"/>
          <w:lang w:val="cs-CZ"/>
        </w:rPr>
        <w:t>, nosnice a chovné slepice), krůty.</w:t>
      </w:r>
    </w:p>
    <w:p w14:paraId="6268FAD3" w14:textId="77777777" w:rsidR="00F91EA7" w:rsidRPr="000753C8" w:rsidRDefault="00F91EA7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06B6217" w14:textId="77777777" w:rsidR="004B3D5E" w:rsidRPr="000753C8" w:rsidRDefault="004B3D5E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29F0CB5" w14:textId="77777777" w:rsidR="004121D7" w:rsidRPr="000753C8" w:rsidRDefault="004121D7" w:rsidP="004121D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DÁVKOVÁNÍ PRO KAŽDÝ DRUH, CESTA(Y) A ZPŮSOB PODÁNÍ</w:t>
      </w:r>
    </w:p>
    <w:p w14:paraId="0AB75B71" w14:textId="77777777" w:rsidR="00794401" w:rsidRPr="000753C8" w:rsidRDefault="00794401" w:rsidP="007B1D1C">
      <w:pPr>
        <w:pStyle w:val="Odstavecseseznamem"/>
        <w:spacing w:after="0" w:line="240" w:lineRule="auto"/>
        <w:rPr>
          <w:rFonts w:ascii="Times New Roman" w:hAnsi="Times New Roman"/>
          <w:lang w:val="cs-CZ"/>
        </w:rPr>
      </w:pPr>
    </w:p>
    <w:p w14:paraId="373BAFCE" w14:textId="77777777" w:rsidR="00DB76B8" w:rsidRPr="000753C8" w:rsidRDefault="00EB1DC5" w:rsidP="007C4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cs-CZ" w:eastAsia="fr-FR"/>
        </w:rPr>
      </w:pPr>
      <w:r w:rsidRPr="000753C8">
        <w:rPr>
          <w:rFonts w:ascii="Times New Roman" w:eastAsia="Times New Roman" w:hAnsi="Times New Roman"/>
          <w:lang w:val="cs-CZ" w:eastAsia="fr-FR"/>
        </w:rPr>
        <w:t>Pro podání do</w:t>
      </w:r>
      <w:r w:rsidR="00DB76B8" w:rsidRPr="000753C8">
        <w:rPr>
          <w:rFonts w:ascii="Times New Roman" w:eastAsia="Times New Roman" w:hAnsi="Times New Roman"/>
          <w:lang w:val="cs-CZ" w:eastAsia="fr-FR"/>
        </w:rPr>
        <w:t xml:space="preserve"> pitné vody.</w:t>
      </w:r>
    </w:p>
    <w:p w14:paraId="07D43CB1" w14:textId="22BA8A4E" w:rsidR="005F246C" w:rsidRPr="000753C8" w:rsidRDefault="00EB1DC5" w:rsidP="00FB70FD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lang w:val="cs-CZ" w:eastAsia="fr-FR"/>
        </w:rPr>
      </w:pPr>
      <w:r w:rsidRPr="000753C8">
        <w:rPr>
          <w:rFonts w:ascii="Times New Roman" w:hAnsi="Times New Roman"/>
          <w:iCs/>
          <w:lang w:val="cs-CZ"/>
        </w:rPr>
        <w:t>D</w:t>
      </w:r>
      <w:r w:rsidR="00DB76B8" w:rsidRPr="000753C8">
        <w:rPr>
          <w:rFonts w:ascii="Times New Roman" w:hAnsi="Times New Roman"/>
          <w:iCs/>
          <w:lang w:val="cs-CZ"/>
        </w:rPr>
        <w:t>ávkování</w:t>
      </w:r>
      <w:r w:rsidR="00DB76B8" w:rsidRPr="000753C8">
        <w:rPr>
          <w:rFonts w:ascii="Times New Roman" w:hAnsi="Times New Roman"/>
          <w:iCs/>
          <w:lang w:val="cs-CZ" w:eastAsia="fr-FR"/>
        </w:rPr>
        <w:t xml:space="preserve"> pro každý cílový druh</w:t>
      </w:r>
      <w:r w:rsidR="005F246C" w:rsidRPr="000753C8">
        <w:rPr>
          <w:rFonts w:ascii="Times New Roman" w:hAnsi="Times New Roman"/>
          <w:lang w:val="cs-CZ"/>
        </w:rPr>
        <w:t>:</w:t>
      </w:r>
      <w:r w:rsidR="005F246C" w:rsidRPr="000753C8">
        <w:rPr>
          <w:rFonts w:ascii="Times New Roman" w:hAnsi="Times New Roman"/>
          <w:iCs/>
          <w:lang w:val="cs-CZ"/>
        </w:rPr>
        <w:t xml:space="preserve"> </w:t>
      </w:r>
      <w:r w:rsidRPr="000753C8">
        <w:rPr>
          <w:rFonts w:ascii="Times New Roman" w:hAnsi="Times New Roman"/>
          <w:iCs/>
          <w:lang w:val="cs-CZ"/>
        </w:rPr>
        <w:t>20 mg amprolia/</w:t>
      </w:r>
      <w:r w:rsidR="000753C8" w:rsidRPr="000753C8">
        <w:rPr>
          <w:rFonts w:ascii="Times New Roman" w:hAnsi="Times New Roman"/>
          <w:iCs/>
          <w:lang w:val="cs-CZ"/>
        </w:rPr>
        <w:t>kg živé hmotnosti</w:t>
      </w:r>
      <w:r w:rsidRPr="000753C8">
        <w:rPr>
          <w:rFonts w:ascii="Times New Roman" w:hAnsi="Times New Roman"/>
          <w:iCs/>
          <w:lang w:val="cs-CZ"/>
        </w:rPr>
        <w:t xml:space="preserve">/den (odpovídá 0,5 </w:t>
      </w:r>
      <w:r w:rsidR="000753C8" w:rsidRPr="000753C8">
        <w:rPr>
          <w:rFonts w:ascii="Times New Roman" w:hAnsi="Times New Roman"/>
          <w:iCs/>
          <w:lang w:val="cs-CZ"/>
        </w:rPr>
        <w:t>ml perorálního roztoku</w:t>
      </w:r>
      <w:r w:rsidRPr="000753C8">
        <w:rPr>
          <w:rFonts w:ascii="Times New Roman" w:hAnsi="Times New Roman"/>
          <w:iCs/>
          <w:lang w:val="cs-CZ"/>
        </w:rPr>
        <w:t>/10 kg živé hmotnosti/den) po dobu 5 až 7 po sobě jdoucích dnů.</w:t>
      </w:r>
    </w:p>
    <w:p w14:paraId="74291762" w14:textId="77777777" w:rsidR="005F246C" w:rsidRPr="000753C8" w:rsidRDefault="00D259BA" w:rsidP="00FB70FD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lang w:val="cs-CZ"/>
        </w:rPr>
      </w:pPr>
      <w:r w:rsidRPr="000753C8">
        <w:rPr>
          <w:rFonts w:ascii="Times New Roman" w:hAnsi="Times New Roman"/>
          <w:lang w:val="cs-CZ"/>
        </w:rPr>
        <w:t xml:space="preserve">Při přípravě </w:t>
      </w:r>
      <w:r w:rsidR="00EB1DC5" w:rsidRPr="000753C8">
        <w:rPr>
          <w:rFonts w:ascii="Times New Roman" w:hAnsi="Times New Roman"/>
          <w:lang w:val="cs-CZ"/>
        </w:rPr>
        <w:t>medikované vody</w:t>
      </w:r>
      <w:r w:rsidRPr="000753C8">
        <w:rPr>
          <w:rFonts w:ascii="Times New Roman" w:hAnsi="Times New Roman"/>
          <w:lang w:val="cs-CZ"/>
        </w:rPr>
        <w:t xml:space="preserve"> je třeba brát v úvahu </w:t>
      </w:r>
      <w:r w:rsidR="00EB1DC5" w:rsidRPr="000753C8">
        <w:rPr>
          <w:rFonts w:ascii="Times New Roman" w:hAnsi="Times New Roman"/>
          <w:lang w:val="cs-CZ"/>
        </w:rPr>
        <w:t>živou hmotnost</w:t>
      </w:r>
      <w:r w:rsidRPr="000753C8">
        <w:rPr>
          <w:rFonts w:ascii="Times New Roman" w:hAnsi="Times New Roman"/>
          <w:lang w:val="cs-CZ"/>
        </w:rPr>
        <w:t xml:space="preserve"> ošetřovaných zvířat a jejich skutečnou spotřebu vody za den. Spotřeba vody se může lišit v závislosti na různých faktorech jako například věku, zdravotním stavu, plemenu a systému chovu. Potřebné množství veterinárního léčivého přípravku v mililitrech na litr pitné vody vypočítáte pomocí následujícího vzorce:</w:t>
      </w:r>
    </w:p>
    <w:p w14:paraId="155FBC31" w14:textId="77777777" w:rsidR="000753C8" w:rsidRPr="000753C8" w:rsidRDefault="000753C8" w:rsidP="00DB76B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val="cs-CZ" w:eastAsia="fr-FR"/>
        </w:rPr>
      </w:pPr>
    </w:p>
    <w:p w14:paraId="14C35E2C" w14:textId="77777777" w:rsidR="000753C8" w:rsidRPr="000753C8" w:rsidRDefault="000753C8" w:rsidP="00DB76B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val="cs-CZ" w:eastAsia="fr-FR"/>
        </w:rPr>
      </w:pPr>
    </w:p>
    <w:p w14:paraId="26008492" w14:textId="77777777" w:rsidR="000753C8" w:rsidRPr="000753C8" w:rsidRDefault="000753C8" w:rsidP="00DB76B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val="cs-CZ" w:eastAsia="fr-FR"/>
        </w:rPr>
      </w:pPr>
    </w:p>
    <w:p w14:paraId="45935002" w14:textId="77777777" w:rsidR="00DB76B8" w:rsidRPr="000753C8" w:rsidRDefault="00DB76B8" w:rsidP="00DB76B8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  <w:lang w:val="cs-CZ" w:eastAsia="fr-FR"/>
        </w:rPr>
      </w:pPr>
      <w:r w:rsidRPr="000753C8">
        <w:rPr>
          <w:rFonts w:ascii="Times New Roman" w:eastAsia="Times New Roman" w:hAnsi="Times New Roman"/>
          <w:szCs w:val="24"/>
          <w:lang w:val="cs-CZ" w:eastAsia="fr-FR"/>
        </w:rPr>
        <w:lastRenderedPageBreak/>
        <w:t>0,05 ml přípravku</w:t>
      </w:r>
      <w:r w:rsidR="00EB1DC5" w:rsidRPr="000753C8">
        <w:rPr>
          <w:rFonts w:ascii="Times New Roman" w:eastAsia="Times New Roman" w:hAnsi="Times New Roman"/>
          <w:szCs w:val="24"/>
          <w:lang w:val="cs-CZ" w:eastAsia="fr-FR"/>
        </w:rPr>
        <w:t xml:space="preserve">    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ab/>
        <w:t xml:space="preserve">průměrná </w:t>
      </w:r>
      <w:r w:rsidR="00EB1DC5" w:rsidRPr="000753C8">
        <w:rPr>
          <w:rFonts w:ascii="Times New Roman" w:eastAsia="Times New Roman" w:hAnsi="Times New Roman"/>
          <w:szCs w:val="24"/>
          <w:lang w:val="cs-CZ" w:eastAsia="fr-FR"/>
        </w:rPr>
        <w:t>živá hmotnost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 (kg)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ab/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ab/>
        <w:t>počet</w:t>
      </w:r>
    </w:p>
    <w:p w14:paraId="3F7134C5" w14:textId="77777777" w:rsidR="00DB76B8" w:rsidRPr="000753C8" w:rsidRDefault="00DB76B8" w:rsidP="00DB76B8">
      <w:pPr>
        <w:spacing w:after="0" w:line="240" w:lineRule="auto"/>
        <w:ind w:left="3119" w:hanging="3119"/>
        <w:rPr>
          <w:rFonts w:ascii="Times New Roman" w:eastAsia="Times New Roman" w:hAnsi="Times New Roman" w:cs="Arial"/>
          <w:szCs w:val="24"/>
          <w:lang w:val="cs-CZ" w:eastAsia="fr-FR"/>
        </w:rPr>
      </w:pP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na kg </w:t>
      </w:r>
      <w:r w:rsidR="00EB1DC5" w:rsidRPr="000753C8">
        <w:rPr>
          <w:rFonts w:ascii="Times New Roman" w:eastAsia="Times New Roman" w:hAnsi="Times New Roman"/>
          <w:szCs w:val="24"/>
          <w:lang w:val="cs-CZ" w:eastAsia="fr-FR"/>
        </w:rPr>
        <w:t>živé hmotnosti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   ×    denně ošetřovaných zvířat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ab/>
      </w:r>
      <w:r w:rsidR="00EB1DC5" w:rsidRPr="000753C8">
        <w:rPr>
          <w:rFonts w:ascii="Times New Roman" w:eastAsia="Times New Roman" w:hAnsi="Times New Roman"/>
          <w:szCs w:val="24"/>
          <w:lang w:val="cs-CZ" w:eastAsia="fr-FR"/>
        </w:rPr>
        <w:t xml:space="preserve">   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>×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ab/>
        <w:t>zvířat</w:t>
      </w:r>
    </w:p>
    <w:p w14:paraId="75022D73" w14:textId="77777777" w:rsidR="00DB76B8" w:rsidRPr="000753C8" w:rsidRDefault="00DB76B8" w:rsidP="00DB76B8">
      <w:pPr>
        <w:spacing w:after="0" w:line="240" w:lineRule="auto"/>
        <w:ind w:right="-284"/>
        <w:rPr>
          <w:rFonts w:ascii="Times New Roman" w:eastAsia="Times New Roman" w:hAnsi="Times New Roman" w:cs="Arial"/>
          <w:szCs w:val="24"/>
          <w:lang w:val="cs-CZ" w:eastAsia="fr-FR"/>
        </w:rPr>
      </w:pP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-------------------------------------------------------------------------------------- =   ml </w:t>
      </w:r>
      <w:r w:rsidR="00EB1DC5" w:rsidRPr="000753C8">
        <w:rPr>
          <w:rFonts w:ascii="Times New Roman" w:eastAsia="Times New Roman" w:hAnsi="Times New Roman"/>
          <w:szCs w:val="24"/>
          <w:lang w:val="cs-CZ" w:eastAsia="fr-FR"/>
        </w:rPr>
        <w:t>per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orálního roztoku </w:t>
      </w:r>
      <w:r w:rsidR="00EB1DC5" w:rsidRPr="000753C8">
        <w:rPr>
          <w:rFonts w:ascii="Times New Roman" w:eastAsia="Times New Roman" w:hAnsi="Times New Roman"/>
          <w:szCs w:val="24"/>
          <w:lang w:val="cs-CZ" w:eastAsia="fr-FR"/>
        </w:rPr>
        <w:t xml:space="preserve">/  </w:t>
      </w:r>
    </w:p>
    <w:p w14:paraId="6F968458" w14:textId="77777777" w:rsidR="00DB76B8" w:rsidRPr="000753C8" w:rsidRDefault="00DB76B8" w:rsidP="00DB76B8">
      <w:pPr>
        <w:spacing w:after="0" w:line="240" w:lineRule="auto"/>
        <w:ind w:left="6372" w:right="-284"/>
        <w:rPr>
          <w:rFonts w:ascii="Times New Roman" w:eastAsia="Times New Roman" w:hAnsi="Times New Roman" w:cs="Arial"/>
          <w:szCs w:val="24"/>
          <w:lang w:val="cs-CZ" w:eastAsia="fr-FR"/>
        </w:rPr>
      </w:pP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      litr pitné vody</w:t>
      </w:r>
    </w:p>
    <w:p w14:paraId="7C600FA3" w14:textId="77777777" w:rsidR="00DB76B8" w:rsidRPr="000753C8" w:rsidRDefault="00DB76B8" w:rsidP="00DB76B8">
      <w:pPr>
        <w:spacing w:after="0" w:line="240" w:lineRule="auto"/>
        <w:rPr>
          <w:rFonts w:ascii="Times New Roman" w:eastAsia="Times New Roman" w:hAnsi="Times New Roman" w:cs="Arial"/>
          <w:szCs w:val="24"/>
          <w:lang w:val="cs-CZ" w:eastAsia="fr-FR"/>
        </w:rPr>
      </w:pP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Celková spotřeba vody (v litrech) </w:t>
      </w:r>
      <w:r w:rsidR="009F2D92" w:rsidRPr="000753C8">
        <w:rPr>
          <w:rFonts w:ascii="Times New Roman" w:eastAsia="Times New Roman" w:hAnsi="Times New Roman"/>
          <w:szCs w:val="24"/>
          <w:lang w:val="cs-CZ" w:eastAsia="fr-FR"/>
        </w:rPr>
        <w:t xml:space="preserve">hejna </w:t>
      </w:r>
      <w:r w:rsidRPr="000753C8">
        <w:rPr>
          <w:rFonts w:ascii="Times New Roman" w:eastAsia="Times New Roman" w:hAnsi="Times New Roman"/>
          <w:szCs w:val="24"/>
          <w:lang w:val="cs-CZ" w:eastAsia="fr-FR"/>
        </w:rPr>
        <w:t xml:space="preserve">za předchozí den </w:t>
      </w:r>
    </w:p>
    <w:p w14:paraId="0C44E12B" w14:textId="77777777" w:rsidR="00F91EA7" w:rsidRPr="000753C8" w:rsidRDefault="00F91EA7" w:rsidP="007B1D1C">
      <w:pPr>
        <w:pStyle w:val="Odstavecseseznamem"/>
        <w:spacing w:after="0" w:line="240" w:lineRule="auto"/>
        <w:rPr>
          <w:rFonts w:ascii="Times New Roman" w:hAnsi="Times New Roman"/>
          <w:lang w:val="cs-CZ"/>
        </w:rPr>
      </w:pPr>
    </w:p>
    <w:p w14:paraId="497EF953" w14:textId="77777777" w:rsidR="00794401" w:rsidRPr="000753C8" w:rsidRDefault="00794401" w:rsidP="007B1D1C">
      <w:p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lang w:val="cs-CZ"/>
        </w:rPr>
      </w:pPr>
    </w:p>
    <w:p w14:paraId="272FC2AA" w14:textId="77777777" w:rsidR="00B62896" w:rsidRPr="000753C8" w:rsidRDefault="00B62896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POKYNY PRO SPRÁVNÉ PODÁNÍ</w:t>
      </w:r>
    </w:p>
    <w:p w14:paraId="6E4BC19B" w14:textId="77777777" w:rsidR="00A91A2F" w:rsidRPr="000753C8" w:rsidRDefault="00A91A2F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val="cs-CZ" w:eastAsia="hu-HU"/>
        </w:rPr>
      </w:pPr>
    </w:p>
    <w:p w14:paraId="6B4F4CF2" w14:textId="77777777" w:rsidR="009C1A4D" w:rsidRPr="000753C8" w:rsidRDefault="009C1A4D" w:rsidP="009C1A4D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lang w:val="cs-CZ"/>
        </w:rPr>
      </w:pPr>
      <w:r w:rsidRPr="000753C8">
        <w:rPr>
          <w:rFonts w:ascii="Times New Roman" w:hAnsi="Times New Roman"/>
          <w:lang w:val="cs-CZ"/>
        </w:rPr>
        <w:t>Léčená zvířata by měla mít dostatečný přístup k </w:t>
      </w:r>
      <w:r w:rsidR="00EB1DC5" w:rsidRPr="000753C8">
        <w:rPr>
          <w:rFonts w:ascii="Times New Roman" w:hAnsi="Times New Roman"/>
          <w:lang w:val="cs-CZ"/>
        </w:rPr>
        <w:t>napájecímu systému</w:t>
      </w:r>
      <w:r w:rsidRPr="000753C8">
        <w:rPr>
          <w:rFonts w:ascii="Times New Roman" w:hAnsi="Times New Roman"/>
          <w:lang w:val="cs-CZ"/>
        </w:rPr>
        <w:t xml:space="preserve">, aby byl zajištěn dostatečný pitný režim. Během léčby by pro léčená zvířata neměly být dostupné žádné další zdroje pitné vody. </w:t>
      </w:r>
      <w:r w:rsidR="00EB1DC5" w:rsidRPr="000753C8">
        <w:rPr>
          <w:rFonts w:ascii="Times New Roman" w:hAnsi="Times New Roman"/>
          <w:lang w:val="cs-CZ"/>
        </w:rPr>
        <w:t xml:space="preserve">Medikovaná </w:t>
      </w:r>
      <w:r w:rsidRPr="000753C8">
        <w:rPr>
          <w:rFonts w:ascii="Times New Roman" w:hAnsi="Times New Roman"/>
          <w:lang w:val="cs-CZ"/>
        </w:rPr>
        <w:t xml:space="preserve">pitná voda by se měla měnit každých 24 hodin. </w:t>
      </w:r>
    </w:p>
    <w:p w14:paraId="5C47C0A5" w14:textId="77777777" w:rsidR="009C1A4D" w:rsidRPr="000753C8" w:rsidRDefault="009C1A4D" w:rsidP="009C1A4D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lang w:val="cs-CZ" w:eastAsia="fr-FR"/>
        </w:rPr>
      </w:pPr>
    </w:p>
    <w:p w14:paraId="47B666F6" w14:textId="77777777" w:rsidR="009C1A4D" w:rsidRPr="000753C8" w:rsidRDefault="009C1A4D" w:rsidP="009C1A4D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Arial"/>
          <w:lang w:val="cs-CZ"/>
        </w:rPr>
      </w:pPr>
      <w:r w:rsidRPr="000753C8">
        <w:rPr>
          <w:rFonts w:ascii="Times New Roman" w:hAnsi="Times New Roman"/>
          <w:lang w:val="cs-CZ"/>
        </w:rPr>
        <w:t>Po skončení léčby je třeba vodovodní systém náležitě vyčistit, aby se předešlo příjmu větší než léčebné</w:t>
      </w:r>
      <w:r w:rsidR="00EB1DC5" w:rsidRPr="000753C8">
        <w:rPr>
          <w:rFonts w:ascii="Times New Roman" w:hAnsi="Times New Roman"/>
          <w:lang w:val="cs-CZ"/>
        </w:rPr>
        <w:t xml:space="preserve"> dávky léčivé</w:t>
      </w:r>
      <w:r w:rsidRPr="000753C8">
        <w:rPr>
          <w:rFonts w:ascii="Times New Roman" w:hAnsi="Times New Roman"/>
          <w:lang w:val="cs-CZ"/>
        </w:rPr>
        <w:t xml:space="preserve"> látky.</w:t>
      </w:r>
    </w:p>
    <w:p w14:paraId="3B98D039" w14:textId="77777777" w:rsidR="00A91A2F" w:rsidRPr="000753C8" w:rsidRDefault="00A91A2F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val="cs-CZ" w:eastAsia="hu-HU"/>
        </w:rPr>
      </w:pPr>
    </w:p>
    <w:p w14:paraId="7078E0EA" w14:textId="77777777" w:rsidR="00C94CC1" w:rsidRPr="000753C8" w:rsidRDefault="00C94CC1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Tento veterinární léčivý přípravek nesmí přijít do styku s kovovým potrubím ani kovovými nádobami.</w:t>
      </w:r>
    </w:p>
    <w:p w14:paraId="6859526A" w14:textId="77777777" w:rsidR="00C94CC1" w:rsidRPr="000753C8" w:rsidRDefault="00C94CC1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val="cs-CZ" w:eastAsia="hu-HU"/>
        </w:rPr>
      </w:pPr>
    </w:p>
    <w:p w14:paraId="45BB8B71" w14:textId="77777777" w:rsidR="00B62896" w:rsidRPr="000753C8" w:rsidRDefault="00B62896" w:rsidP="007B1D1C">
      <w:p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lang w:val="cs-CZ"/>
        </w:rPr>
      </w:pPr>
    </w:p>
    <w:p w14:paraId="46E14D36" w14:textId="77777777" w:rsidR="004121D7" w:rsidRPr="000753C8" w:rsidRDefault="004121D7" w:rsidP="004121D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OCHRANNÁ(É) LHŮTA(Y)</w:t>
      </w:r>
    </w:p>
    <w:p w14:paraId="4C5BDE51" w14:textId="77777777" w:rsidR="00E94229" w:rsidRPr="000753C8" w:rsidRDefault="00E94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cs-CZ" w:eastAsia="fr-FR"/>
        </w:rPr>
      </w:pPr>
    </w:p>
    <w:p w14:paraId="7B6CB120" w14:textId="77777777" w:rsidR="005F246C" w:rsidRPr="000753C8" w:rsidRDefault="009C1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Ku</w:t>
      </w:r>
      <w:r w:rsidR="00F63668" w:rsidRPr="000753C8">
        <w:rPr>
          <w:rFonts w:ascii="Times New Roman" w:hAnsi="Times New Roman"/>
          <w:lang w:val="cs-CZ"/>
        </w:rPr>
        <w:t>r domácí</w:t>
      </w:r>
      <w:r w:rsidRPr="000753C8">
        <w:rPr>
          <w:rFonts w:ascii="Times New Roman" w:hAnsi="Times New Roman"/>
          <w:lang w:val="cs-CZ"/>
        </w:rPr>
        <w:t xml:space="preserve"> a krůty</w:t>
      </w:r>
      <w:r w:rsidR="00F63668" w:rsidRPr="000753C8">
        <w:rPr>
          <w:rFonts w:ascii="Times New Roman" w:hAnsi="Times New Roman"/>
          <w:lang w:val="cs-CZ"/>
        </w:rPr>
        <w:t>:</w:t>
      </w:r>
    </w:p>
    <w:p w14:paraId="13D40174" w14:textId="77777777" w:rsidR="00F91EA7" w:rsidRPr="000753C8" w:rsidRDefault="00F91EA7" w:rsidP="00FB70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Maso: </w:t>
      </w:r>
      <w:r w:rsidR="00F63668" w:rsidRPr="000753C8">
        <w:rPr>
          <w:rFonts w:ascii="Times New Roman" w:hAnsi="Times New Roman"/>
          <w:lang w:val="cs-CZ"/>
        </w:rPr>
        <w:t>Bez ochranných.</w:t>
      </w:r>
      <w:r w:rsidRPr="000753C8">
        <w:rPr>
          <w:rFonts w:ascii="Times New Roman" w:hAnsi="Times New Roman"/>
          <w:lang w:val="cs-CZ"/>
        </w:rPr>
        <w:t xml:space="preserve"> </w:t>
      </w:r>
    </w:p>
    <w:p w14:paraId="4748771D" w14:textId="77777777" w:rsidR="00F91EA7" w:rsidRPr="000753C8" w:rsidRDefault="00F91EA7" w:rsidP="00FB70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V</w:t>
      </w:r>
      <w:r w:rsidR="00F63668" w:rsidRPr="000753C8">
        <w:rPr>
          <w:rFonts w:ascii="Times New Roman" w:hAnsi="Times New Roman"/>
          <w:lang w:val="cs-CZ"/>
        </w:rPr>
        <w:t>ejce</w:t>
      </w:r>
      <w:r w:rsidRPr="000753C8">
        <w:rPr>
          <w:rFonts w:ascii="Times New Roman" w:hAnsi="Times New Roman"/>
          <w:lang w:val="cs-CZ"/>
        </w:rPr>
        <w:t xml:space="preserve">: </w:t>
      </w:r>
      <w:r w:rsidR="00F63668" w:rsidRPr="000753C8">
        <w:rPr>
          <w:rFonts w:ascii="Times New Roman" w:hAnsi="Times New Roman"/>
          <w:lang w:val="cs-CZ"/>
        </w:rPr>
        <w:t>Bez ochranných.</w:t>
      </w:r>
    </w:p>
    <w:p w14:paraId="420E6150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3CB8025E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7A3FB4D9" w14:textId="6EF59650" w:rsidR="00365D1D" w:rsidRPr="000753C8" w:rsidRDefault="00517253" w:rsidP="00365D1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ZVLÁŠTNÍ </w:t>
      </w:r>
      <w:r w:rsidR="00060B80" w:rsidRPr="000753C8">
        <w:rPr>
          <w:rFonts w:ascii="Times New Roman" w:hAnsi="Times New Roman"/>
          <w:lang w:val="cs-CZ"/>
        </w:rPr>
        <w:t xml:space="preserve">PODMÍNKY </w:t>
      </w:r>
      <w:r w:rsidRPr="000753C8">
        <w:rPr>
          <w:rFonts w:ascii="Times New Roman" w:hAnsi="Times New Roman"/>
          <w:lang w:val="cs-CZ"/>
        </w:rPr>
        <w:t>PRO UCHOVÁVÁNÍ</w:t>
      </w:r>
    </w:p>
    <w:p w14:paraId="7909EDD4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0CF5C7BE" w14:textId="647FD954" w:rsidR="00053A3D" w:rsidRPr="000753C8" w:rsidRDefault="00EF3159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Uchovávejte při teplotě do 30 °C.</w:t>
      </w:r>
    </w:p>
    <w:p w14:paraId="17C15757" w14:textId="6F4066B1" w:rsidR="00990EBC" w:rsidRPr="000753C8" w:rsidRDefault="00990EBC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14B07616" w14:textId="06B8AFB8" w:rsidR="00990EBC" w:rsidRPr="000753C8" w:rsidRDefault="00990EBC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Nepoužívejte tento veterinární léčivý přípravek po uplynutí doby použitelnost</w:t>
      </w:r>
      <w:r w:rsidR="00060B80" w:rsidRPr="000753C8">
        <w:rPr>
          <w:rFonts w:ascii="Times New Roman" w:hAnsi="Times New Roman"/>
          <w:lang w:val="cs-CZ"/>
        </w:rPr>
        <w:t>i</w:t>
      </w:r>
      <w:r w:rsidRPr="000753C8">
        <w:rPr>
          <w:rFonts w:ascii="Times New Roman" w:hAnsi="Times New Roman"/>
          <w:lang w:val="cs-CZ"/>
        </w:rPr>
        <w:t xml:space="preserve"> uvedené na</w:t>
      </w:r>
      <w:r w:rsidR="000753C8" w:rsidRPr="000753C8">
        <w:rPr>
          <w:rFonts w:ascii="Times New Roman" w:hAnsi="Times New Roman"/>
          <w:lang w:val="cs-CZ"/>
        </w:rPr>
        <w:t> </w:t>
      </w:r>
      <w:r w:rsidRPr="000753C8">
        <w:rPr>
          <w:rFonts w:ascii="Times New Roman" w:hAnsi="Times New Roman"/>
          <w:lang w:val="cs-CZ"/>
        </w:rPr>
        <w:t>obalu.</w:t>
      </w:r>
    </w:p>
    <w:p w14:paraId="67061D4C" w14:textId="5E946619" w:rsidR="00990EBC" w:rsidRPr="000753C8" w:rsidRDefault="00990EBC" w:rsidP="007B1D1C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Doba použitelnosti končí posledním dnem v</w:t>
      </w:r>
      <w:r w:rsidR="00060B80" w:rsidRPr="000753C8">
        <w:rPr>
          <w:rFonts w:ascii="Times New Roman" w:hAnsi="Times New Roman"/>
          <w:lang w:val="cs-CZ"/>
        </w:rPr>
        <w:t xml:space="preserve"> uvedeném </w:t>
      </w:r>
      <w:r w:rsidRPr="000753C8">
        <w:rPr>
          <w:rFonts w:ascii="Times New Roman" w:hAnsi="Times New Roman"/>
          <w:lang w:val="cs-CZ"/>
        </w:rPr>
        <w:t>měsíci.</w:t>
      </w:r>
    </w:p>
    <w:p w14:paraId="4BFC82E3" w14:textId="77777777" w:rsidR="00794401" w:rsidRPr="000753C8" w:rsidRDefault="00794401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31362784" w14:textId="77777777" w:rsidR="0068564B" w:rsidRPr="000753C8" w:rsidRDefault="0068564B" w:rsidP="007B1D1C">
      <w:pPr>
        <w:pStyle w:val="Odstavecseseznamem"/>
        <w:numPr>
          <w:ilvl w:val="0"/>
          <w:numId w:val="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ZVLÁŠTNÍ </w:t>
      </w:r>
      <w:r w:rsidR="007C492B" w:rsidRPr="000753C8">
        <w:rPr>
          <w:rFonts w:ascii="Times New Roman" w:hAnsi="Times New Roman"/>
          <w:lang w:val="cs-CZ"/>
        </w:rPr>
        <w:t xml:space="preserve">OPATŘENÍ </w:t>
      </w:r>
    </w:p>
    <w:p w14:paraId="0596BFC2" w14:textId="77777777" w:rsidR="00E94229" w:rsidRPr="000753C8" w:rsidRDefault="00E94229" w:rsidP="007B1D1C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03472FED" w14:textId="77777777" w:rsidR="004655BF" w:rsidRPr="000753C8" w:rsidRDefault="004655BF" w:rsidP="00C92E75">
      <w:pPr>
        <w:pStyle w:val="Odstavecseseznamem"/>
        <w:spacing w:after="0" w:line="240" w:lineRule="auto"/>
        <w:ind w:left="709"/>
        <w:rPr>
          <w:rFonts w:ascii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>Zvláštní upozornění pro jednotlivé cílové druhy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</w:p>
    <w:p w14:paraId="5D063E49" w14:textId="7E1DA605" w:rsidR="00F91EA7" w:rsidRPr="000753C8" w:rsidRDefault="0020475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Stejně jako u ostatních </w:t>
      </w:r>
      <w:r w:rsidR="00EB1DC5" w:rsidRPr="000753C8">
        <w:rPr>
          <w:rFonts w:ascii="Times New Roman" w:hAnsi="Times New Roman"/>
          <w:lang w:val="cs-CZ"/>
        </w:rPr>
        <w:t>an</w:t>
      </w:r>
      <w:r w:rsidRPr="000753C8">
        <w:rPr>
          <w:rFonts w:ascii="Times New Roman" w:hAnsi="Times New Roman"/>
          <w:lang w:val="cs-CZ"/>
        </w:rPr>
        <w:t xml:space="preserve">tiparazitních přípravků může časté a opakované používání </w:t>
      </w:r>
      <w:r w:rsidR="00990EBC" w:rsidRPr="000753C8">
        <w:rPr>
          <w:rFonts w:ascii="Times New Roman" w:hAnsi="Times New Roman"/>
          <w:lang w:val="cs-CZ"/>
        </w:rPr>
        <w:t>antiprotozoálních látek</w:t>
      </w:r>
      <w:r w:rsidR="00990EBC" w:rsidRPr="000753C8" w:rsidDel="00990EBC">
        <w:rPr>
          <w:rFonts w:ascii="Times New Roman" w:hAnsi="Times New Roman"/>
          <w:lang w:val="cs-CZ"/>
        </w:rPr>
        <w:t xml:space="preserve"> </w:t>
      </w:r>
      <w:r w:rsidRPr="000753C8">
        <w:rPr>
          <w:rFonts w:ascii="Times New Roman" w:hAnsi="Times New Roman"/>
          <w:lang w:val="cs-CZ"/>
        </w:rPr>
        <w:t>vést ke vzniku rezistence.</w:t>
      </w:r>
    </w:p>
    <w:p w14:paraId="7D5E0CE9" w14:textId="1C222FC5" w:rsidR="00A748AA" w:rsidRPr="000753C8" w:rsidRDefault="00A748A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Stejně jako u všech antikokcidik může dlouhodobé užívání vést k vývoji rezistentních kmenů.</w:t>
      </w:r>
    </w:p>
    <w:p w14:paraId="43A7A995" w14:textId="223C4885" w:rsidR="004A327A" w:rsidRPr="000753C8" w:rsidRDefault="004A327A" w:rsidP="004A327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eastAsia="Times New Roman" w:hAnsi="Times New Roman"/>
          <w:lang w:val="cs-CZ"/>
        </w:rPr>
        <w:t xml:space="preserve">Je třeba se vyvarovat užívání antikokcidiálních </w:t>
      </w:r>
      <w:r w:rsidR="00782E0A" w:rsidRPr="000753C8">
        <w:rPr>
          <w:rFonts w:ascii="Times New Roman" w:eastAsia="Times New Roman" w:hAnsi="Times New Roman"/>
          <w:lang w:val="cs-CZ"/>
        </w:rPr>
        <w:t>přípravků</w:t>
      </w:r>
      <w:r w:rsidRPr="000753C8">
        <w:rPr>
          <w:rFonts w:ascii="Times New Roman" w:eastAsia="Times New Roman" w:hAnsi="Times New Roman"/>
          <w:lang w:val="cs-CZ"/>
        </w:rPr>
        <w:t xml:space="preserve"> se stejným způsobem účinku z</w:t>
      </w:r>
      <w:r w:rsidR="000753C8" w:rsidRPr="000753C8">
        <w:rPr>
          <w:rFonts w:ascii="Times New Roman" w:eastAsia="Times New Roman" w:hAnsi="Times New Roman"/>
          <w:lang w:val="cs-CZ"/>
        </w:rPr>
        <w:t> </w:t>
      </w:r>
      <w:r w:rsidRPr="000753C8">
        <w:rPr>
          <w:rFonts w:ascii="Times New Roman" w:eastAsia="Times New Roman" w:hAnsi="Times New Roman"/>
          <w:lang w:val="cs-CZ"/>
        </w:rPr>
        <w:t>důvodu vzniku křížové rezistence.</w:t>
      </w:r>
    </w:p>
    <w:p w14:paraId="030FCE9E" w14:textId="77777777" w:rsidR="004A327A" w:rsidRPr="000753C8" w:rsidRDefault="004A327A" w:rsidP="004A327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</w:p>
    <w:p w14:paraId="53905049" w14:textId="77777777" w:rsidR="00F91EA7" w:rsidRPr="000753C8" w:rsidRDefault="00F91EA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Pokud během léčby zjistíte nedostatečnou účinnost, sdělte tuto skutečnost příslušným národním </w:t>
      </w:r>
      <w:r w:rsidR="00EB1DC5" w:rsidRPr="000753C8">
        <w:rPr>
          <w:rFonts w:ascii="Times New Roman" w:hAnsi="Times New Roman"/>
          <w:lang w:val="cs-CZ"/>
        </w:rPr>
        <w:t>úřadům</w:t>
      </w:r>
      <w:r w:rsidRPr="000753C8">
        <w:rPr>
          <w:rFonts w:ascii="Times New Roman" w:hAnsi="Times New Roman"/>
          <w:lang w:val="cs-CZ"/>
        </w:rPr>
        <w:t>.</w:t>
      </w:r>
    </w:p>
    <w:p w14:paraId="6264E239" w14:textId="77777777" w:rsidR="00F91EA7" w:rsidRPr="000753C8" w:rsidRDefault="00F91EA7" w:rsidP="007B1D1C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53479F83" w14:textId="77777777" w:rsidR="00B11736" w:rsidRPr="000753C8" w:rsidRDefault="00B11736" w:rsidP="000753C8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>Zvláštní opatření pro použití u zvířat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</w:p>
    <w:p w14:paraId="7DBF59A0" w14:textId="77777777" w:rsidR="00B11736" w:rsidRPr="000753C8" w:rsidRDefault="00B11736" w:rsidP="00075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Tento </w:t>
      </w:r>
      <w:r w:rsidR="00EB1DC5" w:rsidRPr="000753C8">
        <w:rPr>
          <w:rFonts w:ascii="Times New Roman" w:hAnsi="Times New Roman"/>
          <w:lang w:val="cs-CZ"/>
        </w:rPr>
        <w:t xml:space="preserve">přípravek </w:t>
      </w:r>
      <w:r w:rsidRPr="000753C8">
        <w:rPr>
          <w:rFonts w:ascii="Times New Roman" w:hAnsi="Times New Roman"/>
          <w:lang w:val="cs-CZ"/>
        </w:rPr>
        <w:t>není určen k preventivnímu použití.</w:t>
      </w:r>
    </w:p>
    <w:p w14:paraId="30DE44B0" w14:textId="77777777" w:rsidR="00B11736" w:rsidRPr="000753C8" w:rsidRDefault="00EB1DC5" w:rsidP="000753C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Tento přípravek by měl být používán výhradně k léčbě </w:t>
      </w:r>
      <w:r w:rsidR="009F2D92" w:rsidRPr="000753C8">
        <w:rPr>
          <w:rFonts w:ascii="Times New Roman" w:hAnsi="Times New Roman"/>
          <w:lang w:val="cs-CZ"/>
        </w:rPr>
        <w:t>vzplanutí</w:t>
      </w:r>
      <w:r w:rsidRPr="000753C8">
        <w:rPr>
          <w:rFonts w:ascii="Times New Roman" w:hAnsi="Times New Roman"/>
          <w:lang w:val="cs-CZ"/>
        </w:rPr>
        <w:t xml:space="preserve"> kokcidiózy </w:t>
      </w:r>
      <w:r w:rsidR="009F2D92" w:rsidRPr="000753C8">
        <w:rPr>
          <w:rFonts w:ascii="Times New Roman" w:hAnsi="Times New Roman"/>
          <w:lang w:val="cs-CZ"/>
        </w:rPr>
        <w:t>z důsledku</w:t>
      </w:r>
      <w:r w:rsidRPr="000753C8">
        <w:rPr>
          <w:rFonts w:ascii="Times New Roman" w:hAnsi="Times New Roman"/>
          <w:lang w:val="cs-CZ"/>
        </w:rPr>
        <w:t xml:space="preserve"> nedostupnosti vakcíny, při v případě nedostatečné účinnosti vakcíny a ve vakcinovaných očkovaných hejnech, vystavených silnému infekčnímu tlaku kokcidií v období před plným rozvojem imunity.</w:t>
      </w:r>
    </w:p>
    <w:p w14:paraId="7C5B32BC" w14:textId="77777777" w:rsidR="000B48A5" w:rsidRPr="000753C8" w:rsidRDefault="000B48A5" w:rsidP="00780144">
      <w:pPr>
        <w:pStyle w:val="Odstavecseseznamem"/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val="cs-CZ"/>
        </w:rPr>
      </w:pPr>
    </w:p>
    <w:p w14:paraId="59FDEDA0" w14:textId="3A7D84C4" w:rsidR="00B07519" w:rsidRPr="000753C8" w:rsidRDefault="00B07519" w:rsidP="00780144">
      <w:pPr>
        <w:pStyle w:val="Odstavecseseznamem"/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 xml:space="preserve">Zvláštní opatření </w:t>
      </w:r>
      <w:r w:rsidR="009E2B3C" w:rsidRPr="000753C8">
        <w:rPr>
          <w:rFonts w:ascii="Times New Roman" w:hAnsi="Times New Roman"/>
          <w:u w:val="single"/>
          <w:lang w:val="cs-CZ"/>
        </w:rPr>
        <w:t xml:space="preserve">určené osobám, které </w:t>
      </w:r>
      <w:r w:rsidRPr="000753C8">
        <w:rPr>
          <w:rFonts w:ascii="Times New Roman" w:hAnsi="Times New Roman"/>
          <w:u w:val="single"/>
          <w:lang w:val="cs-CZ"/>
        </w:rPr>
        <w:t>podávají</w:t>
      </w:r>
      <w:r w:rsidR="009E2B3C" w:rsidRPr="000753C8">
        <w:rPr>
          <w:rFonts w:ascii="Times New Roman" w:hAnsi="Times New Roman"/>
          <w:u w:val="single"/>
          <w:lang w:val="cs-CZ"/>
        </w:rPr>
        <w:t xml:space="preserve"> veterinární</w:t>
      </w:r>
      <w:r w:rsidRPr="000753C8">
        <w:rPr>
          <w:rFonts w:ascii="Times New Roman" w:hAnsi="Times New Roman"/>
          <w:u w:val="single"/>
          <w:lang w:val="cs-CZ"/>
        </w:rPr>
        <w:t xml:space="preserve"> léčivý přípravek zvířatům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</w:p>
    <w:p w14:paraId="7D91FD38" w14:textId="0CB0E34C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Tento přípravek je kyselý a může </w:t>
      </w:r>
      <w:r w:rsidR="00E555FD" w:rsidRPr="000753C8">
        <w:rPr>
          <w:rFonts w:ascii="Times New Roman" w:hAnsi="Times New Roman"/>
          <w:lang w:val="cs-CZ"/>
        </w:rPr>
        <w:t xml:space="preserve">vyvolat </w:t>
      </w:r>
      <w:r w:rsidRPr="000753C8">
        <w:rPr>
          <w:rFonts w:ascii="Times New Roman" w:hAnsi="Times New Roman"/>
          <w:lang w:val="cs-CZ"/>
        </w:rPr>
        <w:t xml:space="preserve">podráždění nebo poleptání kůže, očí, hrdla a dýchacích cest. </w:t>
      </w:r>
    </w:p>
    <w:p w14:paraId="64AC5556" w14:textId="77777777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Zabraňte kontaktu s tímto přípravkem i jeho výpary.</w:t>
      </w:r>
    </w:p>
    <w:p w14:paraId="4252B828" w14:textId="77777777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Při manipulaci s tímto přípravkem nejezte, nepijte ani nekuřte.</w:t>
      </w:r>
    </w:p>
    <w:p w14:paraId="7A6FB04B" w14:textId="77777777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Při manipulaci s tímto přípravkem používejte nepropustné rukavice a ochranné brýle.</w:t>
      </w:r>
    </w:p>
    <w:p w14:paraId="29CB1E51" w14:textId="683A447C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Vybrané ochranné rukavice musí splňovat požad</w:t>
      </w:r>
      <w:r w:rsidR="000753C8" w:rsidRPr="000753C8">
        <w:rPr>
          <w:rFonts w:ascii="Times New Roman" w:hAnsi="Times New Roman"/>
          <w:lang w:val="cs-CZ"/>
        </w:rPr>
        <w:t xml:space="preserve">avky směrnice Rady 89/686/EHS a </w:t>
      </w:r>
      <w:r w:rsidRPr="000753C8">
        <w:rPr>
          <w:rFonts w:ascii="Times New Roman" w:hAnsi="Times New Roman"/>
          <w:lang w:val="cs-CZ"/>
        </w:rPr>
        <w:t>z ní vycházející normy ČSN EN 374.</w:t>
      </w:r>
    </w:p>
    <w:p w14:paraId="7056C0A5" w14:textId="77777777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V případě kontaktu s kůží nebo očima opláchněte ihned zasaženou oblast čistou tekoucí vodou a odstraňte veškerý kontaminovaný oděv. Pokud podráždění přetrvává, vyhledejte lékařskou pomoc a ukažte etiketu praktickému lékaři. </w:t>
      </w:r>
    </w:p>
    <w:p w14:paraId="4B297520" w14:textId="77777777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V případě náhodného požití vypláchněte ústa pitnou vodou, ihned vyhledejte lékařskou pomoc a ukažte etiketu praktickému lékaři.</w:t>
      </w:r>
    </w:p>
    <w:p w14:paraId="107F17C8" w14:textId="77777777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Lidé se známou přecitlivělostí na amprolium nebo kyselinu sorbovou by se měl</w:t>
      </w:r>
      <w:r w:rsidR="0010493C" w:rsidRPr="000753C8">
        <w:rPr>
          <w:rFonts w:ascii="Times New Roman" w:hAnsi="Times New Roman"/>
          <w:lang w:val="cs-CZ"/>
        </w:rPr>
        <w:t>i</w:t>
      </w:r>
      <w:r w:rsidRPr="000753C8">
        <w:rPr>
          <w:rFonts w:ascii="Times New Roman" w:hAnsi="Times New Roman"/>
          <w:lang w:val="cs-CZ"/>
        </w:rPr>
        <w:t xml:space="preserve"> vyhnout kontaktu s veterinárním léčivým přípravkem.</w:t>
      </w:r>
    </w:p>
    <w:p w14:paraId="76C00E3F" w14:textId="77777777" w:rsidR="000B35CA" w:rsidRPr="000753C8" w:rsidRDefault="000B35CA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Po použití si umyjte ruce a exponovanou pokožku.</w:t>
      </w:r>
    </w:p>
    <w:p w14:paraId="40EF88BD" w14:textId="77777777" w:rsidR="00A91A2F" w:rsidRPr="000753C8" w:rsidRDefault="00A91A2F" w:rsidP="00780144">
      <w:pPr>
        <w:spacing w:after="0" w:line="240" w:lineRule="auto"/>
        <w:ind w:left="709"/>
        <w:jc w:val="both"/>
        <w:rPr>
          <w:rFonts w:ascii="Times New Roman" w:hAnsi="Times New Roman"/>
          <w:lang w:val="cs-CZ"/>
        </w:rPr>
      </w:pPr>
    </w:p>
    <w:p w14:paraId="405D8C42" w14:textId="77777777" w:rsidR="00C92E75" w:rsidRPr="000753C8" w:rsidRDefault="00C92E75" w:rsidP="00780144">
      <w:pPr>
        <w:keepNext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>Další opatření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</w:p>
    <w:p w14:paraId="5FDA9265" w14:textId="77777777" w:rsidR="00DB76B8" w:rsidRPr="000753C8" w:rsidRDefault="00DB76B8" w:rsidP="007C4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cs-CZ" w:eastAsia="fr-FR"/>
        </w:rPr>
      </w:pPr>
      <w:r w:rsidRPr="000753C8">
        <w:rPr>
          <w:rFonts w:ascii="Times New Roman" w:eastAsia="Times New Roman" w:hAnsi="Times New Roman"/>
          <w:lang w:val="cs-CZ" w:eastAsia="fr-FR"/>
        </w:rPr>
        <w:t>Amprolium je velmi perzistentní</w:t>
      </w:r>
      <w:r w:rsidR="007C492B" w:rsidRPr="000753C8">
        <w:rPr>
          <w:rFonts w:ascii="Times New Roman" w:eastAsia="Times New Roman" w:hAnsi="Times New Roman"/>
          <w:lang w:val="cs-CZ" w:eastAsia="fr-FR"/>
        </w:rPr>
        <w:t xml:space="preserve"> v půdě</w:t>
      </w:r>
      <w:r w:rsidRPr="000753C8">
        <w:rPr>
          <w:rFonts w:ascii="Times New Roman" w:eastAsia="Times New Roman" w:hAnsi="Times New Roman"/>
          <w:lang w:val="cs-CZ" w:eastAsia="fr-FR"/>
        </w:rPr>
        <w:t>.</w:t>
      </w:r>
    </w:p>
    <w:p w14:paraId="5F2F2566" w14:textId="77777777" w:rsidR="007C492B" w:rsidRPr="000753C8" w:rsidRDefault="007C492B" w:rsidP="007C4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cs-CZ" w:eastAsia="fr-FR"/>
        </w:rPr>
      </w:pPr>
    </w:p>
    <w:p w14:paraId="2EBAABCC" w14:textId="77777777" w:rsidR="00C92E75" w:rsidRPr="000753C8" w:rsidRDefault="00DB76B8" w:rsidP="007B1D1C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>Snášk</w:t>
      </w:r>
      <w:r w:rsidR="004121D7" w:rsidRPr="000753C8">
        <w:rPr>
          <w:rFonts w:ascii="Times New Roman" w:hAnsi="Times New Roman"/>
          <w:u w:val="single"/>
          <w:lang w:val="cs-CZ"/>
        </w:rPr>
        <w:t>a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</w:p>
    <w:p w14:paraId="4A5D809C" w14:textId="39F78110" w:rsidR="00F143D7" w:rsidRPr="000753C8" w:rsidRDefault="00F143D7" w:rsidP="000753C8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Studie na laboratorních zvířatech neprokázaly žádné teratogenní účinky. Bezpečnost amprolia nebyla stanovena u nosnic. Používejte pouze po zvážení poměru terapeutického prospěchu a</w:t>
      </w:r>
      <w:r w:rsidR="000753C8" w:rsidRPr="000753C8">
        <w:rPr>
          <w:rFonts w:ascii="Times New Roman" w:hAnsi="Times New Roman"/>
          <w:lang w:val="cs-CZ"/>
        </w:rPr>
        <w:t> </w:t>
      </w:r>
      <w:r w:rsidRPr="000753C8">
        <w:rPr>
          <w:rFonts w:ascii="Times New Roman" w:hAnsi="Times New Roman"/>
          <w:lang w:val="cs-CZ"/>
        </w:rPr>
        <w:t xml:space="preserve">rizika odpovědným </w:t>
      </w:r>
      <w:r w:rsidR="004121D7" w:rsidRPr="000753C8">
        <w:rPr>
          <w:lang w:val="cs-CZ"/>
        </w:rPr>
        <w:t>veterinárním lékařem</w:t>
      </w:r>
      <w:r w:rsidRPr="000753C8">
        <w:rPr>
          <w:rFonts w:ascii="Times New Roman" w:hAnsi="Times New Roman"/>
          <w:lang w:val="cs-CZ"/>
        </w:rPr>
        <w:t>.</w:t>
      </w:r>
    </w:p>
    <w:p w14:paraId="001BAFCD" w14:textId="77777777" w:rsidR="009B4B1E" w:rsidRPr="000753C8" w:rsidRDefault="009B4B1E" w:rsidP="000753C8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133F7C1" w14:textId="77777777" w:rsidR="009B4B1E" w:rsidRPr="000753C8" w:rsidRDefault="009B4B1E" w:rsidP="000753C8">
      <w:pPr>
        <w:pStyle w:val="Odstavecseseznamem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>Interakce</w:t>
      </w:r>
      <w:r w:rsidR="008F3F97" w:rsidRPr="000753C8">
        <w:rPr>
          <w:rFonts w:ascii="Times New Roman" w:hAnsi="Times New Roman"/>
          <w:u w:val="single"/>
          <w:lang w:val="cs-CZ"/>
        </w:rPr>
        <w:t xml:space="preserve"> s dalšími léčivými přípravky a další formy interakce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</w:p>
    <w:p w14:paraId="01B48E5F" w14:textId="161F7755" w:rsidR="008C4B91" w:rsidRPr="000753C8" w:rsidRDefault="008C4B91" w:rsidP="000753C8">
      <w:pPr>
        <w:pStyle w:val="Odstavecseseznamem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Amprolium je analog thiaminu. Proto může být účinnost amprolia snížena při souběžném podávání </w:t>
      </w:r>
      <w:r w:rsidR="000415E5" w:rsidRPr="000753C8">
        <w:rPr>
          <w:rFonts w:ascii="Times New Roman" w:hAnsi="Times New Roman"/>
          <w:lang w:val="cs-CZ"/>
        </w:rPr>
        <w:t xml:space="preserve">přípravků </w:t>
      </w:r>
      <w:r w:rsidRPr="000753C8">
        <w:rPr>
          <w:rFonts w:ascii="Times New Roman" w:hAnsi="Times New Roman"/>
          <w:lang w:val="cs-CZ"/>
        </w:rPr>
        <w:t>obsahujících vitamíny B-komplex</w:t>
      </w:r>
      <w:r w:rsidR="000415E5" w:rsidRPr="000753C8">
        <w:rPr>
          <w:rFonts w:ascii="Times New Roman" w:hAnsi="Times New Roman"/>
          <w:lang w:val="cs-CZ"/>
        </w:rPr>
        <w:t>u</w:t>
      </w:r>
      <w:r w:rsidRPr="000753C8">
        <w:rPr>
          <w:rFonts w:ascii="Times New Roman" w:hAnsi="Times New Roman"/>
          <w:lang w:val="cs-CZ"/>
        </w:rPr>
        <w:t>.</w:t>
      </w:r>
    </w:p>
    <w:p w14:paraId="06C6798E" w14:textId="77777777" w:rsidR="008C4B91" w:rsidRPr="000753C8" w:rsidRDefault="008C4B91" w:rsidP="000753C8">
      <w:pPr>
        <w:pStyle w:val="Odstavecseseznamem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</w:p>
    <w:p w14:paraId="0731E20E" w14:textId="77777777" w:rsidR="009B4B1E" w:rsidRPr="000753C8" w:rsidRDefault="009B4B1E" w:rsidP="000753C8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>Předávkování</w:t>
      </w:r>
      <w:r w:rsidR="008F3F97" w:rsidRPr="000753C8">
        <w:rPr>
          <w:rFonts w:ascii="Times New Roman" w:hAnsi="Times New Roman"/>
          <w:u w:val="single"/>
          <w:lang w:val="cs-CZ"/>
        </w:rPr>
        <w:t xml:space="preserve"> (symptomy, první pomoc, antidota)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</w:p>
    <w:p w14:paraId="1FB9F6AA" w14:textId="5031B4CC" w:rsidR="00F91EA7" w:rsidRPr="000753C8" w:rsidRDefault="00F91EA7" w:rsidP="000753C8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Při dlouhodobém podávání vysokých dávek může dojít k nedostatku thiaminu. Tento nedostatek může být kompenzován</w:t>
      </w:r>
      <w:r w:rsidR="000B48A5" w:rsidRPr="000753C8">
        <w:rPr>
          <w:rFonts w:ascii="Times New Roman" w:hAnsi="Times New Roman"/>
          <w:lang w:val="cs-CZ"/>
        </w:rPr>
        <w:t xml:space="preserve"> </w:t>
      </w:r>
      <w:r w:rsidR="00782E0A" w:rsidRPr="000753C8">
        <w:rPr>
          <w:rFonts w:ascii="Times New Roman" w:hAnsi="Times New Roman"/>
          <w:lang w:val="cs-CZ"/>
        </w:rPr>
        <w:t>odpovídajícím</w:t>
      </w:r>
      <w:r w:rsidRPr="000753C8">
        <w:rPr>
          <w:rFonts w:ascii="Times New Roman" w:hAnsi="Times New Roman"/>
          <w:lang w:val="cs-CZ"/>
        </w:rPr>
        <w:t xml:space="preserve"> příjmem thiaminu.</w:t>
      </w:r>
    </w:p>
    <w:p w14:paraId="3C389C32" w14:textId="77777777" w:rsidR="00350F6D" w:rsidRPr="000753C8" w:rsidRDefault="00350F6D" w:rsidP="000753C8">
      <w:pPr>
        <w:pStyle w:val="Odstavecseseznamem"/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2CD0533" w14:textId="77777777" w:rsidR="007C492B" w:rsidRPr="000753C8" w:rsidRDefault="00A54A1D" w:rsidP="000753C8">
      <w:pPr>
        <w:spacing w:after="0" w:line="240" w:lineRule="auto"/>
        <w:ind w:left="709"/>
        <w:jc w:val="both"/>
        <w:rPr>
          <w:rFonts w:ascii="Times New Roman" w:hAnsi="Times New Roman"/>
          <w:u w:val="single"/>
          <w:lang w:val="cs-CZ"/>
        </w:rPr>
      </w:pPr>
      <w:r w:rsidRPr="000753C8">
        <w:rPr>
          <w:rFonts w:ascii="Times New Roman" w:hAnsi="Times New Roman"/>
          <w:u w:val="single"/>
          <w:lang w:val="cs-CZ"/>
        </w:rPr>
        <w:t>I</w:t>
      </w:r>
      <w:r w:rsidR="00DB76B8" w:rsidRPr="000753C8">
        <w:rPr>
          <w:rFonts w:ascii="Times New Roman" w:hAnsi="Times New Roman"/>
          <w:u w:val="single"/>
          <w:lang w:val="cs-CZ"/>
        </w:rPr>
        <w:t>nkompatibility</w:t>
      </w:r>
      <w:r w:rsidR="007C492B" w:rsidRPr="000753C8">
        <w:rPr>
          <w:rFonts w:ascii="Times New Roman" w:hAnsi="Times New Roman"/>
          <w:u w:val="single"/>
          <w:lang w:val="cs-CZ"/>
        </w:rPr>
        <w:t>:</w:t>
      </w:r>
      <w:r w:rsidR="00DB76B8" w:rsidRPr="000753C8" w:rsidDel="00DB76B8">
        <w:rPr>
          <w:rFonts w:ascii="Times New Roman" w:hAnsi="Times New Roman"/>
          <w:u w:val="single"/>
          <w:lang w:val="cs-CZ"/>
        </w:rPr>
        <w:t xml:space="preserve"> </w:t>
      </w:r>
    </w:p>
    <w:p w14:paraId="6E4D69F7" w14:textId="77777777" w:rsidR="00EE7D93" w:rsidRPr="000753C8" w:rsidRDefault="000A20E0" w:rsidP="00036053">
      <w:pPr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14:paraId="2AE70CE9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7CE71AEF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4901504A" w14:textId="2EF44BD8" w:rsidR="00365D1D" w:rsidRPr="000753C8" w:rsidRDefault="00365D1D" w:rsidP="00365D1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ZVLÁŠTNÍ OPATŘENÍ PRO </w:t>
      </w:r>
      <w:r w:rsidR="007C492B" w:rsidRPr="000753C8">
        <w:rPr>
          <w:rFonts w:ascii="Times New Roman" w:hAnsi="Times New Roman"/>
          <w:lang w:val="cs-CZ"/>
        </w:rPr>
        <w:t>ZNEŠKODŇOVÁNÍ NEPOUŽITÝCH PŘÍPRAVKŮ NEBO</w:t>
      </w:r>
      <w:r w:rsidR="000753C8" w:rsidRPr="000753C8">
        <w:rPr>
          <w:rFonts w:ascii="Times New Roman" w:hAnsi="Times New Roman"/>
          <w:lang w:val="cs-CZ"/>
        </w:rPr>
        <w:t> </w:t>
      </w:r>
      <w:r w:rsidRPr="000753C8">
        <w:rPr>
          <w:rFonts w:ascii="Times New Roman" w:hAnsi="Times New Roman"/>
          <w:lang w:val="cs-CZ"/>
        </w:rPr>
        <w:t>ODPAD</w:t>
      </w:r>
      <w:r w:rsidR="007C492B" w:rsidRPr="000753C8">
        <w:rPr>
          <w:rFonts w:ascii="Times New Roman" w:hAnsi="Times New Roman"/>
          <w:lang w:val="cs-CZ"/>
        </w:rPr>
        <w:t>U, POKUD JE JICH TŘEBA</w:t>
      </w:r>
    </w:p>
    <w:p w14:paraId="5271FE53" w14:textId="77777777" w:rsidR="00365D1D" w:rsidRPr="000753C8" w:rsidRDefault="00365D1D" w:rsidP="00365D1D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7A368F04" w14:textId="77777777" w:rsidR="00365D1D" w:rsidRPr="000753C8" w:rsidRDefault="007C492B" w:rsidP="00365D1D">
      <w:pPr>
        <w:spacing w:after="0" w:line="240" w:lineRule="auto"/>
        <w:ind w:left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Všechen nepoužitý veterinární léčivý přípravek nebo odpad, který pochází z tohoto přípravku, musí být likvidován podle místních právních předpisů</w:t>
      </w:r>
      <w:r w:rsidR="00365D1D" w:rsidRPr="000753C8">
        <w:rPr>
          <w:rFonts w:ascii="Times New Roman" w:hAnsi="Times New Roman"/>
          <w:lang w:val="cs-CZ"/>
        </w:rPr>
        <w:t>.</w:t>
      </w:r>
    </w:p>
    <w:p w14:paraId="1A1976A1" w14:textId="77777777" w:rsidR="008C4B91" w:rsidRPr="000753C8" w:rsidRDefault="008C4B91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5DE8C0CC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453948CC" w14:textId="77777777" w:rsidR="00365D1D" w:rsidRPr="000753C8" w:rsidRDefault="00517253" w:rsidP="00365D1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DATUM POSLEDNÍ REVIZE PŘÍBALOVÉ INFORMACE</w:t>
      </w:r>
    </w:p>
    <w:p w14:paraId="41AA8929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6DAE8D69" w14:textId="29DDD0F4" w:rsidR="0089116B" w:rsidRPr="000753C8" w:rsidRDefault="00782E0A" w:rsidP="00036053">
      <w:pPr>
        <w:spacing w:after="0" w:line="240" w:lineRule="auto"/>
        <w:ind w:left="708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Březen 2021</w:t>
      </w:r>
    </w:p>
    <w:p w14:paraId="5C73DA25" w14:textId="77777777" w:rsidR="0089116B" w:rsidRPr="000753C8" w:rsidRDefault="0089116B" w:rsidP="00365D1D">
      <w:pPr>
        <w:spacing w:after="0" w:line="240" w:lineRule="auto"/>
        <w:rPr>
          <w:rFonts w:ascii="Times New Roman" w:hAnsi="Times New Roman"/>
          <w:lang w:val="cs-CZ"/>
        </w:rPr>
      </w:pPr>
    </w:p>
    <w:p w14:paraId="6384B7F3" w14:textId="77777777" w:rsidR="00365D1D" w:rsidRPr="000753C8" w:rsidRDefault="00365D1D" w:rsidP="00365D1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DALŠÍ INFORMACE</w:t>
      </w:r>
    </w:p>
    <w:p w14:paraId="7591BE70" w14:textId="77777777" w:rsidR="00365D1D" w:rsidRPr="000753C8" w:rsidRDefault="00365D1D" w:rsidP="00365D1D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7343D4BB" w14:textId="5EE3648C" w:rsidR="00365D1D" w:rsidRPr="000753C8" w:rsidRDefault="000A20E0" w:rsidP="00365D1D">
      <w:pPr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Láhev </w:t>
      </w:r>
      <w:r w:rsidR="00060B80" w:rsidRPr="000753C8">
        <w:rPr>
          <w:rFonts w:ascii="Times New Roman" w:hAnsi="Times New Roman"/>
          <w:lang w:val="cs-CZ"/>
        </w:rPr>
        <w:t>s obsahem</w:t>
      </w:r>
      <w:r w:rsidRPr="000753C8">
        <w:rPr>
          <w:rFonts w:ascii="Times New Roman" w:hAnsi="Times New Roman"/>
          <w:lang w:val="cs-CZ"/>
        </w:rPr>
        <w:t xml:space="preserve"> </w:t>
      </w:r>
      <w:r w:rsidR="00365D1D" w:rsidRPr="000753C8">
        <w:rPr>
          <w:rFonts w:ascii="Times New Roman" w:hAnsi="Times New Roman"/>
          <w:lang w:val="cs-CZ"/>
        </w:rPr>
        <w:t>100 ml</w:t>
      </w:r>
    </w:p>
    <w:p w14:paraId="0C45087E" w14:textId="549525ED" w:rsidR="00365D1D" w:rsidRPr="000753C8" w:rsidRDefault="000A20E0" w:rsidP="00365D1D">
      <w:pPr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Láhev </w:t>
      </w:r>
      <w:r w:rsidR="00060B80" w:rsidRPr="000753C8">
        <w:rPr>
          <w:rFonts w:ascii="Times New Roman" w:hAnsi="Times New Roman"/>
          <w:lang w:val="cs-CZ"/>
        </w:rPr>
        <w:t>s obsahem</w:t>
      </w:r>
      <w:r w:rsidRPr="000753C8">
        <w:rPr>
          <w:rFonts w:ascii="Times New Roman" w:hAnsi="Times New Roman"/>
          <w:lang w:val="cs-CZ"/>
        </w:rPr>
        <w:t xml:space="preserve"> </w:t>
      </w:r>
      <w:r w:rsidR="00365D1D" w:rsidRPr="000753C8">
        <w:rPr>
          <w:rFonts w:ascii="Times New Roman" w:hAnsi="Times New Roman"/>
          <w:lang w:val="cs-CZ"/>
        </w:rPr>
        <w:t>1 l</w:t>
      </w:r>
    </w:p>
    <w:p w14:paraId="4F63754E" w14:textId="78DCD17B" w:rsidR="00365D1D" w:rsidRPr="000753C8" w:rsidRDefault="000A20E0" w:rsidP="00365D1D">
      <w:pPr>
        <w:spacing w:after="0" w:line="240" w:lineRule="auto"/>
        <w:ind w:left="709"/>
        <w:jc w:val="both"/>
        <w:rPr>
          <w:rFonts w:ascii="Times New Roman" w:eastAsia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lastRenderedPageBreak/>
        <w:t xml:space="preserve">Láhev </w:t>
      </w:r>
      <w:r w:rsidR="00060B80" w:rsidRPr="000753C8">
        <w:rPr>
          <w:rFonts w:ascii="Times New Roman" w:hAnsi="Times New Roman"/>
          <w:lang w:val="cs-CZ"/>
        </w:rPr>
        <w:t>s obsahem</w:t>
      </w:r>
      <w:r w:rsidRPr="000753C8">
        <w:rPr>
          <w:rFonts w:ascii="Times New Roman" w:hAnsi="Times New Roman"/>
          <w:lang w:val="cs-CZ"/>
        </w:rPr>
        <w:t xml:space="preserve"> </w:t>
      </w:r>
      <w:r w:rsidR="00365D1D" w:rsidRPr="000753C8">
        <w:rPr>
          <w:rFonts w:ascii="Times New Roman" w:hAnsi="Times New Roman"/>
          <w:lang w:val="cs-CZ"/>
        </w:rPr>
        <w:t>5 l</w:t>
      </w:r>
    </w:p>
    <w:p w14:paraId="35981FA2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28024BB7" w14:textId="77777777" w:rsidR="00365D1D" w:rsidRPr="000753C8" w:rsidRDefault="000A20E0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Na trhu nemusí být všechny velikosti balení.</w:t>
      </w:r>
    </w:p>
    <w:p w14:paraId="7B1F785B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015922D7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539A353F" w14:textId="77777777" w:rsidR="00365D1D" w:rsidRPr="000753C8" w:rsidRDefault="00365D1D" w:rsidP="00365D1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OZNAČENÍ „POUZE PRO ZVÍŘATA“ A PODMÍNKY A OMEZENÍ TÝKAJÍCÍ SE DODÁVEK A POUŽITÍ</w:t>
      </w:r>
    </w:p>
    <w:p w14:paraId="5DF992FE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4A890F29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Pouze pro zvířata.</w:t>
      </w:r>
    </w:p>
    <w:p w14:paraId="07177F86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Veterinární léčivý přípravek je vydáván pouze na předpis.</w:t>
      </w:r>
    </w:p>
    <w:p w14:paraId="2B83F32D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0014C15F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374AF995" w14:textId="77777777" w:rsidR="00365D1D" w:rsidRPr="000753C8" w:rsidRDefault="00365D1D" w:rsidP="00365D1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OZNAČENÍ „UCHOVÁV</w:t>
      </w:r>
      <w:r w:rsidR="00FC6BBC" w:rsidRPr="000753C8">
        <w:rPr>
          <w:rFonts w:ascii="Times New Roman" w:hAnsi="Times New Roman"/>
          <w:lang w:val="cs-CZ"/>
        </w:rPr>
        <w:t>AT</w:t>
      </w:r>
      <w:r w:rsidRPr="000753C8">
        <w:rPr>
          <w:rFonts w:ascii="Times New Roman" w:hAnsi="Times New Roman"/>
          <w:lang w:val="cs-CZ"/>
        </w:rPr>
        <w:t xml:space="preserve"> MIMO DOHLED A DOSAH DĚTÍ“</w:t>
      </w:r>
    </w:p>
    <w:p w14:paraId="52559914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38DE7479" w14:textId="77777777" w:rsidR="00365D1D" w:rsidRPr="000753C8" w:rsidRDefault="00365D1D" w:rsidP="00365D1D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Uchováv</w:t>
      </w:r>
      <w:r w:rsidR="00FC6BBC" w:rsidRPr="000753C8">
        <w:rPr>
          <w:rFonts w:ascii="Times New Roman" w:hAnsi="Times New Roman"/>
          <w:lang w:val="cs-CZ"/>
        </w:rPr>
        <w:t>at</w:t>
      </w:r>
      <w:r w:rsidRPr="000753C8">
        <w:rPr>
          <w:rFonts w:ascii="Times New Roman" w:hAnsi="Times New Roman"/>
          <w:lang w:val="cs-CZ"/>
        </w:rPr>
        <w:t xml:space="preserve"> mimo dohled a dosah dětí.</w:t>
      </w:r>
    </w:p>
    <w:p w14:paraId="4927287D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7E4917C7" w14:textId="77777777" w:rsidR="00365D1D" w:rsidRPr="000753C8" w:rsidRDefault="00365D1D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55221B5D" w14:textId="77777777" w:rsidR="0068564B" w:rsidRPr="000753C8" w:rsidRDefault="0068564B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DATUM </w:t>
      </w:r>
      <w:r w:rsidR="00517253" w:rsidRPr="000753C8">
        <w:rPr>
          <w:rFonts w:ascii="Times New Roman" w:hAnsi="Times New Roman"/>
          <w:lang w:val="cs-CZ"/>
        </w:rPr>
        <w:t>EXSPIRACE</w:t>
      </w:r>
    </w:p>
    <w:p w14:paraId="1880922F" w14:textId="77777777" w:rsidR="00E94229" w:rsidRPr="000753C8" w:rsidRDefault="00E94229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1774CEEC" w14:textId="006C8451" w:rsidR="0068564B" w:rsidRPr="000753C8" w:rsidRDefault="00DF50E8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EXP:</w:t>
      </w:r>
      <w:r w:rsidR="00873210" w:rsidRPr="000753C8">
        <w:rPr>
          <w:rFonts w:ascii="Times New Roman" w:hAnsi="Times New Roman"/>
          <w:lang w:val="cs-CZ"/>
        </w:rPr>
        <w:t xml:space="preserve"> {měsíc/rok}</w:t>
      </w:r>
    </w:p>
    <w:p w14:paraId="7732EFE6" w14:textId="77777777" w:rsidR="008258A6" w:rsidRPr="000753C8" w:rsidRDefault="000A20E0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Doba použitelnosti </w:t>
      </w:r>
      <w:r w:rsidR="009B4B1E" w:rsidRPr="000753C8">
        <w:rPr>
          <w:rFonts w:ascii="Times New Roman" w:hAnsi="Times New Roman"/>
          <w:lang w:val="cs-CZ"/>
        </w:rPr>
        <w:t>po prvním otevření vnitřního obalu: 4 měsíce</w:t>
      </w:r>
      <w:r w:rsidRPr="000753C8">
        <w:rPr>
          <w:rFonts w:ascii="Times New Roman" w:hAnsi="Times New Roman"/>
          <w:lang w:val="cs-CZ"/>
        </w:rPr>
        <w:t>.</w:t>
      </w:r>
    </w:p>
    <w:p w14:paraId="782A4549" w14:textId="77777777" w:rsidR="009B4B1E" w:rsidRPr="000753C8" w:rsidRDefault="000A20E0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Doba použitelnosti </w:t>
      </w:r>
      <w:r w:rsidR="009B4B1E" w:rsidRPr="000753C8">
        <w:rPr>
          <w:rFonts w:ascii="Times New Roman" w:hAnsi="Times New Roman"/>
          <w:lang w:val="cs-CZ"/>
        </w:rPr>
        <w:t xml:space="preserve">po naředění </w:t>
      </w:r>
      <w:r w:rsidRPr="000753C8">
        <w:rPr>
          <w:rFonts w:ascii="Times New Roman" w:hAnsi="Times New Roman"/>
          <w:lang w:val="cs-CZ"/>
        </w:rPr>
        <w:t>po</w:t>
      </w:r>
      <w:r w:rsidR="009B4B1E" w:rsidRPr="000753C8">
        <w:rPr>
          <w:rFonts w:ascii="Times New Roman" w:hAnsi="Times New Roman"/>
          <w:lang w:val="cs-CZ"/>
        </w:rPr>
        <w:t xml:space="preserve">dle </w:t>
      </w:r>
      <w:r w:rsidRPr="000753C8">
        <w:rPr>
          <w:rFonts w:ascii="Times New Roman" w:hAnsi="Times New Roman"/>
          <w:lang w:val="cs-CZ"/>
        </w:rPr>
        <w:t>návodu</w:t>
      </w:r>
      <w:r w:rsidR="009B4B1E" w:rsidRPr="000753C8">
        <w:rPr>
          <w:rFonts w:ascii="Times New Roman" w:hAnsi="Times New Roman"/>
          <w:lang w:val="cs-CZ"/>
        </w:rPr>
        <w:t>: 24 hodin</w:t>
      </w:r>
      <w:r w:rsidRPr="000753C8">
        <w:rPr>
          <w:rFonts w:ascii="Times New Roman" w:hAnsi="Times New Roman"/>
          <w:lang w:val="cs-CZ"/>
        </w:rPr>
        <w:t>.</w:t>
      </w:r>
    </w:p>
    <w:p w14:paraId="08B0EFBE" w14:textId="77777777" w:rsidR="0076553E" w:rsidRPr="000753C8" w:rsidRDefault="0076553E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06EA06FF" w14:textId="77777777" w:rsidR="00E94229" w:rsidRPr="000753C8" w:rsidRDefault="00E94229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5B1B163D" w14:textId="77777777" w:rsidR="005906D7" w:rsidRPr="000753C8" w:rsidRDefault="00517253" w:rsidP="00517253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REGISTRAČNÍ ČÍSLO</w:t>
      </w:r>
    </w:p>
    <w:p w14:paraId="39310571" w14:textId="77777777" w:rsidR="008258A6" w:rsidRPr="000753C8" w:rsidRDefault="008258A6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28AA8D61" w14:textId="77777777" w:rsidR="004B3D5E" w:rsidRPr="000753C8" w:rsidRDefault="0066051E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96/075/19-C</w:t>
      </w:r>
    </w:p>
    <w:p w14:paraId="31FE8719" w14:textId="77777777" w:rsidR="0066051E" w:rsidRPr="000753C8" w:rsidRDefault="0066051E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0C91A127" w14:textId="77777777" w:rsidR="0089116B" w:rsidRPr="000753C8" w:rsidRDefault="0089116B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49E00B31" w14:textId="77777777" w:rsidR="005906D7" w:rsidRPr="000753C8" w:rsidRDefault="005906D7" w:rsidP="007B1D1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 xml:space="preserve">ČÍSLO ŠARŽE </w:t>
      </w:r>
      <w:r w:rsidR="00517253" w:rsidRPr="000753C8">
        <w:rPr>
          <w:rFonts w:ascii="Times New Roman" w:hAnsi="Times New Roman"/>
          <w:lang w:val="cs-CZ"/>
        </w:rPr>
        <w:t xml:space="preserve">OD </w:t>
      </w:r>
      <w:r w:rsidRPr="000753C8">
        <w:rPr>
          <w:rFonts w:ascii="Times New Roman" w:hAnsi="Times New Roman"/>
          <w:lang w:val="cs-CZ"/>
        </w:rPr>
        <w:t>VÝROBCE</w:t>
      </w:r>
    </w:p>
    <w:p w14:paraId="331A2F38" w14:textId="77777777" w:rsidR="00E94229" w:rsidRPr="000753C8" w:rsidRDefault="00E94229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0E9237B6" w14:textId="05DB9701" w:rsidR="005906D7" w:rsidRPr="000753C8" w:rsidRDefault="00365D1D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r w:rsidRPr="000753C8">
        <w:rPr>
          <w:rFonts w:ascii="Times New Roman" w:hAnsi="Times New Roman"/>
          <w:lang w:val="cs-CZ"/>
        </w:rPr>
        <w:t>Lot</w:t>
      </w:r>
      <w:r w:rsidR="004655BF" w:rsidRPr="000753C8">
        <w:rPr>
          <w:rFonts w:ascii="Times New Roman" w:hAnsi="Times New Roman"/>
          <w:lang w:val="cs-CZ"/>
        </w:rPr>
        <w:t>:</w:t>
      </w:r>
      <w:r w:rsidR="00873210" w:rsidRPr="000753C8">
        <w:rPr>
          <w:rFonts w:ascii="Times New Roman" w:hAnsi="Times New Roman"/>
          <w:lang w:val="cs-CZ"/>
        </w:rPr>
        <w:t xml:space="preserve"> {číslo}</w:t>
      </w:r>
    </w:p>
    <w:p w14:paraId="1A6FF5B8" w14:textId="77777777" w:rsidR="005906D7" w:rsidRPr="000753C8" w:rsidRDefault="005906D7" w:rsidP="007B1D1C">
      <w:pPr>
        <w:spacing w:after="0" w:line="240" w:lineRule="auto"/>
        <w:rPr>
          <w:rFonts w:ascii="Times New Roman" w:hAnsi="Times New Roman"/>
          <w:lang w:val="cs-CZ"/>
        </w:rPr>
      </w:pPr>
    </w:p>
    <w:p w14:paraId="54325AF3" w14:textId="77777777" w:rsidR="002929D7" w:rsidRPr="000753C8" w:rsidRDefault="002929D7" w:rsidP="007B1D1C">
      <w:pPr>
        <w:spacing w:after="0" w:line="240" w:lineRule="auto"/>
        <w:ind w:firstLine="709"/>
        <w:rPr>
          <w:rFonts w:ascii="Times New Roman" w:hAnsi="Times New Roman"/>
          <w:lang w:val="cs-CZ"/>
        </w:rPr>
      </w:pPr>
      <w:bookmarkStart w:id="0" w:name="_GoBack"/>
      <w:bookmarkEnd w:id="0"/>
    </w:p>
    <w:sectPr w:rsidR="002929D7" w:rsidRPr="000753C8" w:rsidSect="00A8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E39A5" w14:textId="77777777" w:rsidR="00BF00E0" w:rsidRDefault="00BF00E0" w:rsidP="00B06C4C">
      <w:pPr>
        <w:spacing w:after="0" w:line="240" w:lineRule="auto"/>
      </w:pPr>
      <w:r>
        <w:separator/>
      </w:r>
    </w:p>
  </w:endnote>
  <w:endnote w:type="continuationSeparator" w:id="0">
    <w:p w14:paraId="2A302130" w14:textId="77777777" w:rsidR="00BF00E0" w:rsidRDefault="00BF00E0" w:rsidP="00B0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D4FEA" w14:textId="77777777" w:rsidR="00BF00E0" w:rsidRDefault="00BF00E0" w:rsidP="00B06C4C">
      <w:pPr>
        <w:spacing w:after="0" w:line="240" w:lineRule="auto"/>
      </w:pPr>
      <w:r>
        <w:separator/>
      </w:r>
    </w:p>
  </w:footnote>
  <w:footnote w:type="continuationSeparator" w:id="0">
    <w:p w14:paraId="2947F1C0" w14:textId="77777777" w:rsidR="00BF00E0" w:rsidRDefault="00BF00E0" w:rsidP="00B0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5FE"/>
    <w:multiLevelType w:val="hybridMultilevel"/>
    <w:tmpl w:val="8898B218"/>
    <w:lvl w:ilvl="0" w:tplc="7F4AA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319C"/>
    <w:multiLevelType w:val="hybridMultilevel"/>
    <w:tmpl w:val="1FAA2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4"/>
    <w:multiLevelType w:val="hybridMultilevel"/>
    <w:tmpl w:val="1C24F42E"/>
    <w:lvl w:ilvl="0" w:tplc="DD824B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7F1EFA"/>
    <w:multiLevelType w:val="hybridMultilevel"/>
    <w:tmpl w:val="1FAA2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130E6"/>
    <w:multiLevelType w:val="hybridMultilevel"/>
    <w:tmpl w:val="D08070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3F10"/>
    <w:multiLevelType w:val="hybridMultilevel"/>
    <w:tmpl w:val="B230685C"/>
    <w:lvl w:ilvl="0" w:tplc="BCB642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6065B"/>
    <w:multiLevelType w:val="hybridMultilevel"/>
    <w:tmpl w:val="F650E3D2"/>
    <w:lvl w:ilvl="0" w:tplc="B62AEC82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9FF"/>
    <w:rsid w:val="00002557"/>
    <w:rsid w:val="00026EEE"/>
    <w:rsid w:val="00030D69"/>
    <w:rsid w:val="00036053"/>
    <w:rsid w:val="000415E5"/>
    <w:rsid w:val="00053A3D"/>
    <w:rsid w:val="00060B80"/>
    <w:rsid w:val="000753C8"/>
    <w:rsid w:val="00075D9D"/>
    <w:rsid w:val="000926D3"/>
    <w:rsid w:val="000A20E0"/>
    <w:rsid w:val="000B14BA"/>
    <w:rsid w:val="000B35CA"/>
    <w:rsid w:val="000B48A5"/>
    <w:rsid w:val="000C7826"/>
    <w:rsid w:val="000D4D50"/>
    <w:rsid w:val="0010493C"/>
    <w:rsid w:val="00141EA4"/>
    <w:rsid w:val="00151476"/>
    <w:rsid w:val="001A4054"/>
    <w:rsid w:val="001B40DA"/>
    <w:rsid w:val="0020369C"/>
    <w:rsid w:val="00204754"/>
    <w:rsid w:val="00221084"/>
    <w:rsid w:val="0023052D"/>
    <w:rsid w:val="00231281"/>
    <w:rsid w:val="00240FB0"/>
    <w:rsid w:val="00275CA0"/>
    <w:rsid w:val="00280357"/>
    <w:rsid w:val="002929D7"/>
    <w:rsid w:val="002953C1"/>
    <w:rsid w:val="002E1C55"/>
    <w:rsid w:val="002F65D4"/>
    <w:rsid w:val="002F7CC7"/>
    <w:rsid w:val="0030660C"/>
    <w:rsid w:val="003360CA"/>
    <w:rsid w:val="00350F6D"/>
    <w:rsid w:val="00351732"/>
    <w:rsid w:val="00361156"/>
    <w:rsid w:val="00365D1D"/>
    <w:rsid w:val="00375E9C"/>
    <w:rsid w:val="003D5303"/>
    <w:rsid w:val="003E1EEF"/>
    <w:rsid w:val="003E4106"/>
    <w:rsid w:val="004121D7"/>
    <w:rsid w:val="004244F9"/>
    <w:rsid w:val="00432D14"/>
    <w:rsid w:val="004513BA"/>
    <w:rsid w:val="004655BF"/>
    <w:rsid w:val="0047490B"/>
    <w:rsid w:val="004A327A"/>
    <w:rsid w:val="004B3D5E"/>
    <w:rsid w:val="004C6A1D"/>
    <w:rsid w:val="004D4F82"/>
    <w:rsid w:val="004E1C9E"/>
    <w:rsid w:val="00517253"/>
    <w:rsid w:val="00524439"/>
    <w:rsid w:val="00537A89"/>
    <w:rsid w:val="005653BE"/>
    <w:rsid w:val="005872C1"/>
    <w:rsid w:val="005906D7"/>
    <w:rsid w:val="005D789E"/>
    <w:rsid w:val="005F246C"/>
    <w:rsid w:val="005F4790"/>
    <w:rsid w:val="0063749D"/>
    <w:rsid w:val="00640BC9"/>
    <w:rsid w:val="0066051E"/>
    <w:rsid w:val="00667CD9"/>
    <w:rsid w:val="0068564B"/>
    <w:rsid w:val="006B07E9"/>
    <w:rsid w:val="006E67C6"/>
    <w:rsid w:val="00704FF0"/>
    <w:rsid w:val="00705635"/>
    <w:rsid w:val="00725EEE"/>
    <w:rsid w:val="0073783B"/>
    <w:rsid w:val="0076553E"/>
    <w:rsid w:val="00770C1D"/>
    <w:rsid w:val="00780144"/>
    <w:rsid w:val="00782E0A"/>
    <w:rsid w:val="00785870"/>
    <w:rsid w:val="0078672A"/>
    <w:rsid w:val="00794401"/>
    <w:rsid w:val="007B1D1C"/>
    <w:rsid w:val="007C03D2"/>
    <w:rsid w:val="007C474F"/>
    <w:rsid w:val="007C492B"/>
    <w:rsid w:val="007D0309"/>
    <w:rsid w:val="008258A6"/>
    <w:rsid w:val="00857273"/>
    <w:rsid w:val="00873210"/>
    <w:rsid w:val="0089116B"/>
    <w:rsid w:val="008C4A0A"/>
    <w:rsid w:val="008C4B91"/>
    <w:rsid w:val="008C6BEA"/>
    <w:rsid w:val="008D2C8E"/>
    <w:rsid w:val="008D6CF8"/>
    <w:rsid w:val="008F3F97"/>
    <w:rsid w:val="00911A46"/>
    <w:rsid w:val="009264C2"/>
    <w:rsid w:val="00934A00"/>
    <w:rsid w:val="00957E43"/>
    <w:rsid w:val="009656F0"/>
    <w:rsid w:val="0097594A"/>
    <w:rsid w:val="00982492"/>
    <w:rsid w:val="00984073"/>
    <w:rsid w:val="00990EBC"/>
    <w:rsid w:val="009B23D2"/>
    <w:rsid w:val="009B4B1E"/>
    <w:rsid w:val="009B4C17"/>
    <w:rsid w:val="009C15F3"/>
    <w:rsid w:val="009C184E"/>
    <w:rsid w:val="009C1A4D"/>
    <w:rsid w:val="009C7E15"/>
    <w:rsid w:val="009D06CA"/>
    <w:rsid w:val="009D2895"/>
    <w:rsid w:val="009E07A9"/>
    <w:rsid w:val="009E2B3C"/>
    <w:rsid w:val="009F2D92"/>
    <w:rsid w:val="009F46CD"/>
    <w:rsid w:val="00A01E3C"/>
    <w:rsid w:val="00A1342D"/>
    <w:rsid w:val="00A20901"/>
    <w:rsid w:val="00A2389D"/>
    <w:rsid w:val="00A54A1D"/>
    <w:rsid w:val="00A54AD9"/>
    <w:rsid w:val="00A613D5"/>
    <w:rsid w:val="00A748AA"/>
    <w:rsid w:val="00A82FE0"/>
    <w:rsid w:val="00A91A2F"/>
    <w:rsid w:val="00A94870"/>
    <w:rsid w:val="00AA1CB2"/>
    <w:rsid w:val="00AB3E7C"/>
    <w:rsid w:val="00AB4E8B"/>
    <w:rsid w:val="00AC577E"/>
    <w:rsid w:val="00B06C4C"/>
    <w:rsid w:val="00B07519"/>
    <w:rsid w:val="00B11736"/>
    <w:rsid w:val="00B27C9D"/>
    <w:rsid w:val="00B33FC9"/>
    <w:rsid w:val="00B62896"/>
    <w:rsid w:val="00B62CEF"/>
    <w:rsid w:val="00B92427"/>
    <w:rsid w:val="00BF00E0"/>
    <w:rsid w:val="00C079FF"/>
    <w:rsid w:val="00C16647"/>
    <w:rsid w:val="00C3114F"/>
    <w:rsid w:val="00C67292"/>
    <w:rsid w:val="00C84747"/>
    <w:rsid w:val="00C85C6D"/>
    <w:rsid w:val="00C92E75"/>
    <w:rsid w:val="00C93BB4"/>
    <w:rsid w:val="00C94CC1"/>
    <w:rsid w:val="00CB04BC"/>
    <w:rsid w:val="00CC0251"/>
    <w:rsid w:val="00CC6720"/>
    <w:rsid w:val="00CF4648"/>
    <w:rsid w:val="00CF5D7A"/>
    <w:rsid w:val="00D12CFC"/>
    <w:rsid w:val="00D259BA"/>
    <w:rsid w:val="00D302D0"/>
    <w:rsid w:val="00D869C6"/>
    <w:rsid w:val="00D95571"/>
    <w:rsid w:val="00DB76B8"/>
    <w:rsid w:val="00DC6084"/>
    <w:rsid w:val="00DE49C7"/>
    <w:rsid w:val="00DE6AEC"/>
    <w:rsid w:val="00DF50E8"/>
    <w:rsid w:val="00E24F79"/>
    <w:rsid w:val="00E44C3A"/>
    <w:rsid w:val="00E555FD"/>
    <w:rsid w:val="00E700F0"/>
    <w:rsid w:val="00E94229"/>
    <w:rsid w:val="00E9611D"/>
    <w:rsid w:val="00EA5FB6"/>
    <w:rsid w:val="00EB1DC5"/>
    <w:rsid w:val="00EB7374"/>
    <w:rsid w:val="00EB7621"/>
    <w:rsid w:val="00EC7E82"/>
    <w:rsid w:val="00ED1369"/>
    <w:rsid w:val="00EE0682"/>
    <w:rsid w:val="00EE7D93"/>
    <w:rsid w:val="00EF27B1"/>
    <w:rsid w:val="00EF3159"/>
    <w:rsid w:val="00EF73B4"/>
    <w:rsid w:val="00F01707"/>
    <w:rsid w:val="00F03132"/>
    <w:rsid w:val="00F143D7"/>
    <w:rsid w:val="00F63668"/>
    <w:rsid w:val="00F91EA7"/>
    <w:rsid w:val="00F95395"/>
    <w:rsid w:val="00FB70FD"/>
    <w:rsid w:val="00FC0209"/>
    <w:rsid w:val="00FC4EBB"/>
    <w:rsid w:val="00FC6BBC"/>
    <w:rsid w:val="00FD0CE2"/>
    <w:rsid w:val="00FF2FC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185E"/>
  <w15:docId w15:val="{CB9AA338-88AF-4958-ABFD-9DAD354D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16B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9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67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DF5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F50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0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50E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50E8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06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06C4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6C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6C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8D42-F89E-4778-91D3-67DFF4EA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1074</Words>
  <Characters>6343</Characters>
  <Application>Microsoft Office Word</Application>
  <DocSecurity>0</DocSecurity>
  <Lines>52</Lines>
  <Paragraphs>14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INVIVO-NSA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Djamila</dc:creator>
  <cp:keywords/>
  <cp:lastModifiedBy>Nepejchalová Leona</cp:lastModifiedBy>
  <cp:revision>24</cp:revision>
  <cp:lastPrinted>2019-09-25T07:58:00Z</cp:lastPrinted>
  <dcterms:created xsi:type="dcterms:W3CDTF">2021-02-16T11:27:00Z</dcterms:created>
  <dcterms:modified xsi:type="dcterms:W3CDTF">2021-03-29T17:19:00Z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