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58383" w14:textId="77777777" w:rsidR="0063322A" w:rsidRPr="00075475" w:rsidRDefault="0063322A" w:rsidP="0063322A">
      <w:pPr>
        <w:jc w:val="center"/>
        <w:rPr>
          <w:b/>
          <w:szCs w:val="22"/>
        </w:rPr>
      </w:pPr>
      <w:bookmarkStart w:id="0" w:name="1"/>
    </w:p>
    <w:p w14:paraId="48531188" w14:textId="77777777" w:rsidR="0063322A" w:rsidRPr="00075475" w:rsidRDefault="0063322A" w:rsidP="0063322A">
      <w:pPr>
        <w:jc w:val="center"/>
        <w:rPr>
          <w:b/>
          <w:szCs w:val="22"/>
        </w:rPr>
      </w:pPr>
    </w:p>
    <w:p w14:paraId="35D45930" w14:textId="77777777" w:rsidR="0063322A" w:rsidRPr="00075475" w:rsidRDefault="0063322A" w:rsidP="0063322A">
      <w:pPr>
        <w:jc w:val="center"/>
        <w:rPr>
          <w:b/>
          <w:szCs w:val="22"/>
        </w:rPr>
      </w:pPr>
    </w:p>
    <w:p w14:paraId="2E6E448E" w14:textId="77777777" w:rsidR="0063322A" w:rsidRPr="00075475" w:rsidRDefault="0063322A" w:rsidP="0063322A">
      <w:pPr>
        <w:jc w:val="center"/>
        <w:rPr>
          <w:b/>
          <w:szCs w:val="22"/>
        </w:rPr>
      </w:pPr>
    </w:p>
    <w:p w14:paraId="5748C550" w14:textId="77777777" w:rsidR="0063322A" w:rsidRPr="00075475" w:rsidRDefault="0063322A" w:rsidP="0063322A">
      <w:pPr>
        <w:jc w:val="center"/>
        <w:rPr>
          <w:b/>
          <w:szCs w:val="22"/>
        </w:rPr>
      </w:pPr>
    </w:p>
    <w:p w14:paraId="1DC68414" w14:textId="77777777" w:rsidR="0063322A" w:rsidRPr="00075475" w:rsidRDefault="0063322A" w:rsidP="0063322A">
      <w:pPr>
        <w:jc w:val="center"/>
        <w:rPr>
          <w:b/>
          <w:szCs w:val="22"/>
        </w:rPr>
      </w:pPr>
    </w:p>
    <w:bookmarkEnd w:id="0"/>
    <w:p w14:paraId="63C5A9F6" w14:textId="77777777" w:rsidR="0094619D" w:rsidRPr="00F30D3F" w:rsidRDefault="0094619D" w:rsidP="0094619D"/>
    <w:p w14:paraId="31163323" w14:textId="77777777" w:rsidR="0094619D" w:rsidRPr="00F30D3F" w:rsidRDefault="0094619D" w:rsidP="0094619D">
      <w:pPr>
        <w:jc w:val="center"/>
      </w:pPr>
    </w:p>
    <w:p w14:paraId="3BB4875A" w14:textId="77777777" w:rsidR="0094619D" w:rsidRPr="00F30D3F" w:rsidRDefault="0094619D" w:rsidP="0094619D">
      <w:pPr>
        <w:jc w:val="center"/>
      </w:pPr>
    </w:p>
    <w:p w14:paraId="17B96608" w14:textId="77777777" w:rsidR="0094619D" w:rsidRPr="00F30D3F" w:rsidRDefault="0094619D" w:rsidP="0094619D">
      <w:pPr>
        <w:jc w:val="center"/>
      </w:pPr>
    </w:p>
    <w:p w14:paraId="3E8C0EAF" w14:textId="77777777" w:rsidR="0094619D" w:rsidRPr="00F30D3F" w:rsidRDefault="0094619D" w:rsidP="0094619D">
      <w:pPr>
        <w:jc w:val="center"/>
      </w:pPr>
    </w:p>
    <w:p w14:paraId="1E1C17E2" w14:textId="77777777" w:rsidR="0094619D" w:rsidRPr="00F30D3F" w:rsidRDefault="0094619D" w:rsidP="0094619D">
      <w:pPr>
        <w:jc w:val="center"/>
      </w:pPr>
    </w:p>
    <w:p w14:paraId="36CCF771" w14:textId="77777777" w:rsidR="0094619D" w:rsidRPr="00F30D3F" w:rsidRDefault="0094619D" w:rsidP="0094619D">
      <w:pPr>
        <w:jc w:val="center"/>
      </w:pPr>
    </w:p>
    <w:p w14:paraId="703D88AF" w14:textId="77777777" w:rsidR="0094619D" w:rsidRDefault="0094619D" w:rsidP="0094619D">
      <w:pPr>
        <w:jc w:val="center"/>
      </w:pPr>
    </w:p>
    <w:p w14:paraId="03B18B3A" w14:textId="77777777" w:rsidR="0094619D" w:rsidRDefault="0094619D" w:rsidP="0094619D">
      <w:pPr>
        <w:jc w:val="center"/>
      </w:pPr>
    </w:p>
    <w:p w14:paraId="4D36E80B" w14:textId="77777777" w:rsidR="0094619D" w:rsidRDefault="0094619D" w:rsidP="0094619D">
      <w:pPr>
        <w:jc w:val="center"/>
      </w:pPr>
    </w:p>
    <w:p w14:paraId="4E70BBC5" w14:textId="77777777" w:rsidR="0094619D" w:rsidRDefault="0094619D" w:rsidP="0094619D">
      <w:pPr>
        <w:jc w:val="center"/>
      </w:pPr>
    </w:p>
    <w:p w14:paraId="55E0633C" w14:textId="77777777" w:rsidR="0094619D" w:rsidRPr="00F30D3F" w:rsidRDefault="0094619D" w:rsidP="0094619D">
      <w:pPr>
        <w:jc w:val="center"/>
      </w:pPr>
    </w:p>
    <w:p w14:paraId="1C4BD981" w14:textId="77777777" w:rsidR="0094619D" w:rsidRPr="00F30D3F" w:rsidRDefault="0094619D" w:rsidP="0094619D">
      <w:pPr>
        <w:jc w:val="center"/>
      </w:pPr>
    </w:p>
    <w:p w14:paraId="24E3E223" w14:textId="77777777" w:rsidR="0094619D" w:rsidRPr="00F30D3F" w:rsidRDefault="0094619D" w:rsidP="0094619D">
      <w:pPr>
        <w:jc w:val="center"/>
      </w:pPr>
    </w:p>
    <w:p w14:paraId="55671C00" w14:textId="77777777" w:rsidR="0094619D" w:rsidRPr="00F30D3F" w:rsidRDefault="0094619D" w:rsidP="0094619D">
      <w:pPr>
        <w:jc w:val="center"/>
      </w:pPr>
    </w:p>
    <w:p w14:paraId="6FAA0A2F" w14:textId="77777777" w:rsidR="0094619D" w:rsidRPr="00F30D3F" w:rsidRDefault="0094619D" w:rsidP="0094619D">
      <w:pPr>
        <w:jc w:val="center"/>
      </w:pPr>
    </w:p>
    <w:p w14:paraId="69559346" w14:textId="77777777" w:rsidR="0094619D" w:rsidRPr="00F30D3F" w:rsidRDefault="0094619D" w:rsidP="0094619D">
      <w:pPr>
        <w:jc w:val="center"/>
      </w:pPr>
    </w:p>
    <w:p w14:paraId="12FFDB58" w14:textId="77777777" w:rsidR="0094619D" w:rsidRPr="00F30D3F" w:rsidRDefault="0094619D" w:rsidP="0094619D">
      <w:pPr>
        <w:jc w:val="center"/>
        <w:rPr>
          <w:b/>
        </w:rPr>
      </w:pPr>
      <w:r w:rsidRPr="00F30D3F">
        <w:rPr>
          <w:b/>
        </w:rPr>
        <w:t>PŘÍLOHA III</w:t>
      </w:r>
    </w:p>
    <w:p w14:paraId="7C8E7C8E" w14:textId="77777777" w:rsidR="0094619D" w:rsidRPr="00F30D3F" w:rsidRDefault="0094619D" w:rsidP="0094619D">
      <w:pPr>
        <w:jc w:val="center"/>
        <w:rPr>
          <w:b/>
        </w:rPr>
      </w:pPr>
    </w:p>
    <w:p w14:paraId="014D5FA2" w14:textId="77777777" w:rsidR="0094619D" w:rsidRPr="00F30D3F" w:rsidRDefault="0094619D" w:rsidP="0094619D">
      <w:pPr>
        <w:jc w:val="center"/>
        <w:rPr>
          <w:b/>
        </w:rPr>
      </w:pPr>
      <w:r w:rsidRPr="00F30D3F">
        <w:rPr>
          <w:b/>
        </w:rPr>
        <w:t>OZNAČENÍ NA OBALU A PŘÍBALOVÁ INFORMACE</w:t>
      </w:r>
    </w:p>
    <w:p w14:paraId="105A69B3" w14:textId="77777777" w:rsidR="0094619D" w:rsidRDefault="0094619D">
      <w:pPr>
        <w:rPr>
          <w:rFonts w:eastAsia="Arial Unicode MS"/>
          <w:sz w:val="22"/>
          <w:szCs w:val="22"/>
          <w:lang w:eastAsia="en-US"/>
        </w:rPr>
      </w:pPr>
      <w:r>
        <w:rPr>
          <w:rFonts w:eastAsia="Arial Unicode MS"/>
        </w:rPr>
        <w:br w:type="page"/>
      </w:r>
    </w:p>
    <w:p w14:paraId="7795B312" w14:textId="77777777" w:rsidR="0094619D" w:rsidRPr="00F30D3F" w:rsidRDefault="0094619D" w:rsidP="0094619D"/>
    <w:p w14:paraId="4503A3FA" w14:textId="77777777" w:rsidR="0094619D" w:rsidRPr="00F30D3F" w:rsidRDefault="0094619D" w:rsidP="0094619D">
      <w:pPr>
        <w:jc w:val="center"/>
      </w:pPr>
    </w:p>
    <w:p w14:paraId="37B67561" w14:textId="77777777" w:rsidR="0094619D" w:rsidRPr="00F30D3F" w:rsidRDefault="0094619D" w:rsidP="0094619D">
      <w:pPr>
        <w:jc w:val="center"/>
      </w:pPr>
    </w:p>
    <w:p w14:paraId="6DC1CF9F" w14:textId="77777777" w:rsidR="0094619D" w:rsidRPr="00F30D3F" w:rsidRDefault="0094619D" w:rsidP="0094619D">
      <w:pPr>
        <w:jc w:val="center"/>
      </w:pPr>
    </w:p>
    <w:p w14:paraId="3F46E83E" w14:textId="77777777" w:rsidR="0094619D" w:rsidRPr="00F30D3F" w:rsidRDefault="0094619D" w:rsidP="0094619D">
      <w:pPr>
        <w:jc w:val="center"/>
      </w:pPr>
    </w:p>
    <w:p w14:paraId="1E487881" w14:textId="77777777" w:rsidR="0094619D" w:rsidRPr="00F30D3F" w:rsidRDefault="0094619D" w:rsidP="0094619D">
      <w:pPr>
        <w:jc w:val="center"/>
      </w:pPr>
    </w:p>
    <w:p w14:paraId="5D43A881" w14:textId="77777777" w:rsidR="0094619D" w:rsidRPr="00F30D3F" w:rsidRDefault="0094619D" w:rsidP="0094619D">
      <w:pPr>
        <w:jc w:val="center"/>
      </w:pPr>
    </w:p>
    <w:p w14:paraId="07A44D2F" w14:textId="77777777" w:rsidR="0094619D" w:rsidRPr="00F30D3F" w:rsidRDefault="0094619D" w:rsidP="0094619D">
      <w:pPr>
        <w:jc w:val="center"/>
      </w:pPr>
    </w:p>
    <w:p w14:paraId="4531C244" w14:textId="77777777" w:rsidR="0094619D" w:rsidRPr="00F30D3F" w:rsidRDefault="0094619D" w:rsidP="0094619D">
      <w:pPr>
        <w:jc w:val="center"/>
      </w:pPr>
    </w:p>
    <w:p w14:paraId="20F67B67" w14:textId="77777777" w:rsidR="0094619D" w:rsidRPr="00F30D3F" w:rsidRDefault="0094619D" w:rsidP="00BA1F2B">
      <w:pPr>
        <w:jc w:val="center"/>
      </w:pPr>
    </w:p>
    <w:p w14:paraId="2AE8E9F3" w14:textId="77777777" w:rsidR="0094619D" w:rsidRPr="00F30D3F" w:rsidRDefault="0094619D" w:rsidP="0094619D">
      <w:pPr>
        <w:jc w:val="center"/>
      </w:pPr>
    </w:p>
    <w:p w14:paraId="4463C65A" w14:textId="77777777" w:rsidR="0094619D" w:rsidRPr="00F30D3F" w:rsidRDefault="0094619D" w:rsidP="0094619D">
      <w:pPr>
        <w:jc w:val="center"/>
      </w:pPr>
    </w:p>
    <w:p w14:paraId="42BD3194" w14:textId="77777777" w:rsidR="0094619D" w:rsidRPr="00F30D3F" w:rsidRDefault="0094619D" w:rsidP="0094619D">
      <w:pPr>
        <w:jc w:val="center"/>
      </w:pPr>
    </w:p>
    <w:p w14:paraId="6F23CE29" w14:textId="77777777" w:rsidR="0094619D" w:rsidRPr="00F30D3F" w:rsidRDefault="0094619D" w:rsidP="0094619D">
      <w:pPr>
        <w:jc w:val="center"/>
      </w:pPr>
    </w:p>
    <w:p w14:paraId="4BA8DB1A" w14:textId="77777777" w:rsidR="0094619D" w:rsidRPr="00F30D3F" w:rsidRDefault="0094619D" w:rsidP="0094619D">
      <w:pPr>
        <w:jc w:val="center"/>
      </w:pPr>
    </w:p>
    <w:p w14:paraId="27EA56FA" w14:textId="77777777" w:rsidR="0094619D" w:rsidRPr="00F30D3F" w:rsidRDefault="0094619D" w:rsidP="0094619D">
      <w:pPr>
        <w:jc w:val="center"/>
      </w:pPr>
    </w:p>
    <w:p w14:paraId="64178930" w14:textId="77777777" w:rsidR="0094619D" w:rsidRPr="00F30D3F" w:rsidRDefault="0094619D" w:rsidP="0094619D">
      <w:pPr>
        <w:jc w:val="center"/>
      </w:pPr>
    </w:p>
    <w:p w14:paraId="75F6E481" w14:textId="77777777" w:rsidR="0094619D" w:rsidRPr="00F30D3F" w:rsidRDefault="0094619D" w:rsidP="0094619D">
      <w:pPr>
        <w:jc w:val="center"/>
      </w:pPr>
    </w:p>
    <w:p w14:paraId="1BA9228D" w14:textId="77777777" w:rsidR="0094619D" w:rsidRPr="00F30D3F" w:rsidRDefault="0094619D" w:rsidP="0094619D">
      <w:pPr>
        <w:jc w:val="center"/>
      </w:pPr>
    </w:p>
    <w:p w14:paraId="429F2E19" w14:textId="77777777" w:rsidR="0094619D" w:rsidRDefault="0094619D" w:rsidP="0094619D">
      <w:pPr>
        <w:jc w:val="center"/>
      </w:pPr>
    </w:p>
    <w:p w14:paraId="6FB85BBB" w14:textId="77777777" w:rsidR="0094619D" w:rsidRDefault="0094619D" w:rsidP="0094619D">
      <w:pPr>
        <w:jc w:val="center"/>
      </w:pPr>
    </w:p>
    <w:p w14:paraId="0EA40F4B" w14:textId="77777777" w:rsidR="0094619D" w:rsidRDefault="0094619D" w:rsidP="0094619D">
      <w:pPr>
        <w:jc w:val="center"/>
      </w:pPr>
    </w:p>
    <w:p w14:paraId="46EB7B8D" w14:textId="77777777" w:rsidR="0094619D" w:rsidRDefault="0094619D" w:rsidP="0094619D">
      <w:pPr>
        <w:jc w:val="center"/>
      </w:pPr>
    </w:p>
    <w:p w14:paraId="52EF98C1" w14:textId="77777777" w:rsidR="0094619D" w:rsidRPr="00F30D3F" w:rsidRDefault="0094619D" w:rsidP="0094619D">
      <w:pPr>
        <w:jc w:val="center"/>
      </w:pPr>
    </w:p>
    <w:p w14:paraId="4CC3F75C" w14:textId="77777777" w:rsidR="0094619D" w:rsidRPr="00F30D3F" w:rsidRDefault="0094619D" w:rsidP="0094619D">
      <w:pPr>
        <w:jc w:val="center"/>
      </w:pPr>
    </w:p>
    <w:p w14:paraId="14F556B2" w14:textId="77777777" w:rsidR="0094619D" w:rsidRPr="00F30D3F" w:rsidRDefault="0094619D" w:rsidP="0094619D">
      <w:pPr>
        <w:jc w:val="center"/>
      </w:pPr>
    </w:p>
    <w:p w14:paraId="230BAF13" w14:textId="77777777" w:rsidR="0094619D" w:rsidRPr="00F30D3F" w:rsidRDefault="0094619D" w:rsidP="0094619D">
      <w:pPr>
        <w:jc w:val="center"/>
      </w:pPr>
    </w:p>
    <w:p w14:paraId="12483F87" w14:textId="77777777" w:rsidR="0094619D" w:rsidRPr="00F30D3F" w:rsidRDefault="0094619D" w:rsidP="0094619D">
      <w:pPr>
        <w:jc w:val="center"/>
      </w:pPr>
    </w:p>
    <w:p w14:paraId="78B9C66D" w14:textId="77777777" w:rsidR="0094619D" w:rsidRPr="00F30D3F" w:rsidRDefault="0094619D" w:rsidP="0094619D">
      <w:pPr>
        <w:jc w:val="center"/>
      </w:pPr>
    </w:p>
    <w:p w14:paraId="09FE4022" w14:textId="77777777" w:rsidR="0094619D" w:rsidRPr="00F30D3F" w:rsidRDefault="0094619D" w:rsidP="0094619D">
      <w:pPr>
        <w:ind w:right="113"/>
        <w:jc w:val="center"/>
      </w:pPr>
      <w:r w:rsidRPr="00F30D3F">
        <w:rPr>
          <w:b/>
        </w:rPr>
        <w:t>B. PŘÍBALOVÁ INFORMACE</w:t>
      </w:r>
    </w:p>
    <w:p w14:paraId="79EF07A1" w14:textId="77777777" w:rsidR="00D471A4" w:rsidRDefault="0094619D" w:rsidP="00D475B0">
      <w:pPr>
        <w:ind w:right="113"/>
        <w:jc w:val="center"/>
        <w:rPr>
          <w:sz w:val="22"/>
          <w:szCs w:val="22"/>
        </w:rPr>
      </w:pPr>
      <w:r w:rsidRPr="00F30D3F">
        <w:br w:type="page"/>
      </w:r>
      <w:r w:rsidR="00D471A4" w:rsidRPr="00F64199">
        <w:rPr>
          <w:b/>
          <w:sz w:val="22"/>
          <w:szCs w:val="22"/>
        </w:rPr>
        <w:lastRenderedPageBreak/>
        <w:t>PŘÍBALOVÁ INFORMACE</w:t>
      </w:r>
      <w:r w:rsidR="00D471A4" w:rsidRPr="00F64199">
        <w:rPr>
          <w:sz w:val="22"/>
          <w:szCs w:val="22"/>
        </w:rPr>
        <w:t xml:space="preserve"> </w:t>
      </w:r>
    </w:p>
    <w:p w14:paraId="3E2D914D" w14:textId="77777777" w:rsidR="008E5ED8" w:rsidRPr="00F64199" w:rsidRDefault="008E5ED8" w:rsidP="00D475B0">
      <w:pPr>
        <w:ind w:right="113"/>
        <w:jc w:val="center"/>
        <w:rPr>
          <w:sz w:val="22"/>
          <w:szCs w:val="22"/>
        </w:rPr>
      </w:pPr>
    </w:p>
    <w:p w14:paraId="62049CEE" w14:textId="77777777" w:rsidR="00D471A4" w:rsidRDefault="00D471A4" w:rsidP="00D471A4">
      <w:pPr>
        <w:jc w:val="center"/>
        <w:rPr>
          <w:sz w:val="22"/>
          <w:szCs w:val="22"/>
        </w:rPr>
      </w:pPr>
      <w:r w:rsidRPr="00F64199">
        <w:rPr>
          <w:sz w:val="22"/>
          <w:szCs w:val="22"/>
        </w:rPr>
        <w:t xml:space="preserve">PENBITAL </w:t>
      </w:r>
      <w:r w:rsidR="00993907">
        <w:rPr>
          <w:sz w:val="22"/>
          <w:szCs w:val="22"/>
        </w:rPr>
        <w:t xml:space="preserve">Eutha </w:t>
      </w:r>
      <w:r w:rsidRPr="00F64199">
        <w:rPr>
          <w:sz w:val="22"/>
          <w:szCs w:val="22"/>
        </w:rPr>
        <w:t>400 mg/ml injekční roztok</w:t>
      </w:r>
    </w:p>
    <w:p w14:paraId="66053099" w14:textId="77777777" w:rsidR="00D471A4" w:rsidRPr="00F64199" w:rsidRDefault="00D471A4" w:rsidP="00D471A4">
      <w:pPr>
        <w:jc w:val="center"/>
        <w:rPr>
          <w:sz w:val="22"/>
          <w:szCs w:val="22"/>
        </w:rPr>
      </w:pPr>
    </w:p>
    <w:p w14:paraId="70264B20" w14:textId="77777777" w:rsidR="00D471A4" w:rsidRPr="00F64199" w:rsidRDefault="00D471A4" w:rsidP="00D471A4">
      <w:pPr>
        <w:rPr>
          <w:b/>
          <w:sz w:val="22"/>
          <w:szCs w:val="22"/>
        </w:rPr>
      </w:pPr>
      <w:r w:rsidRPr="00F64199">
        <w:rPr>
          <w:b/>
          <w:sz w:val="22"/>
          <w:szCs w:val="22"/>
        </w:rPr>
        <w:t>1.</w:t>
      </w:r>
      <w:r w:rsidRPr="00F64199">
        <w:rPr>
          <w:b/>
          <w:sz w:val="22"/>
          <w:szCs w:val="22"/>
        </w:rPr>
        <w:tab/>
        <w:t>JMÉNO A ADRESA DRŽITELE ROZHODNUTÍ O REGISTRACI A DRŽITELE POVOLENÍ K VÝROBĚ ODPOVĚDNÉHO ZA UVOLNĚNÍ ŠARŽE, POKUD SE NESHODUJE</w:t>
      </w:r>
    </w:p>
    <w:p w14:paraId="081CF9E6" w14:textId="77777777" w:rsidR="00D471A4" w:rsidRDefault="00D471A4" w:rsidP="00D471A4">
      <w:pPr>
        <w:rPr>
          <w:iCs/>
          <w:u w:val="single"/>
        </w:rPr>
      </w:pPr>
    </w:p>
    <w:p w14:paraId="5AAB95FD" w14:textId="77777777" w:rsidR="00D471A4" w:rsidRDefault="00D471A4" w:rsidP="00D471A4">
      <w:pPr>
        <w:rPr>
          <w:sz w:val="22"/>
          <w:szCs w:val="22"/>
        </w:rPr>
      </w:pPr>
      <w:r w:rsidRPr="00F30D3F">
        <w:rPr>
          <w:iCs/>
          <w:u w:val="single"/>
        </w:rPr>
        <w:t>Držitel rozhodnutí o registraci a výrobce odpovědný za uvolnění šarže</w:t>
      </w:r>
      <w:r w:rsidRPr="00F30D3F">
        <w:rPr>
          <w:iCs/>
        </w:rPr>
        <w:t>:</w:t>
      </w:r>
    </w:p>
    <w:p w14:paraId="03A5F5E9" w14:textId="77777777" w:rsidR="00D471A4" w:rsidRDefault="00D471A4" w:rsidP="00D471A4">
      <w:pPr>
        <w:rPr>
          <w:sz w:val="22"/>
          <w:szCs w:val="22"/>
        </w:rPr>
      </w:pPr>
      <w:r w:rsidRPr="00F64199">
        <w:rPr>
          <w:sz w:val="22"/>
          <w:szCs w:val="22"/>
        </w:rPr>
        <w:t>Bioveta, a. s.</w:t>
      </w:r>
      <w:r w:rsidRPr="00F64199">
        <w:rPr>
          <w:sz w:val="22"/>
          <w:szCs w:val="22"/>
        </w:rPr>
        <w:br/>
        <w:t>Komenského 212/12</w:t>
      </w:r>
      <w:r w:rsidRPr="00F64199">
        <w:rPr>
          <w:sz w:val="22"/>
          <w:szCs w:val="22"/>
        </w:rPr>
        <w:br/>
        <w:t>683 23 Ivanovice na Hané</w:t>
      </w:r>
      <w:r w:rsidRPr="00F64199">
        <w:rPr>
          <w:sz w:val="22"/>
          <w:szCs w:val="22"/>
        </w:rPr>
        <w:br/>
        <w:t>Česká republika</w:t>
      </w:r>
    </w:p>
    <w:p w14:paraId="10D7ADCF" w14:textId="77777777" w:rsidR="00D471A4" w:rsidRPr="00F64199" w:rsidRDefault="00D471A4" w:rsidP="00D471A4">
      <w:pPr>
        <w:rPr>
          <w:sz w:val="22"/>
          <w:szCs w:val="22"/>
        </w:rPr>
      </w:pPr>
    </w:p>
    <w:p w14:paraId="3D33A096" w14:textId="77777777" w:rsidR="00D471A4" w:rsidRDefault="00D471A4" w:rsidP="00D471A4">
      <w:pPr>
        <w:rPr>
          <w:b/>
          <w:sz w:val="22"/>
          <w:szCs w:val="22"/>
        </w:rPr>
      </w:pPr>
      <w:r w:rsidRPr="00F64199">
        <w:rPr>
          <w:b/>
          <w:sz w:val="22"/>
          <w:szCs w:val="22"/>
        </w:rPr>
        <w:t>2.</w:t>
      </w:r>
      <w:r w:rsidRPr="00F64199">
        <w:rPr>
          <w:b/>
          <w:sz w:val="22"/>
          <w:szCs w:val="22"/>
        </w:rPr>
        <w:tab/>
        <w:t>NÁZEV VETERINÁRNÍHO LÉČIVÉHO PŘÍPRAVKU</w:t>
      </w:r>
    </w:p>
    <w:p w14:paraId="1FF102C6" w14:textId="77777777" w:rsidR="007D3FAC" w:rsidRPr="00F64199" w:rsidRDefault="007D3FAC" w:rsidP="00D471A4">
      <w:pPr>
        <w:rPr>
          <w:b/>
          <w:sz w:val="22"/>
          <w:szCs w:val="22"/>
        </w:rPr>
      </w:pPr>
    </w:p>
    <w:p w14:paraId="00A471CA" w14:textId="77777777" w:rsidR="00D471A4" w:rsidRDefault="00D471A4" w:rsidP="00D471A4">
      <w:pPr>
        <w:rPr>
          <w:sz w:val="22"/>
          <w:szCs w:val="22"/>
        </w:rPr>
      </w:pPr>
      <w:r w:rsidRPr="00F64199">
        <w:rPr>
          <w:sz w:val="22"/>
          <w:szCs w:val="22"/>
        </w:rPr>
        <w:t xml:space="preserve">PENBITAL </w:t>
      </w:r>
      <w:r w:rsidR="00993907">
        <w:rPr>
          <w:sz w:val="22"/>
          <w:szCs w:val="22"/>
        </w:rPr>
        <w:t xml:space="preserve">Eutha </w:t>
      </w:r>
      <w:r w:rsidRPr="00F64199">
        <w:rPr>
          <w:sz w:val="22"/>
          <w:szCs w:val="22"/>
        </w:rPr>
        <w:t xml:space="preserve">400 mg/ml injekční roztok </w:t>
      </w:r>
      <w:r w:rsidRPr="00F64199">
        <w:rPr>
          <w:sz w:val="22"/>
          <w:szCs w:val="22"/>
        </w:rPr>
        <w:br/>
        <w:t>Pentobarbitalum natricum</w:t>
      </w:r>
    </w:p>
    <w:p w14:paraId="3FADF6F3" w14:textId="77777777" w:rsidR="00D471A4" w:rsidRPr="00F64199" w:rsidRDefault="00D471A4" w:rsidP="00D471A4">
      <w:pPr>
        <w:rPr>
          <w:sz w:val="22"/>
          <w:szCs w:val="22"/>
        </w:rPr>
      </w:pPr>
    </w:p>
    <w:p w14:paraId="0FE79456" w14:textId="77777777" w:rsidR="00D471A4" w:rsidRDefault="00D471A4" w:rsidP="00D471A4">
      <w:pPr>
        <w:rPr>
          <w:b/>
          <w:sz w:val="22"/>
          <w:szCs w:val="22"/>
        </w:rPr>
      </w:pPr>
      <w:r w:rsidRPr="00F64199">
        <w:rPr>
          <w:b/>
          <w:sz w:val="22"/>
          <w:szCs w:val="22"/>
        </w:rPr>
        <w:t>3.</w:t>
      </w:r>
      <w:r w:rsidRPr="00F64199">
        <w:rPr>
          <w:b/>
          <w:sz w:val="22"/>
          <w:szCs w:val="22"/>
        </w:rPr>
        <w:tab/>
        <w:t>OBSAH LÉČIVÝCH A OSTATNÍCH LÁTEK</w:t>
      </w:r>
    </w:p>
    <w:p w14:paraId="7C0431D4" w14:textId="77777777" w:rsidR="007D3FAC" w:rsidRPr="00F64199" w:rsidRDefault="007D3FAC" w:rsidP="00D471A4">
      <w:pPr>
        <w:rPr>
          <w:b/>
          <w:sz w:val="22"/>
          <w:szCs w:val="22"/>
        </w:rPr>
      </w:pPr>
    </w:p>
    <w:p w14:paraId="42324DD5" w14:textId="77777777" w:rsidR="00D471A4" w:rsidRPr="00F64199" w:rsidRDefault="00D471A4" w:rsidP="00D471A4">
      <w:pPr>
        <w:rPr>
          <w:sz w:val="22"/>
          <w:szCs w:val="22"/>
        </w:rPr>
      </w:pPr>
      <w:r w:rsidRPr="00F64199">
        <w:rPr>
          <w:sz w:val="22"/>
          <w:szCs w:val="22"/>
        </w:rPr>
        <w:t>1 ml obsahuje:</w:t>
      </w:r>
    </w:p>
    <w:p w14:paraId="1EE0ACC3" w14:textId="77777777" w:rsidR="00D471A4" w:rsidRPr="00F64199" w:rsidRDefault="00D471A4" w:rsidP="00D471A4">
      <w:pPr>
        <w:tabs>
          <w:tab w:val="left" w:pos="2552"/>
        </w:tabs>
        <w:rPr>
          <w:sz w:val="22"/>
          <w:szCs w:val="22"/>
        </w:rPr>
      </w:pPr>
      <w:r w:rsidRPr="00F64199">
        <w:rPr>
          <w:b/>
          <w:sz w:val="22"/>
          <w:szCs w:val="22"/>
        </w:rPr>
        <w:t>Léčivá látka:</w:t>
      </w:r>
      <w:r w:rsidRPr="00F64199">
        <w:rPr>
          <w:b/>
          <w:sz w:val="22"/>
          <w:szCs w:val="22"/>
        </w:rPr>
        <w:br/>
      </w:r>
      <w:r w:rsidRPr="00F64199">
        <w:rPr>
          <w:sz w:val="22"/>
          <w:szCs w:val="22"/>
        </w:rPr>
        <w:t>Pentobarbitalum natricum</w:t>
      </w:r>
      <w:r>
        <w:rPr>
          <w:sz w:val="22"/>
          <w:szCs w:val="22"/>
        </w:rPr>
        <w:tab/>
      </w:r>
      <w:r w:rsidRPr="00F64199">
        <w:rPr>
          <w:sz w:val="22"/>
          <w:szCs w:val="22"/>
        </w:rPr>
        <w:t>400,0 mg</w:t>
      </w:r>
      <w:r w:rsidRPr="00F64199">
        <w:rPr>
          <w:sz w:val="22"/>
          <w:szCs w:val="22"/>
        </w:rPr>
        <w:br/>
        <w:t xml:space="preserve">(odpovídá 362,94 mg pentobarbitalum) </w:t>
      </w:r>
    </w:p>
    <w:p w14:paraId="2C507A26" w14:textId="77777777" w:rsidR="00D471A4" w:rsidRPr="00F64199" w:rsidRDefault="00D471A4" w:rsidP="00D471A4">
      <w:pPr>
        <w:tabs>
          <w:tab w:val="left" w:pos="1560"/>
        </w:tabs>
        <w:rPr>
          <w:sz w:val="22"/>
          <w:szCs w:val="22"/>
        </w:rPr>
      </w:pPr>
      <w:r w:rsidRPr="00F64199">
        <w:rPr>
          <w:b/>
          <w:sz w:val="22"/>
          <w:szCs w:val="22"/>
        </w:rPr>
        <w:t>Pomocné látky:</w:t>
      </w:r>
      <w:r w:rsidRPr="00F64199">
        <w:rPr>
          <w:b/>
          <w:sz w:val="22"/>
          <w:szCs w:val="22"/>
        </w:rPr>
        <w:br/>
      </w:r>
      <w:r w:rsidRPr="00F64199">
        <w:rPr>
          <w:sz w:val="22"/>
          <w:szCs w:val="22"/>
        </w:rPr>
        <w:t>Benzylalkohol</w:t>
      </w:r>
      <w:r>
        <w:rPr>
          <w:sz w:val="22"/>
          <w:szCs w:val="22"/>
        </w:rPr>
        <w:tab/>
      </w:r>
      <w:r w:rsidRPr="00F64199">
        <w:rPr>
          <w:sz w:val="22"/>
          <w:szCs w:val="22"/>
        </w:rPr>
        <w:t>20,0 mg</w:t>
      </w:r>
      <w:r w:rsidRPr="00F64199">
        <w:rPr>
          <w:sz w:val="22"/>
          <w:szCs w:val="22"/>
        </w:rPr>
        <w:br/>
        <w:t>Modř patentní</w:t>
      </w:r>
      <w:r>
        <w:rPr>
          <w:sz w:val="22"/>
          <w:szCs w:val="22"/>
        </w:rPr>
        <w:tab/>
      </w:r>
      <w:r w:rsidRPr="00F64199">
        <w:rPr>
          <w:sz w:val="22"/>
          <w:szCs w:val="22"/>
        </w:rPr>
        <w:t>0,006 mg</w:t>
      </w:r>
    </w:p>
    <w:p w14:paraId="266ADE52" w14:textId="77777777" w:rsidR="00D471A4" w:rsidRDefault="00D471A4" w:rsidP="00D471A4">
      <w:pPr>
        <w:rPr>
          <w:sz w:val="22"/>
          <w:szCs w:val="22"/>
        </w:rPr>
      </w:pPr>
      <w:r w:rsidRPr="00F64199">
        <w:rPr>
          <w:sz w:val="22"/>
          <w:szCs w:val="22"/>
        </w:rPr>
        <w:t>Čirý modrý injekční roztok.</w:t>
      </w:r>
    </w:p>
    <w:p w14:paraId="6CDFB372" w14:textId="77777777" w:rsidR="00D471A4" w:rsidRPr="00F64199" w:rsidRDefault="00D471A4" w:rsidP="00D471A4">
      <w:pPr>
        <w:rPr>
          <w:sz w:val="22"/>
          <w:szCs w:val="22"/>
        </w:rPr>
      </w:pPr>
    </w:p>
    <w:p w14:paraId="5CF41D70" w14:textId="77777777" w:rsidR="00D471A4" w:rsidRDefault="00D471A4" w:rsidP="00D471A4">
      <w:pPr>
        <w:rPr>
          <w:b/>
          <w:sz w:val="22"/>
          <w:szCs w:val="22"/>
        </w:rPr>
      </w:pPr>
      <w:r w:rsidRPr="00F64199">
        <w:rPr>
          <w:b/>
          <w:sz w:val="22"/>
          <w:szCs w:val="22"/>
        </w:rPr>
        <w:t>4.</w:t>
      </w:r>
      <w:r w:rsidRPr="00F64199">
        <w:rPr>
          <w:b/>
          <w:sz w:val="22"/>
          <w:szCs w:val="22"/>
        </w:rPr>
        <w:tab/>
        <w:t>INDIKACE</w:t>
      </w:r>
    </w:p>
    <w:p w14:paraId="47F8924B" w14:textId="77777777" w:rsidR="007D3FAC" w:rsidRPr="00F64199" w:rsidRDefault="007D3FAC" w:rsidP="00D471A4">
      <w:pPr>
        <w:rPr>
          <w:b/>
          <w:sz w:val="22"/>
          <w:szCs w:val="22"/>
        </w:rPr>
      </w:pPr>
    </w:p>
    <w:p w14:paraId="1C1A49CD" w14:textId="77777777" w:rsidR="00D471A4" w:rsidRDefault="00D471A4" w:rsidP="00D471A4">
      <w:pPr>
        <w:rPr>
          <w:sz w:val="22"/>
          <w:szCs w:val="22"/>
        </w:rPr>
      </w:pPr>
      <w:r w:rsidRPr="00F64199">
        <w:rPr>
          <w:sz w:val="22"/>
          <w:szCs w:val="22"/>
        </w:rPr>
        <w:t>Eutanazie.</w:t>
      </w:r>
    </w:p>
    <w:p w14:paraId="378DF778" w14:textId="77777777" w:rsidR="00D471A4" w:rsidRPr="00F64199" w:rsidRDefault="00D471A4" w:rsidP="00D471A4">
      <w:pPr>
        <w:rPr>
          <w:sz w:val="22"/>
          <w:szCs w:val="22"/>
        </w:rPr>
      </w:pPr>
    </w:p>
    <w:p w14:paraId="5C5B80B2" w14:textId="77777777" w:rsidR="00D471A4" w:rsidRDefault="00D471A4" w:rsidP="00D471A4">
      <w:pPr>
        <w:rPr>
          <w:b/>
          <w:sz w:val="22"/>
          <w:szCs w:val="22"/>
        </w:rPr>
      </w:pPr>
      <w:r w:rsidRPr="00F64199">
        <w:rPr>
          <w:b/>
          <w:sz w:val="22"/>
          <w:szCs w:val="22"/>
        </w:rPr>
        <w:t>5.</w:t>
      </w:r>
      <w:r w:rsidRPr="00F64199">
        <w:rPr>
          <w:b/>
          <w:sz w:val="22"/>
          <w:szCs w:val="22"/>
        </w:rPr>
        <w:tab/>
        <w:t>KONTRAINDIKACE</w:t>
      </w:r>
    </w:p>
    <w:p w14:paraId="26111FE3" w14:textId="77777777" w:rsidR="007D3FAC" w:rsidRPr="00F64199" w:rsidRDefault="007D3FAC" w:rsidP="00D471A4">
      <w:pPr>
        <w:rPr>
          <w:b/>
          <w:sz w:val="22"/>
          <w:szCs w:val="22"/>
        </w:rPr>
      </w:pPr>
    </w:p>
    <w:p w14:paraId="3D651F28" w14:textId="77777777" w:rsidR="00D73FF0" w:rsidRDefault="00D73FF0" w:rsidP="00D73FF0">
      <w:pPr>
        <w:rPr>
          <w:sz w:val="22"/>
          <w:szCs w:val="22"/>
        </w:rPr>
      </w:pPr>
      <w:r w:rsidRPr="0063322A">
        <w:rPr>
          <w:sz w:val="22"/>
          <w:szCs w:val="22"/>
        </w:rPr>
        <w:t>Nepoužív</w:t>
      </w:r>
      <w:r>
        <w:rPr>
          <w:sz w:val="22"/>
          <w:szCs w:val="22"/>
        </w:rPr>
        <w:t>at</w:t>
      </w:r>
      <w:r w:rsidRPr="0063322A">
        <w:rPr>
          <w:sz w:val="22"/>
          <w:szCs w:val="22"/>
        </w:rPr>
        <w:t xml:space="preserve"> k anestezii. </w:t>
      </w:r>
    </w:p>
    <w:p w14:paraId="6B6909FC" w14:textId="44F42E7A" w:rsidR="00D73FF0" w:rsidRPr="00D73FF0" w:rsidRDefault="00D73FF0" w:rsidP="00D73FF0">
      <w:pPr>
        <w:widowControl w:val="0"/>
        <w:autoSpaceDE w:val="0"/>
        <w:autoSpaceDN w:val="0"/>
        <w:adjustRightInd w:val="0"/>
        <w:jc w:val="both"/>
        <w:rPr>
          <w:sz w:val="22"/>
          <w:szCs w:val="22"/>
        </w:rPr>
      </w:pPr>
      <w:r w:rsidRPr="00D73FF0">
        <w:rPr>
          <w:sz w:val="22"/>
          <w:szCs w:val="22"/>
        </w:rPr>
        <w:t xml:space="preserve">Nepodávat do coelomu </w:t>
      </w:r>
      <w:r w:rsidR="003A7D41">
        <w:rPr>
          <w:sz w:val="22"/>
          <w:szCs w:val="22"/>
        </w:rPr>
        <w:t>želv</w:t>
      </w:r>
      <w:r w:rsidRPr="00D73FF0">
        <w:rPr>
          <w:sz w:val="22"/>
          <w:szCs w:val="22"/>
        </w:rPr>
        <w:t>, jelikož může dojít k oddálení smrti ve srovnání s intravenózním podáním.</w:t>
      </w:r>
    </w:p>
    <w:p w14:paraId="1BA136FB" w14:textId="77777777" w:rsidR="00D471A4" w:rsidRPr="00F64199" w:rsidRDefault="00D471A4" w:rsidP="00D471A4">
      <w:pPr>
        <w:rPr>
          <w:sz w:val="22"/>
          <w:szCs w:val="22"/>
        </w:rPr>
      </w:pPr>
    </w:p>
    <w:p w14:paraId="12C70D29" w14:textId="77777777" w:rsidR="00D471A4" w:rsidRDefault="00D471A4" w:rsidP="00D471A4">
      <w:pPr>
        <w:rPr>
          <w:b/>
          <w:sz w:val="22"/>
          <w:szCs w:val="22"/>
        </w:rPr>
      </w:pPr>
      <w:r w:rsidRPr="00F64199">
        <w:rPr>
          <w:b/>
          <w:sz w:val="22"/>
          <w:szCs w:val="22"/>
        </w:rPr>
        <w:t>6.</w:t>
      </w:r>
      <w:r w:rsidRPr="00F64199">
        <w:rPr>
          <w:b/>
          <w:sz w:val="22"/>
          <w:szCs w:val="22"/>
        </w:rPr>
        <w:tab/>
        <w:t>NEŽÁDOUCÍ ÚČINKY</w:t>
      </w:r>
    </w:p>
    <w:p w14:paraId="7A011CBB" w14:textId="77777777" w:rsidR="007D3FAC" w:rsidRPr="00F64199" w:rsidRDefault="007D3FAC" w:rsidP="00D471A4">
      <w:pPr>
        <w:rPr>
          <w:b/>
          <w:sz w:val="22"/>
          <w:szCs w:val="22"/>
        </w:rPr>
      </w:pPr>
    </w:p>
    <w:p w14:paraId="7950866D" w14:textId="3A223FBB" w:rsidR="00D471A4" w:rsidRPr="00F64199" w:rsidRDefault="003A7D41" w:rsidP="00D471A4">
      <w:pPr>
        <w:jc w:val="both"/>
        <w:rPr>
          <w:sz w:val="22"/>
          <w:szCs w:val="22"/>
        </w:rPr>
      </w:pPr>
      <w:r w:rsidRPr="007A4509">
        <w:rPr>
          <w:sz w:val="22"/>
          <w:szCs w:val="22"/>
        </w:rPr>
        <w:t>V</w:t>
      </w:r>
      <w:r>
        <w:rPr>
          <w:sz w:val="22"/>
          <w:szCs w:val="22"/>
        </w:rPr>
        <w:t>e velmi vzácných</w:t>
      </w:r>
      <w:r w:rsidRPr="007A4509">
        <w:rPr>
          <w:sz w:val="22"/>
          <w:szCs w:val="22"/>
        </w:rPr>
        <w:t xml:space="preserve"> </w:t>
      </w:r>
      <w:r w:rsidR="00D471A4" w:rsidRPr="00F64199">
        <w:rPr>
          <w:sz w:val="22"/>
          <w:szCs w:val="22"/>
        </w:rPr>
        <w:t>případech může objevit krátké lapavé dýchání, které souvisí se srdečním selháním. V tomto stavu je zvíře již klinicky mrtvé.</w:t>
      </w:r>
    </w:p>
    <w:p w14:paraId="21420E11" w14:textId="4EF3B356" w:rsidR="00D471A4" w:rsidRDefault="00D471A4" w:rsidP="00D471A4">
      <w:pPr>
        <w:jc w:val="both"/>
        <w:rPr>
          <w:sz w:val="22"/>
          <w:szCs w:val="22"/>
        </w:rPr>
      </w:pPr>
      <w:r w:rsidRPr="00F64199">
        <w:rPr>
          <w:sz w:val="22"/>
          <w:szCs w:val="22"/>
        </w:rPr>
        <w:t xml:space="preserve">Po </w:t>
      </w:r>
      <w:r w:rsidR="003A7D41">
        <w:rPr>
          <w:sz w:val="22"/>
          <w:szCs w:val="22"/>
        </w:rPr>
        <w:t>podání</w:t>
      </w:r>
      <w:r w:rsidR="003A7D41" w:rsidRPr="00F64199">
        <w:rPr>
          <w:sz w:val="22"/>
          <w:szCs w:val="22"/>
        </w:rPr>
        <w:t xml:space="preserve"> </w:t>
      </w:r>
      <w:r w:rsidRPr="00F64199">
        <w:rPr>
          <w:sz w:val="22"/>
          <w:szCs w:val="22"/>
        </w:rPr>
        <w:t>se mohou objevit drobné svalové záškuby.</w:t>
      </w:r>
    </w:p>
    <w:p w14:paraId="58BA7EC2" w14:textId="77777777" w:rsidR="003A7D41" w:rsidRDefault="003A7D41" w:rsidP="00D471A4">
      <w:pPr>
        <w:jc w:val="both"/>
        <w:rPr>
          <w:sz w:val="22"/>
          <w:szCs w:val="22"/>
        </w:rPr>
      </w:pPr>
    </w:p>
    <w:p w14:paraId="7E226F6C" w14:textId="77777777" w:rsidR="00D73FF0" w:rsidRPr="00D73FF0" w:rsidRDefault="00D73FF0" w:rsidP="00D73FF0">
      <w:pPr>
        <w:rPr>
          <w:sz w:val="22"/>
          <w:szCs w:val="22"/>
        </w:rPr>
      </w:pPr>
      <w:r w:rsidRPr="00D73FF0">
        <w:rPr>
          <w:sz w:val="22"/>
          <w:szCs w:val="22"/>
        </w:rPr>
        <w:t>Četnost nežádoucích účinků je charakterizována podle následujících pravidel:</w:t>
      </w:r>
    </w:p>
    <w:p w14:paraId="0A198CDB" w14:textId="77777777" w:rsidR="00D73FF0" w:rsidRPr="00D73FF0" w:rsidRDefault="00D73FF0" w:rsidP="00D73FF0">
      <w:pPr>
        <w:rPr>
          <w:sz w:val="22"/>
          <w:szCs w:val="22"/>
        </w:rPr>
      </w:pPr>
      <w:r w:rsidRPr="00D73FF0">
        <w:rPr>
          <w:sz w:val="22"/>
          <w:szCs w:val="22"/>
        </w:rPr>
        <w:t>- velmi časté (nežádoucí účinek (nky) se projevil(y) u více než 1 z 10 ošetřených zvířat)</w:t>
      </w:r>
    </w:p>
    <w:p w14:paraId="113D6289" w14:textId="77777777" w:rsidR="00D73FF0" w:rsidRPr="00D73FF0" w:rsidRDefault="00D73FF0" w:rsidP="00D73FF0">
      <w:pPr>
        <w:rPr>
          <w:sz w:val="22"/>
          <w:szCs w:val="22"/>
        </w:rPr>
      </w:pPr>
      <w:r w:rsidRPr="00D73FF0">
        <w:rPr>
          <w:sz w:val="22"/>
          <w:szCs w:val="22"/>
        </w:rPr>
        <w:t>- časté (u více než 1, ale méně než 10 ze 100 ošetřených zvířat)</w:t>
      </w:r>
    </w:p>
    <w:p w14:paraId="7AF9E55A" w14:textId="77777777" w:rsidR="00D73FF0" w:rsidRPr="00D73FF0" w:rsidRDefault="00D73FF0" w:rsidP="00D73FF0">
      <w:pPr>
        <w:rPr>
          <w:sz w:val="22"/>
          <w:szCs w:val="22"/>
        </w:rPr>
      </w:pPr>
      <w:r w:rsidRPr="00D73FF0">
        <w:rPr>
          <w:sz w:val="22"/>
          <w:szCs w:val="22"/>
        </w:rPr>
        <w:t>- neobvyklé (u více než 1, ale méně než 10 z 1000 ošetřených zvířat)</w:t>
      </w:r>
    </w:p>
    <w:p w14:paraId="5FE0A7C0" w14:textId="77777777" w:rsidR="00D73FF0" w:rsidRPr="00D73FF0" w:rsidRDefault="00D73FF0" w:rsidP="00D73FF0">
      <w:pPr>
        <w:rPr>
          <w:sz w:val="22"/>
          <w:szCs w:val="22"/>
        </w:rPr>
      </w:pPr>
      <w:r w:rsidRPr="00D73FF0">
        <w:rPr>
          <w:sz w:val="22"/>
          <w:szCs w:val="22"/>
        </w:rPr>
        <w:t>- vzácné (u více než 1, ale méně než 10 z 10000 ošetřených zvířat)</w:t>
      </w:r>
    </w:p>
    <w:p w14:paraId="7365BF74" w14:textId="77777777" w:rsidR="003A7D41" w:rsidRPr="00F73209" w:rsidRDefault="003A7D41" w:rsidP="003A7D41">
      <w:pPr>
        <w:jc w:val="both"/>
        <w:rPr>
          <w:sz w:val="22"/>
          <w:szCs w:val="22"/>
        </w:rPr>
      </w:pPr>
      <w:r w:rsidRPr="00D64ABE">
        <w:rPr>
          <w:sz w:val="22"/>
          <w:szCs w:val="22"/>
        </w:rPr>
        <w:t>- velmi vzácné (u méně než 1 z 10000 ošetřených zvířat, včetně ojedinělých hlášení)</w:t>
      </w:r>
    </w:p>
    <w:p w14:paraId="48906CE8" w14:textId="77777777" w:rsidR="00D73FF0" w:rsidRDefault="00D73FF0" w:rsidP="00D471A4">
      <w:pPr>
        <w:jc w:val="both"/>
        <w:rPr>
          <w:sz w:val="22"/>
          <w:szCs w:val="22"/>
        </w:rPr>
      </w:pPr>
    </w:p>
    <w:p w14:paraId="67AED94B" w14:textId="77777777" w:rsidR="00D73FF0" w:rsidRPr="00D73FF0" w:rsidRDefault="00D73FF0" w:rsidP="0016216B">
      <w:pPr>
        <w:jc w:val="both"/>
        <w:rPr>
          <w:sz w:val="22"/>
          <w:szCs w:val="22"/>
        </w:rPr>
      </w:pPr>
      <w:r w:rsidRPr="00D73FF0">
        <w:rPr>
          <w:sz w:val="22"/>
          <w:szCs w:val="22"/>
        </w:rPr>
        <w:t xml:space="preserve">Jestliže zaznamenáte kterýkoliv z nežádoucích účinků a to i takové, které nejsou uvedeny v této příbalové informaci, nebo si myslíte, že léčivý přípravek není účinný, oznamte to, prosím, vašemu veterinárnímu lékaři. Nežádoucí účinky můžete hlásit prostřednictvím formuláře na webových </w:t>
      </w:r>
      <w:r w:rsidRPr="00D73FF0">
        <w:rPr>
          <w:sz w:val="22"/>
          <w:szCs w:val="22"/>
        </w:rPr>
        <w:lastRenderedPageBreak/>
        <w:t xml:space="preserve">stránkách ÚSKVBL elektronicky, nebo také přímo na adresu: Ústav pro státní kontrolu veterinárních biopreparátů a léčiv, Hudcova 56a, 621 00 Brno, Mail: </w:t>
      </w:r>
      <w:hyperlink r:id="rId8" w:history="1">
        <w:r w:rsidRPr="00D73FF0">
          <w:rPr>
            <w:rStyle w:val="Hypertextovodkaz"/>
            <w:sz w:val="22"/>
            <w:szCs w:val="22"/>
          </w:rPr>
          <w:t>adr@uskvbl.cz</w:t>
        </w:r>
      </w:hyperlink>
      <w:r w:rsidRPr="00D73FF0">
        <w:rPr>
          <w:sz w:val="22"/>
          <w:szCs w:val="22"/>
        </w:rPr>
        <w:t xml:space="preserve">, Webové stránky: </w:t>
      </w:r>
      <w:hyperlink r:id="rId9" w:history="1">
        <w:r w:rsidRPr="00D73FF0">
          <w:rPr>
            <w:rStyle w:val="Hypertextovodkaz"/>
            <w:sz w:val="22"/>
            <w:szCs w:val="22"/>
          </w:rPr>
          <w:t>http://www.uskvbl.cz/cs/farmakovigilance</w:t>
        </w:r>
      </w:hyperlink>
    </w:p>
    <w:p w14:paraId="39D30A5B" w14:textId="77777777" w:rsidR="00D73FF0" w:rsidRDefault="00D73FF0" w:rsidP="00D73FF0">
      <w:pPr>
        <w:spacing w:line="276" w:lineRule="auto"/>
        <w:jc w:val="both"/>
        <w:rPr>
          <w:sz w:val="24"/>
          <w:szCs w:val="24"/>
        </w:rPr>
      </w:pPr>
    </w:p>
    <w:p w14:paraId="124D9A07" w14:textId="77777777" w:rsidR="00D471A4" w:rsidRDefault="00D471A4" w:rsidP="00D471A4">
      <w:pPr>
        <w:rPr>
          <w:b/>
          <w:sz w:val="22"/>
          <w:szCs w:val="22"/>
        </w:rPr>
      </w:pPr>
      <w:r w:rsidRPr="00F64199">
        <w:rPr>
          <w:b/>
          <w:sz w:val="22"/>
          <w:szCs w:val="22"/>
        </w:rPr>
        <w:t>7.</w:t>
      </w:r>
      <w:r w:rsidRPr="00F64199">
        <w:rPr>
          <w:b/>
          <w:sz w:val="22"/>
          <w:szCs w:val="22"/>
        </w:rPr>
        <w:tab/>
        <w:t>CÍLOVÝ DRUH ZVÍŘAT</w:t>
      </w:r>
    </w:p>
    <w:p w14:paraId="58CF7133" w14:textId="77777777" w:rsidR="007D3FAC" w:rsidRPr="00F64199" w:rsidRDefault="007D3FAC" w:rsidP="00D471A4">
      <w:pPr>
        <w:rPr>
          <w:sz w:val="22"/>
          <w:szCs w:val="22"/>
        </w:rPr>
      </w:pPr>
    </w:p>
    <w:p w14:paraId="461AA79B" w14:textId="3D1572DC" w:rsidR="00D471A4" w:rsidRDefault="00D471A4" w:rsidP="00D471A4">
      <w:pPr>
        <w:rPr>
          <w:sz w:val="22"/>
          <w:szCs w:val="22"/>
        </w:rPr>
      </w:pPr>
      <w:r w:rsidRPr="0063322A">
        <w:rPr>
          <w:sz w:val="22"/>
          <w:szCs w:val="22"/>
        </w:rPr>
        <w:t>Psi, kočky, norci, tchoři, zajíci, králíci, morčata, křečci, potkani, myši, ku</w:t>
      </w:r>
      <w:r w:rsidR="00D73FF0">
        <w:rPr>
          <w:sz w:val="22"/>
          <w:szCs w:val="22"/>
        </w:rPr>
        <w:t>r domácí</w:t>
      </w:r>
      <w:r w:rsidRPr="0063322A">
        <w:rPr>
          <w:sz w:val="22"/>
          <w:szCs w:val="22"/>
        </w:rPr>
        <w:t>, holubi, okrasní ptáci, hadi, želvy, ještěrky, žáby, koně, poníci, skot</w:t>
      </w:r>
      <w:r w:rsidR="00D73FF0">
        <w:rPr>
          <w:sz w:val="22"/>
          <w:szCs w:val="22"/>
        </w:rPr>
        <w:t xml:space="preserve"> a</w:t>
      </w:r>
      <w:r w:rsidRPr="0063322A">
        <w:rPr>
          <w:sz w:val="22"/>
          <w:szCs w:val="22"/>
        </w:rPr>
        <w:t xml:space="preserve"> prasata.</w:t>
      </w:r>
    </w:p>
    <w:p w14:paraId="079CAD78" w14:textId="77777777" w:rsidR="00D471A4" w:rsidRPr="00F64199" w:rsidRDefault="00D471A4" w:rsidP="00D471A4"/>
    <w:p w14:paraId="20B78500" w14:textId="77777777" w:rsidR="00D471A4" w:rsidRDefault="00D471A4" w:rsidP="00D471A4">
      <w:pPr>
        <w:rPr>
          <w:b/>
          <w:sz w:val="22"/>
          <w:szCs w:val="22"/>
        </w:rPr>
      </w:pPr>
      <w:r w:rsidRPr="00520094">
        <w:rPr>
          <w:b/>
          <w:sz w:val="22"/>
          <w:szCs w:val="22"/>
        </w:rPr>
        <w:t>8.</w:t>
      </w:r>
      <w:r w:rsidRPr="00520094">
        <w:rPr>
          <w:b/>
          <w:sz w:val="22"/>
          <w:szCs w:val="22"/>
        </w:rPr>
        <w:tab/>
        <w:t>DÁVKOVÁNÍ PRO KAŽDÝ DRUH, CESTA(Y) A ZPŮSOB PODÁNÍ</w:t>
      </w:r>
    </w:p>
    <w:p w14:paraId="293696AF" w14:textId="77777777" w:rsidR="007D3FAC" w:rsidRPr="00520094" w:rsidRDefault="007D3FAC" w:rsidP="00D471A4">
      <w:pPr>
        <w:rPr>
          <w:b/>
          <w:sz w:val="22"/>
          <w:szCs w:val="22"/>
        </w:rPr>
      </w:pPr>
    </w:p>
    <w:p w14:paraId="3B761184" w14:textId="77777777" w:rsidR="00D73FF0" w:rsidRDefault="00D73FF0" w:rsidP="00D73FF0">
      <w:pPr>
        <w:jc w:val="both"/>
        <w:outlineLvl w:val="3"/>
        <w:rPr>
          <w:sz w:val="22"/>
          <w:szCs w:val="22"/>
        </w:rPr>
      </w:pPr>
      <w:r>
        <w:rPr>
          <w:sz w:val="22"/>
          <w:szCs w:val="22"/>
        </w:rPr>
        <w:t xml:space="preserve">Intravenózní podání, je-li to možné. </w:t>
      </w:r>
    </w:p>
    <w:p w14:paraId="3B8AB77D" w14:textId="77777777" w:rsidR="00D73FF0" w:rsidRDefault="00D73FF0" w:rsidP="00D73FF0">
      <w:pPr>
        <w:widowControl w:val="0"/>
        <w:suppressAutoHyphens/>
        <w:autoSpaceDE w:val="0"/>
        <w:jc w:val="both"/>
        <w:rPr>
          <w:sz w:val="22"/>
          <w:szCs w:val="22"/>
        </w:rPr>
      </w:pPr>
      <w:r>
        <w:rPr>
          <w:sz w:val="22"/>
          <w:szCs w:val="22"/>
        </w:rPr>
        <w:t>Ne-li tento způsob podání vhodný, další způsoby podání jsou i</w:t>
      </w:r>
      <w:r w:rsidRPr="0063322A">
        <w:rPr>
          <w:sz w:val="22"/>
          <w:szCs w:val="22"/>
        </w:rPr>
        <w:t>n</w:t>
      </w:r>
      <w:r>
        <w:rPr>
          <w:sz w:val="22"/>
          <w:szCs w:val="22"/>
        </w:rPr>
        <w:t>trakardiální, intrapulmonární, intraperitoneální a intraabdominální.</w:t>
      </w:r>
    </w:p>
    <w:p w14:paraId="59672543" w14:textId="77777777" w:rsidR="00D73FF0" w:rsidRDefault="00D73FF0" w:rsidP="00D73FF0">
      <w:pPr>
        <w:widowControl w:val="0"/>
        <w:suppressAutoHyphens/>
        <w:autoSpaceDE w:val="0"/>
        <w:jc w:val="both"/>
        <w:rPr>
          <w:sz w:val="22"/>
          <w:szCs w:val="22"/>
        </w:rPr>
      </w:pPr>
      <w:r w:rsidRPr="00D73FF0">
        <w:rPr>
          <w:sz w:val="22"/>
          <w:szCs w:val="22"/>
        </w:rPr>
        <w:t xml:space="preserve">Podaná dávka závisí na druhu zvířete a způsobu podání. </w:t>
      </w:r>
      <w:r>
        <w:rPr>
          <w:sz w:val="22"/>
          <w:szCs w:val="22"/>
        </w:rPr>
        <w:t>Proto j</w:t>
      </w:r>
      <w:r w:rsidRPr="00D73FF0">
        <w:rPr>
          <w:sz w:val="22"/>
          <w:szCs w:val="22"/>
        </w:rPr>
        <w:t xml:space="preserve">e třeba přesně dodržovat různé způsoby podávání a dávkování podle </w:t>
      </w:r>
      <w:r>
        <w:rPr>
          <w:sz w:val="22"/>
          <w:szCs w:val="22"/>
        </w:rPr>
        <w:t>cílových</w:t>
      </w:r>
      <w:r w:rsidRPr="0063322A">
        <w:rPr>
          <w:sz w:val="22"/>
          <w:szCs w:val="22"/>
        </w:rPr>
        <w:t xml:space="preserve"> druhů zvířat (viz tabulka níže).</w:t>
      </w:r>
    </w:p>
    <w:p w14:paraId="650D6E81" w14:textId="77777777" w:rsidR="00D73FF0" w:rsidRDefault="00D73FF0" w:rsidP="00D73FF0">
      <w:pPr>
        <w:jc w:val="both"/>
        <w:rPr>
          <w:sz w:val="22"/>
          <w:szCs w:val="22"/>
        </w:rPr>
      </w:pPr>
      <w:r w:rsidRPr="00D73FF0">
        <w:rPr>
          <w:sz w:val="22"/>
          <w:szCs w:val="22"/>
        </w:rPr>
        <w:t xml:space="preserve">Způsob podání a volba případné </w:t>
      </w:r>
      <w:r w:rsidRPr="006235BD">
        <w:rPr>
          <w:sz w:val="22"/>
          <w:szCs w:val="22"/>
        </w:rPr>
        <w:t>předešlé</w:t>
      </w:r>
      <w:r w:rsidRPr="00D73FF0">
        <w:rPr>
          <w:sz w:val="22"/>
          <w:szCs w:val="22"/>
        </w:rPr>
        <w:t xml:space="preserve"> vhodné sedace anebo anestezie je na posouzení veterinárním lékařem.</w:t>
      </w:r>
      <w:r>
        <w:rPr>
          <w:sz w:val="22"/>
          <w:szCs w:val="22"/>
        </w:rPr>
        <w:t xml:space="preserve"> </w:t>
      </w:r>
      <w:r w:rsidRPr="00F64199">
        <w:rPr>
          <w:sz w:val="22"/>
          <w:szCs w:val="22"/>
        </w:rPr>
        <w:t>Intrakardiální podání je přípustné pouze po hluboké sedaci nebo anestezii.</w:t>
      </w:r>
    </w:p>
    <w:p w14:paraId="1179330A" w14:textId="77777777" w:rsidR="00D73FF0" w:rsidRPr="0063322A" w:rsidRDefault="00D73FF0" w:rsidP="00D73FF0">
      <w:pPr>
        <w:widowControl w:val="0"/>
        <w:suppressAutoHyphens/>
        <w:autoSpaceDE w:val="0"/>
        <w:jc w:val="both"/>
        <w:rPr>
          <w:sz w:val="22"/>
          <w:szCs w:val="22"/>
        </w:rPr>
      </w:pPr>
    </w:p>
    <w:p w14:paraId="3EF4D623" w14:textId="77777777" w:rsidR="00CF18FE" w:rsidRDefault="00CF18FE" w:rsidP="00CF18FE">
      <w:pPr>
        <w:suppressAutoHyphens/>
        <w:ind w:right="282"/>
        <w:jc w:val="both"/>
        <w:rPr>
          <w:sz w:val="22"/>
          <w:szCs w:val="22"/>
        </w:rPr>
      </w:pPr>
      <w:r w:rsidRPr="007D3FAC">
        <w:rPr>
          <w:sz w:val="22"/>
          <w:szCs w:val="22"/>
        </w:rPr>
        <w:t>Tabulka</w:t>
      </w:r>
    </w:p>
    <w:tbl>
      <w:tblPr>
        <w:tblStyle w:val="Mkatabulky"/>
        <w:tblW w:w="8505" w:type="dxa"/>
        <w:tblInd w:w="675" w:type="dxa"/>
        <w:tblLook w:val="04A0" w:firstRow="1" w:lastRow="0" w:firstColumn="1" w:lastColumn="0" w:noHBand="0" w:noVBand="1"/>
      </w:tblPr>
      <w:tblGrid>
        <w:gridCol w:w="4098"/>
        <w:gridCol w:w="4407"/>
      </w:tblGrid>
      <w:tr w:rsidR="00CF18FE" w14:paraId="715913BF" w14:textId="77777777" w:rsidTr="00D64ABE">
        <w:tc>
          <w:tcPr>
            <w:tcW w:w="4098" w:type="dxa"/>
          </w:tcPr>
          <w:p w14:paraId="51C7CAA4" w14:textId="77777777" w:rsidR="00CF18FE" w:rsidRDefault="00CF18FE" w:rsidP="00D64ABE">
            <w:pPr>
              <w:suppressAutoHyphens/>
              <w:ind w:right="282"/>
              <w:jc w:val="center"/>
              <w:rPr>
                <w:sz w:val="22"/>
                <w:szCs w:val="22"/>
              </w:rPr>
            </w:pPr>
            <w:r>
              <w:rPr>
                <w:sz w:val="22"/>
                <w:szCs w:val="22"/>
              </w:rPr>
              <w:t>Způsob podání</w:t>
            </w:r>
          </w:p>
        </w:tc>
        <w:tc>
          <w:tcPr>
            <w:tcW w:w="4407" w:type="dxa"/>
          </w:tcPr>
          <w:p w14:paraId="78B5CBD1" w14:textId="77777777" w:rsidR="00CF18FE" w:rsidRDefault="00CF18FE" w:rsidP="00D64ABE">
            <w:pPr>
              <w:suppressAutoHyphens/>
              <w:ind w:right="282"/>
              <w:jc w:val="center"/>
              <w:rPr>
                <w:sz w:val="22"/>
                <w:szCs w:val="22"/>
              </w:rPr>
            </w:pPr>
            <w:r>
              <w:rPr>
                <w:sz w:val="22"/>
                <w:szCs w:val="22"/>
              </w:rPr>
              <w:t>[ml] přípravku na [kg]živé hmotnosti</w:t>
            </w:r>
          </w:p>
        </w:tc>
      </w:tr>
    </w:tbl>
    <w:p w14:paraId="2B01A385" w14:textId="77777777" w:rsidR="00D471A4" w:rsidRDefault="00D471A4" w:rsidP="00D471A4">
      <w:pPr>
        <w:suppressAutoHyphens/>
        <w:ind w:right="282"/>
        <w:jc w:val="both"/>
        <w:rPr>
          <w:sz w:val="22"/>
          <w:szCs w:val="22"/>
        </w:rPr>
      </w:pPr>
    </w:p>
    <w:p w14:paraId="78EAF290" w14:textId="77777777" w:rsidR="00D73FF0" w:rsidRPr="0063322A" w:rsidRDefault="00D73FF0" w:rsidP="00D73FF0">
      <w:pPr>
        <w:suppressAutoHyphens/>
        <w:ind w:right="282"/>
        <w:jc w:val="both"/>
        <w:rPr>
          <w:sz w:val="22"/>
          <w:szCs w:val="22"/>
        </w:rPr>
      </w:pPr>
      <w:r w:rsidRPr="0063322A">
        <w:rPr>
          <w:sz w:val="22"/>
          <w:szCs w:val="22"/>
        </w:rPr>
        <w:t>Psi</w:t>
      </w:r>
    </w:p>
    <w:tbl>
      <w:tblPr>
        <w:tblW w:w="0" w:type="auto"/>
        <w:jc w:val="right"/>
        <w:tblLayout w:type="fixed"/>
        <w:tblCellMar>
          <w:left w:w="0" w:type="dxa"/>
          <w:right w:w="0" w:type="dxa"/>
        </w:tblCellMar>
        <w:tblLook w:val="0000" w:firstRow="0" w:lastRow="0" w:firstColumn="0" w:lastColumn="0" w:noHBand="0" w:noVBand="0"/>
      </w:tblPr>
      <w:tblGrid>
        <w:gridCol w:w="4253"/>
        <w:gridCol w:w="4267"/>
      </w:tblGrid>
      <w:tr w:rsidR="00D73FF0" w:rsidRPr="0063322A" w14:paraId="4E04950F" w14:textId="77777777" w:rsidTr="008F745B">
        <w:trPr>
          <w:tblHeader/>
          <w:jc w:val="right"/>
        </w:trPr>
        <w:tc>
          <w:tcPr>
            <w:tcW w:w="4253" w:type="dxa"/>
            <w:tcBorders>
              <w:top w:val="single" w:sz="1" w:space="0" w:color="000000"/>
              <w:left w:val="single" w:sz="1" w:space="0" w:color="000000"/>
              <w:bottom w:val="single" w:sz="1" w:space="0" w:color="000000"/>
            </w:tcBorders>
          </w:tcPr>
          <w:p w14:paraId="686888ED" w14:textId="77777777" w:rsidR="00D73FF0" w:rsidRPr="0063322A" w:rsidRDefault="00D73FF0" w:rsidP="00D73FF0">
            <w:pPr>
              <w:widowControl w:val="0"/>
              <w:suppressAutoHyphens/>
              <w:autoSpaceDE w:val="0"/>
              <w:snapToGrid w:val="0"/>
              <w:rPr>
                <w:sz w:val="22"/>
                <w:szCs w:val="22"/>
              </w:rPr>
            </w:pPr>
            <w:r w:rsidRPr="0063322A">
              <w:rPr>
                <w:sz w:val="22"/>
                <w:szCs w:val="22"/>
              </w:rPr>
              <w:t>Intravenózní podání: plynul</w:t>
            </w:r>
            <w:r>
              <w:rPr>
                <w:sz w:val="22"/>
                <w:szCs w:val="22"/>
              </w:rPr>
              <w:t>é</w:t>
            </w:r>
            <w:r w:rsidRPr="0063322A">
              <w:rPr>
                <w:sz w:val="22"/>
                <w:szCs w:val="22"/>
              </w:rPr>
              <w:t xml:space="preserve"> </w:t>
            </w:r>
            <w:r>
              <w:rPr>
                <w:sz w:val="22"/>
                <w:szCs w:val="22"/>
              </w:rPr>
              <w:t>podání</w:t>
            </w:r>
            <w:r w:rsidRPr="0063322A">
              <w:rPr>
                <w:sz w:val="22"/>
                <w:szCs w:val="22"/>
              </w:rPr>
              <w:t xml:space="preserve"> do ztráty vědomí, poté rychl</w:t>
            </w:r>
            <w:r>
              <w:rPr>
                <w:sz w:val="22"/>
                <w:szCs w:val="22"/>
              </w:rPr>
              <w:t>é</w:t>
            </w:r>
            <w:r w:rsidRPr="0063322A">
              <w:rPr>
                <w:sz w:val="22"/>
                <w:szCs w:val="22"/>
              </w:rPr>
              <w:t xml:space="preserve"> </w:t>
            </w:r>
            <w:r>
              <w:rPr>
                <w:sz w:val="22"/>
                <w:szCs w:val="22"/>
              </w:rPr>
              <w:t xml:space="preserve">podání </w:t>
            </w:r>
            <w:r w:rsidRPr="0063322A">
              <w:rPr>
                <w:sz w:val="22"/>
                <w:szCs w:val="22"/>
              </w:rPr>
              <w:t>zbývajícího množství</w:t>
            </w:r>
          </w:p>
        </w:tc>
        <w:tc>
          <w:tcPr>
            <w:tcW w:w="4267" w:type="dxa"/>
            <w:tcBorders>
              <w:top w:val="single" w:sz="1" w:space="0" w:color="000000"/>
              <w:left w:val="single" w:sz="1" w:space="0" w:color="000000"/>
              <w:bottom w:val="single" w:sz="1" w:space="0" w:color="000000"/>
              <w:right w:val="single" w:sz="1" w:space="0" w:color="000000"/>
            </w:tcBorders>
          </w:tcPr>
          <w:p w14:paraId="0D59EDCD" w14:textId="77777777" w:rsidR="00D73FF0" w:rsidRPr="0063322A" w:rsidRDefault="00D73FF0" w:rsidP="008F745B">
            <w:pPr>
              <w:widowControl w:val="0"/>
              <w:suppressAutoHyphens/>
              <w:autoSpaceDE w:val="0"/>
              <w:snapToGrid w:val="0"/>
              <w:rPr>
                <w:sz w:val="22"/>
                <w:szCs w:val="22"/>
              </w:rPr>
            </w:pPr>
            <w:r w:rsidRPr="0063322A">
              <w:rPr>
                <w:sz w:val="22"/>
                <w:szCs w:val="22"/>
              </w:rPr>
              <w:t xml:space="preserve">1 ml na 3-5 kg </w:t>
            </w:r>
            <w:r>
              <w:rPr>
                <w:sz w:val="22"/>
                <w:szCs w:val="22"/>
              </w:rPr>
              <w:t>živé</w:t>
            </w:r>
            <w:r w:rsidRPr="0063322A">
              <w:rPr>
                <w:sz w:val="22"/>
                <w:szCs w:val="22"/>
              </w:rPr>
              <w:t xml:space="preserve"> hmotnosti </w:t>
            </w:r>
          </w:p>
        </w:tc>
      </w:tr>
      <w:tr w:rsidR="00D73FF0" w:rsidRPr="0063322A" w14:paraId="218207F1" w14:textId="77777777" w:rsidTr="008F745B">
        <w:trPr>
          <w:jc w:val="right"/>
        </w:trPr>
        <w:tc>
          <w:tcPr>
            <w:tcW w:w="4253" w:type="dxa"/>
            <w:tcBorders>
              <w:left w:val="single" w:sz="1" w:space="0" w:color="000000"/>
              <w:bottom w:val="single" w:sz="1" w:space="0" w:color="000000"/>
            </w:tcBorders>
          </w:tcPr>
          <w:p w14:paraId="20D73425" w14:textId="77777777" w:rsidR="00D73FF0" w:rsidRPr="0063322A" w:rsidRDefault="00D73FF0" w:rsidP="008F745B">
            <w:pPr>
              <w:widowControl w:val="0"/>
              <w:suppressAutoHyphens/>
              <w:autoSpaceDE w:val="0"/>
              <w:snapToGrid w:val="0"/>
              <w:rPr>
                <w:sz w:val="22"/>
                <w:szCs w:val="22"/>
              </w:rPr>
            </w:pPr>
            <w:r w:rsidRPr="0063322A">
              <w:rPr>
                <w:sz w:val="22"/>
                <w:szCs w:val="22"/>
              </w:rPr>
              <w:t xml:space="preserve">Intrakardiální, intrapulmonární a intraperitoneální podání u psů v bezvědomí nebo v hluboké sedaci </w:t>
            </w:r>
          </w:p>
        </w:tc>
        <w:tc>
          <w:tcPr>
            <w:tcW w:w="4267" w:type="dxa"/>
            <w:tcBorders>
              <w:left w:val="single" w:sz="1" w:space="0" w:color="000000"/>
              <w:bottom w:val="single" w:sz="1" w:space="0" w:color="000000"/>
              <w:right w:val="single" w:sz="1" w:space="0" w:color="000000"/>
            </w:tcBorders>
          </w:tcPr>
          <w:p w14:paraId="7AF84528" w14:textId="77777777" w:rsidR="00D73FF0" w:rsidRPr="0063322A" w:rsidRDefault="00D73FF0" w:rsidP="008F745B">
            <w:pPr>
              <w:widowControl w:val="0"/>
              <w:suppressAutoHyphens/>
              <w:autoSpaceDE w:val="0"/>
              <w:snapToGrid w:val="0"/>
              <w:jc w:val="both"/>
              <w:rPr>
                <w:sz w:val="22"/>
                <w:szCs w:val="22"/>
              </w:rPr>
            </w:pPr>
            <w:r w:rsidRPr="0063322A">
              <w:rPr>
                <w:sz w:val="22"/>
                <w:szCs w:val="22"/>
              </w:rPr>
              <w:t xml:space="preserve">1 ml na 3-4 kg </w:t>
            </w:r>
            <w:r>
              <w:rPr>
                <w:sz w:val="22"/>
                <w:szCs w:val="22"/>
              </w:rPr>
              <w:t>živé</w:t>
            </w:r>
            <w:r w:rsidRPr="0063322A">
              <w:rPr>
                <w:sz w:val="22"/>
                <w:szCs w:val="22"/>
              </w:rPr>
              <w:t xml:space="preserve"> hmotnosti</w:t>
            </w:r>
          </w:p>
        </w:tc>
      </w:tr>
    </w:tbl>
    <w:p w14:paraId="14777E7F" w14:textId="77777777" w:rsidR="00D73FF0" w:rsidRDefault="00D73FF0" w:rsidP="00D73FF0">
      <w:pPr>
        <w:widowControl w:val="0"/>
        <w:tabs>
          <w:tab w:val="left" w:pos="540"/>
        </w:tabs>
        <w:suppressAutoHyphens/>
        <w:autoSpaceDE w:val="0"/>
        <w:jc w:val="both"/>
        <w:rPr>
          <w:sz w:val="22"/>
          <w:szCs w:val="22"/>
        </w:rPr>
      </w:pPr>
    </w:p>
    <w:p w14:paraId="473C8EBA" w14:textId="77777777" w:rsidR="00D73FF0" w:rsidRPr="0063322A" w:rsidRDefault="00D73FF0" w:rsidP="00D73FF0">
      <w:pPr>
        <w:widowControl w:val="0"/>
        <w:tabs>
          <w:tab w:val="left" w:pos="540"/>
        </w:tabs>
        <w:suppressAutoHyphens/>
        <w:autoSpaceDE w:val="0"/>
        <w:jc w:val="both"/>
        <w:rPr>
          <w:sz w:val="22"/>
          <w:szCs w:val="22"/>
        </w:rPr>
      </w:pPr>
      <w:r w:rsidRPr="0063322A">
        <w:rPr>
          <w:sz w:val="22"/>
          <w:szCs w:val="22"/>
        </w:rPr>
        <w:t>Kočky</w:t>
      </w:r>
    </w:p>
    <w:tbl>
      <w:tblPr>
        <w:tblW w:w="0" w:type="auto"/>
        <w:jc w:val="right"/>
        <w:tblLayout w:type="fixed"/>
        <w:tblCellMar>
          <w:left w:w="0" w:type="dxa"/>
          <w:right w:w="0" w:type="dxa"/>
        </w:tblCellMar>
        <w:tblLook w:val="0000" w:firstRow="0" w:lastRow="0" w:firstColumn="0" w:lastColumn="0" w:noHBand="0" w:noVBand="0"/>
      </w:tblPr>
      <w:tblGrid>
        <w:gridCol w:w="4253"/>
        <w:gridCol w:w="4267"/>
      </w:tblGrid>
      <w:tr w:rsidR="00D73FF0" w:rsidRPr="0063322A" w14:paraId="71303F26" w14:textId="77777777" w:rsidTr="008F745B">
        <w:trPr>
          <w:tblHeader/>
          <w:jc w:val="right"/>
        </w:trPr>
        <w:tc>
          <w:tcPr>
            <w:tcW w:w="4253" w:type="dxa"/>
            <w:tcBorders>
              <w:top w:val="single" w:sz="1" w:space="0" w:color="000000"/>
              <w:left w:val="single" w:sz="1" w:space="0" w:color="000000"/>
              <w:bottom w:val="single" w:sz="1" w:space="0" w:color="000000"/>
            </w:tcBorders>
          </w:tcPr>
          <w:p w14:paraId="793C3F12" w14:textId="77777777" w:rsidR="00D73FF0" w:rsidRPr="0063322A" w:rsidRDefault="00D73FF0" w:rsidP="008F745B">
            <w:pPr>
              <w:widowControl w:val="0"/>
              <w:suppressAutoHyphens/>
              <w:autoSpaceDE w:val="0"/>
              <w:snapToGrid w:val="0"/>
              <w:rPr>
                <w:sz w:val="22"/>
                <w:szCs w:val="22"/>
              </w:rPr>
            </w:pPr>
            <w:r w:rsidRPr="0063322A">
              <w:rPr>
                <w:sz w:val="22"/>
                <w:szCs w:val="22"/>
              </w:rPr>
              <w:t>Intravenózní podání: plynul</w:t>
            </w:r>
            <w:r>
              <w:rPr>
                <w:sz w:val="22"/>
                <w:szCs w:val="22"/>
              </w:rPr>
              <w:t>é</w:t>
            </w:r>
            <w:r w:rsidRPr="0063322A">
              <w:rPr>
                <w:sz w:val="22"/>
                <w:szCs w:val="22"/>
              </w:rPr>
              <w:t xml:space="preserve"> </w:t>
            </w:r>
            <w:r>
              <w:rPr>
                <w:sz w:val="22"/>
                <w:szCs w:val="22"/>
              </w:rPr>
              <w:t>podání</w:t>
            </w:r>
            <w:r w:rsidRPr="0063322A">
              <w:rPr>
                <w:sz w:val="22"/>
                <w:szCs w:val="22"/>
              </w:rPr>
              <w:t xml:space="preserve"> do ztráty vědomí, poté rychl</w:t>
            </w:r>
            <w:r>
              <w:rPr>
                <w:sz w:val="22"/>
                <w:szCs w:val="22"/>
              </w:rPr>
              <w:t>é</w:t>
            </w:r>
            <w:r w:rsidRPr="0063322A">
              <w:rPr>
                <w:sz w:val="22"/>
                <w:szCs w:val="22"/>
              </w:rPr>
              <w:t xml:space="preserve"> </w:t>
            </w:r>
            <w:r>
              <w:rPr>
                <w:sz w:val="22"/>
                <w:szCs w:val="22"/>
              </w:rPr>
              <w:t xml:space="preserve">podání </w:t>
            </w:r>
            <w:r w:rsidRPr="0063322A">
              <w:rPr>
                <w:sz w:val="22"/>
                <w:szCs w:val="22"/>
              </w:rPr>
              <w:t>zbývajícího množství</w:t>
            </w:r>
          </w:p>
        </w:tc>
        <w:tc>
          <w:tcPr>
            <w:tcW w:w="4267" w:type="dxa"/>
            <w:tcBorders>
              <w:top w:val="single" w:sz="1" w:space="0" w:color="000000"/>
              <w:left w:val="single" w:sz="1" w:space="0" w:color="000000"/>
              <w:bottom w:val="single" w:sz="1" w:space="0" w:color="000000"/>
              <w:right w:val="single" w:sz="1" w:space="0" w:color="000000"/>
            </w:tcBorders>
          </w:tcPr>
          <w:p w14:paraId="174C9D03" w14:textId="77777777" w:rsidR="00D73FF0" w:rsidRPr="0063322A" w:rsidRDefault="00D73FF0" w:rsidP="008F745B">
            <w:pPr>
              <w:widowControl w:val="0"/>
              <w:suppressAutoHyphens/>
              <w:autoSpaceDE w:val="0"/>
              <w:snapToGrid w:val="0"/>
              <w:rPr>
                <w:sz w:val="22"/>
                <w:szCs w:val="22"/>
              </w:rPr>
            </w:pPr>
            <w:r w:rsidRPr="0063322A">
              <w:rPr>
                <w:sz w:val="22"/>
                <w:szCs w:val="22"/>
              </w:rPr>
              <w:t xml:space="preserve">1 ml na 2-3 kg </w:t>
            </w:r>
            <w:r>
              <w:rPr>
                <w:sz w:val="22"/>
                <w:szCs w:val="22"/>
              </w:rPr>
              <w:t>živ</w:t>
            </w:r>
            <w:r w:rsidRPr="0063322A">
              <w:rPr>
                <w:sz w:val="22"/>
                <w:szCs w:val="22"/>
              </w:rPr>
              <w:t xml:space="preserve">é hmotnosti </w:t>
            </w:r>
          </w:p>
        </w:tc>
      </w:tr>
      <w:tr w:rsidR="00D73FF0" w:rsidRPr="0063322A" w14:paraId="5FD15B59" w14:textId="77777777" w:rsidTr="008F745B">
        <w:trPr>
          <w:jc w:val="right"/>
        </w:trPr>
        <w:tc>
          <w:tcPr>
            <w:tcW w:w="4253" w:type="dxa"/>
            <w:tcBorders>
              <w:left w:val="single" w:sz="1" w:space="0" w:color="000000"/>
              <w:bottom w:val="single" w:sz="1" w:space="0" w:color="000000"/>
            </w:tcBorders>
          </w:tcPr>
          <w:p w14:paraId="62F38472" w14:textId="77777777" w:rsidR="00D73FF0" w:rsidRPr="0063322A" w:rsidRDefault="00D73FF0" w:rsidP="008F745B">
            <w:pPr>
              <w:widowControl w:val="0"/>
              <w:suppressAutoHyphens/>
              <w:autoSpaceDE w:val="0"/>
              <w:snapToGrid w:val="0"/>
              <w:rPr>
                <w:sz w:val="22"/>
                <w:szCs w:val="22"/>
              </w:rPr>
            </w:pPr>
            <w:r w:rsidRPr="0063322A">
              <w:rPr>
                <w:sz w:val="22"/>
                <w:szCs w:val="22"/>
              </w:rPr>
              <w:t>Intrakardiální, intrapulmonární a intraperitoneální podání po s.c. nebo i.m. anestezii</w:t>
            </w:r>
          </w:p>
        </w:tc>
        <w:tc>
          <w:tcPr>
            <w:tcW w:w="4267" w:type="dxa"/>
            <w:tcBorders>
              <w:left w:val="single" w:sz="1" w:space="0" w:color="000000"/>
              <w:bottom w:val="single" w:sz="1" w:space="0" w:color="000000"/>
              <w:right w:val="single" w:sz="1" w:space="0" w:color="000000"/>
            </w:tcBorders>
          </w:tcPr>
          <w:p w14:paraId="332CFC21" w14:textId="77777777" w:rsidR="00D73FF0" w:rsidRPr="0063322A" w:rsidRDefault="00D73FF0" w:rsidP="008F745B">
            <w:pPr>
              <w:widowControl w:val="0"/>
              <w:suppressAutoHyphens/>
              <w:autoSpaceDE w:val="0"/>
              <w:snapToGrid w:val="0"/>
              <w:jc w:val="both"/>
              <w:rPr>
                <w:sz w:val="22"/>
                <w:szCs w:val="22"/>
              </w:rPr>
            </w:pPr>
            <w:r w:rsidRPr="0063322A">
              <w:rPr>
                <w:sz w:val="22"/>
                <w:szCs w:val="22"/>
              </w:rPr>
              <w:t xml:space="preserve">1 ml na kg </w:t>
            </w:r>
            <w:r>
              <w:rPr>
                <w:sz w:val="22"/>
                <w:szCs w:val="22"/>
              </w:rPr>
              <w:t>živ</w:t>
            </w:r>
            <w:r w:rsidRPr="0063322A">
              <w:rPr>
                <w:sz w:val="22"/>
                <w:szCs w:val="22"/>
              </w:rPr>
              <w:t xml:space="preserve">é hmotnosti </w:t>
            </w:r>
          </w:p>
        </w:tc>
      </w:tr>
    </w:tbl>
    <w:p w14:paraId="7DAA4B9B" w14:textId="77777777" w:rsidR="00D73FF0" w:rsidRDefault="00D73FF0" w:rsidP="00D73FF0">
      <w:pPr>
        <w:widowControl w:val="0"/>
        <w:tabs>
          <w:tab w:val="left" w:pos="540"/>
        </w:tabs>
        <w:suppressAutoHyphens/>
        <w:autoSpaceDE w:val="0"/>
        <w:jc w:val="both"/>
        <w:rPr>
          <w:sz w:val="22"/>
          <w:szCs w:val="22"/>
        </w:rPr>
      </w:pPr>
    </w:p>
    <w:p w14:paraId="09237731" w14:textId="77777777" w:rsidR="00D73FF0" w:rsidRPr="0063322A" w:rsidRDefault="00D73FF0" w:rsidP="00D73FF0">
      <w:pPr>
        <w:widowControl w:val="0"/>
        <w:tabs>
          <w:tab w:val="left" w:pos="540"/>
        </w:tabs>
        <w:suppressAutoHyphens/>
        <w:autoSpaceDE w:val="0"/>
        <w:jc w:val="both"/>
        <w:rPr>
          <w:sz w:val="22"/>
          <w:szCs w:val="22"/>
        </w:rPr>
      </w:pPr>
      <w:r w:rsidRPr="0063322A">
        <w:rPr>
          <w:sz w:val="22"/>
          <w:szCs w:val="22"/>
        </w:rPr>
        <w:t>Norci, tchoři</w:t>
      </w:r>
    </w:p>
    <w:tbl>
      <w:tblPr>
        <w:tblW w:w="0" w:type="auto"/>
        <w:jc w:val="right"/>
        <w:tblLayout w:type="fixed"/>
        <w:tblCellMar>
          <w:left w:w="0" w:type="dxa"/>
          <w:right w:w="0" w:type="dxa"/>
        </w:tblCellMar>
        <w:tblLook w:val="0000" w:firstRow="0" w:lastRow="0" w:firstColumn="0" w:lastColumn="0" w:noHBand="0" w:noVBand="0"/>
      </w:tblPr>
      <w:tblGrid>
        <w:gridCol w:w="4253"/>
        <w:gridCol w:w="4267"/>
      </w:tblGrid>
      <w:tr w:rsidR="00D73FF0" w:rsidRPr="0063322A" w14:paraId="1F883CE0" w14:textId="77777777" w:rsidTr="008F745B">
        <w:trPr>
          <w:tblHeader/>
          <w:jc w:val="right"/>
        </w:trPr>
        <w:tc>
          <w:tcPr>
            <w:tcW w:w="4253" w:type="dxa"/>
            <w:tcBorders>
              <w:top w:val="single" w:sz="1" w:space="0" w:color="000000"/>
              <w:left w:val="single" w:sz="1" w:space="0" w:color="000000"/>
              <w:bottom w:val="single" w:sz="1" w:space="0" w:color="000000"/>
            </w:tcBorders>
          </w:tcPr>
          <w:p w14:paraId="30A04C46" w14:textId="77777777" w:rsidR="00D73FF0" w:rsidRPr="0063322A" w:rsidRDefault="00D73FF0" w:rsidP="008F745B">
            <w:pPr>
              <w:widowControl w:val="0"/>
              <w:suppressAutoHyphens/>
              <w:autoSpaceDE w:val="0"/>
              <w:snapToGrid w:val="0"/>
              <w:rPr>
                <w:sz w:val="22"/>
                <w:szCs w:val="22"/>
              </w:rPr>
            </w:pPr>
            <w:r w:rsidRPr="0063322A">
              <w:rPr>
                <w:sz w:val="22"/>
                <w:szCs w:val="22"/>
              </w:rPr>
              <w:t>Intravenózní podání</w:t>
            </w:r>
          </w:p>
        </w:tc>
        <w:tc>
          <w:tcPr>
            <w:tcW w:w="4267" w:type="dxa"/>
            <w:tcBorders>
              <w:top w:val="single" w:sz="1" w:space="0" w:color="000000"/>
              <w:left w:val="single" w:sz="1" w:space="0" w:color="000000"/>
              <w:bottom w:val="single" w:sz="1" w:space="0" w:color="000000"/>
              <w:right w:val="single" w:sz="1" w:space="0" w:color="000000"/>
            </w:tcBorders>
          </w:tcPr>
          <w:p w14:paraId="109AD91F" w14:textId="77777777" w:rsidR="00D73FF0" w:rsidRPr="0063322A" w:rsidRDefault="00D73FF0" w:rsidP="008F745B">
            <w:pPr>
              <w:widowControl w:val="0"/>
              <w:suppressAutoHyphens/>
              <w:autoSpaceDE w:val="0"/>
              <w:snapToGrid w:val="0"/>
              <w:rPr>
                <w:sz w:val="22"/>
                <w:szCs w:val="22"/>
              </w:rPr>
            </w:pPr>
            <w:r w:rsidRPr="0063322A">
              <w:rPr>
                <w:sz w:val="22"/>
                <w:szCs w:val="22"/>
              </w:rPr>
              <w:t xml:space="preserve">1 ml </w:t>
            </w:r>
            <w:r w:rsidRPr="00D73FF0">
              <w:rPr>
                <w:i/>
                <w:sz w:val="22"/>
                <w:szCs w:val="22"/>
              </w:rPr>
              <w:t>pro toto</w:t>
            </w:r>
          </w:p>
        </w:tc>
      </w:tr>
      <w:tr w:rsidR="00D73FF0" w:rsidRPr="0063322A" w14:paraId="00901141" w14:textId="77777777" w:rsidTr="008F745B">
        <w:trPr>
          <w:jc w:val="right"/>
        </w:trPr>
        <w:tc>
          <w:tcPr>
            <w:tcW w:w="4253" w:type="dxa"/>
            <w:tcBorders>
              <w:left w:val="single" w:sz="1" w:space="0" w:color="000000"/>
              <w:bottom w:val="single" w:sz="1" w:space="0" w:color="000000"/>
            </w:tcBorders>
          </w:tcPr>
          <w:p w14:paraId="48942335" w14:textId="77777777" w:rsidR="00D73FF0" w:rsidRPr="0063322A" w:rsidRDefault="00D73FF0" w:rsidP="008F745B">
            <w:pPr>
              <w:widowControl w:val="0"/>
              <w:suppressAutoHyphens/>
              <w:autoSpaceDE w:val="0"/>
              <w:snapToGrid w:val="0"/>
              <w:rPr>
                <w:sz w:val="22"/>
                <w:szCs w:val="22"/>
              </w:rPr>
            </w:pPr>
            <w:r w:rsidRPr="0063322A">
              <w:rPr>
                <w:sz w:val="22"/>
                <w:szCs w:val="22"/>
              </w:rPr>
              <w:t xml:space="preserve">Intrakardiální, intrapulmonární </w:t>
            </w:r>
            <w:r>
              <w:rPr>
                <w:sz w:val="22"/>
                <w:szCs w:val="22"/>
              </w:rPr>
              <w:t>podání</w:t>
            </w:r>
            <w:r w:rsidRPr="0063322A">
              <w:rPr>
                <w:sz w:val="22"/>
                <w:szCs w:val="22"/>
              </w:rPr>
              <w:t xml:space="preserve"> pomocí jehly dlouhé asi 4 cm v přední části hrudní kosti (kraniodorzální cesta) </w:t>
            </w:r>
          </w:p>
        </w:tc>
        <w:tc>
          <w:tcPr>
            <w:tcW w:w="4267" w:type="dxa"/>
            <w:tcBorders>
              <w:left w:val="single" w:sz="1" w:space="0" w:color="000000"/>
              <w:bottom w:val="single" w:sz="1" w:space="0" w:color="000000"/>
              <w:right w:val="single" w:sz="1" w:space="0" w:color="000000"/>
            </w:tcBorders>
          </w:tcPr>
          <w:p w14:paraId="76178D2E" w14:textId="77777777" w:rsidR="00D73FF0" w:rsidRPr="0063322A" w:rsidRDefault="00D73FF0" w:rsidP="008F745B">
            <w:pPr>
              <w:widowControl w:val="0"/>
              <w:suppressAutoHyphens/>
              <w:autoSpaceDE w:val="0"/>
              <w:snapToGrid w:val="0"/>
              <w:rPr>
                <w:sz w:val="22"/>
                <w:szCs w:val="22"/>
              </w:rPr>
            </w:pPr>
            <w:r w:rsidRPr="0063322A">
              <w:rPr>
                <w:sz w:val="22"/>
                <w:szCs w:val="22"/>
              </w:rPr>
              <w:t xml:space="preserve">1 ml </w:t>
            </w:r>
            <w:r w:rsidRPr="00D73FF0">
              <w:rPr>
                <w:i/>
                <w:sz w:val="22"/>
                <w:szCs w:val="22"/>
              </w:rPr>
              <w:t>pro toto</w:t>
            </w:r>
            <w:r w:rsidRPr="0063322A">
              <w:rPr>
                <w:sz w:val="22"/>
                <w:szCs w:val="22"/>
              </w:rPr>
              <w:t xml:space="preserve"> </w:t>
            </w:r>
          </w:p>
        </w:tc>
      </w:tr>
    </w:tbl>
    <w:p w14:paraId="31F2A1B0" w14:textId="77777777" w:rsidR="00D73FF0" w:rsidRDefault="00D73FF0" w:rsidP="00D73FF0">
      <w:pPr>
        <w:widowControl w:val="0"/>
        <w:tabs>
          <w:tab w:val="left" w:pos="540"/>
        </w:tabs>
        <w:suppressAutoHyphens/>
        <w:autoSpaceDE w:val="0"/>
        <w:jc w:val="both"/>
        <w:rPr>
          <w:sz w:val="22"/>
          <w:szCs w:val="22"/>
        </w:rPr>
      </w:pPr>
    </w:p>
    <w:p w14:paraId="4431A3D2" w14:textId="77777777" w:rsidR="00D73FF0" w:rsidRPr="0063322A" w:rsidRDefault="00D73FF0" w:rsidP="00D73FF0">
      <w:pPr>
        <w:widowControl w:val="0"/>
        <w:tabs>
          <w:tab w:val="left" w:pos="540"/>
        </w:tabs>
        <w:suppressAutoHyphens/>
        <w:autoSpaceDE w:val="0"/>
        <w:jc w:val="both"/>
        <w:rPr>
          <w:sz w:val="22"/>
          <w:szCs w:val="22"/>
        </w:rPr>
      </w:pPr>
      <w:r w:rsidRPr="0063322A">
        <w:rPr>
          <w:sz w:val="22"/>
          <w:szCs w:val="22"/>
        </w:rPr>
        <w:t>Zajíci, králíci, morčata, křečci, potkani, myši</w:t>
      </w:r>
    </w:p>
    <w:tbl>
      <w:tblPr>
        <w:tblW w:w="0" w:type="auto"/>
        <w:jc w:val="right"/>
        <w:tblLayout w:type="fixed"/>
        <w:tblCellMar>
          <w:left w:w="0" w:type="dxa"/>
          <w:right w:w="0" w:type="dxa"/>
        </w:tblCellMar>
        <w:tblLook w:val="0000" w:firstRow="0" w:lastRow="0" w:firstColumn="0" w:lastColumn="0" w:noHBand="0" w:noVBand="0"/>
      </w:tblPr>
      <w:tblGrid>
        <w:gridCol w:w="4253"/>
        <w:gridCol w:w="4267"/>
      </w:tblGrid>
      <w:tr w:rsidR="00D73FF0" w:rsidRPr="0063322A" w14:paraId="58C4F057" w14:textId="77777777" w:rsidTr="008F745B">
        <w:trPr>
          <w:tblHeader/>
          <w:jc w:val="right"/>
        </w:trPr>
        <w:tc>
          <w:tcPr>
            <w:tcW w:w="4253" w:type="dxa"/>
            <w:tcBorders>
              <w:top w:val="single" w:sz="1" w:space="0" w:color="000000"/>
              <w:left w:val="single" w:sz="1" w:space="0" w:color="000000"/>
              <w:bottom w:val="single" w:sz="1" w:space="0" w:color="000000"/>
            </w:tcBorders>
          </w:tcPr>
          <w:p w14:paraId="3F668E30" w14:textId="77777777" w:rsidR="00D73FF0" w:rsidRPr="0063322A" w:rsidRDefault="00D73FF0" w:rsidP="008F745B">
            <w:pPr>
              <w:widowControl w:val="0"/>
              <w:suppressAutoHyphens/>
              <w:autoSpaceDE w:val="0"/>
              <w:snapToGrid w:val="0"/>
              <w:rPr>
                <w:sz w:val="22"/>
                <w:szCs w:val="22"/>
              </w:rPr>
            </w:pPr>
            <w:r w:rsidRPr="0063322A">
              <w:rPr>
                <w:sz w:val="22"/>
                <w:szCs w:val="22"/>
              </w:rPr>
              <w:t>Intravenózní a intrakardiální podání</w:t>
            </w:r>
          </w:p>
        </w:tc>
        <w:tc>
          <w:tcPr>
            <w:tcW w:w="4267" w:type="dxa"/>
            <w:tcBorders>
              <w:top w:val="single" w:sz="1" w:space="0" w:color="000000"/>
              <w:left w:val="single" w:sz="1" w:space="0" w:color="000000"/>
              <w:bottom w:val="single" w:sz="1" w:space="0" w:color="000000"/>
              <w:right w:val="single" w:sz="1" w:space="0" w:color="000000"/>
            </w:tcBorders>
          </w:tcPr>
          <w:p w14:paraId="5C698FF7" w14:textId="77777777" w:rsidR="00D73FF0" w:rsidRPr="0063322A" w:rsidRDefault="00D73FF0" w:rsidP="008F745B">
            <w:pPr>
              <w:widowControl w:val="0"/>
              <w:suppressAutoHyphens/>
              <w:autoSpaceDE w:val="0"/>
              <w:snapToGrid w:val="0"/>
              <w:rPr>
                <w:sz w:val="22"/>
                <w:szCs w:val="22"/>
              </w:rPr>
            </w:pPr>
            <w:r w:rsidRPr="0063322A">
              <w:rPr>
                <w:sz w:val="22"/>
                <w:szCs w:val="22"/>
              </w:rPr>
              <w:t xml:space="preserve">1 ml na 1-2 kg </w:t>
            </w:r>
            <w:r>
              <w:rPr>
                <w:sz w:val="22"/>
                <w:szCs w:val="22"/>
              </w:rPr>
              <w:t>živ</w:t>
            </w:r>
            <w:r w:rsidRPr="0063322A">
              <w:rPr>
                <w:sz w:val="22"/>
                <w:szCs w:val="22"/>
              </w:rPr>
              <w:t xml:space="preserve">é hmotnosti </w:t>
            </w:r>
          </w:p>
        </w:tc>
      </w:tr>
      <w:tr w:rsidR="00D73FF0" w:rsidRPr="0063322A" w14:paraId="0BB2346E" w14:textId="77777777" w:rsidTr="008F745B">
        <w:trPr>
          <w:jc w:val="right"/>
        </w:trPr>
        <w:tc>
          <w:tcPr>
            <w:tcW w:w="4253" w:type="dxa"/>
            <w:tcBorders>
              <w:left w:val="single" w:sz="1" w:space="0" w:color="000000"/>
              <w:bottom w:val="single" w:sz="1" w:space="0" w:color="000000"/>
            </w:tcBorders>
          </w:tcPr>
          <w:p w14:paraId="16450BE1" w14:textId="77777777" w:rsidR="00D73FF0" w:rsidRPr="0063322A" w:rsidRDefault="00D73FF0" w:rsidP="008F745B">
            <w:pPr>
              <w:widowControl w:val="0"/>
              <w:suppressAutoHyphens/>
              <w:autoSpaceDE w:val="0"/>
              <w:snapToGrid w:val="0"/>
              <w:rPr>
                <w:sz w:val="22"/>
                <w:szCs w:val="22"/>
              </w:rPr>
            </w:pPr>
            <w:r w:rsidRPr="0063322A">
              <w:rPr>
                <w:sz w:val="22"/>
                <w:szCs w:val="22"/>
              </w:rPr>
              <w:t>Intrapulmonární podání</w:t>
            </w:r>
          </w:p>
        </w:tc>
        <w:tc>
          <w:tcPr>
            <w:tcW w:w="4267" w:type="dxa"/>
            <w:tcBorders>
              <w:left w:val="single" w:sz="1" w:space="0" w:color="000000"/>
              <w:bottom w:val="single" w:sz="1" w:space="0" w:color="000000"/>
              <w:right w:val="single" w:sz="1" w:space="0" w:color="000000"/>
            </w:tcBorders>
          </w:tcPr>
          <w:p w14:paraId="71E57B25" w14:textId="77777777" w:rsidR="00D73FF0" w:rsidRPr="0063322A" w:rsidRDefault="00D73FF0" w:rsidP="008F745B">
            <w:pPr>
              <w:widowControl w:val="0"/>
              <w:suppressAutoHyphens/>
              <w:autoSpaceDE w:val="0"/>
              <w:snapToGrid w:val="0"/>
              <w:rPr>
                <w:sz w:val="22"/>
                <w:szCs w:val="22"/>
              </w:rPr>
            </w:pPr>
            <w:r w:rsidRPr="0063322A">
              <w:rPr>
                <w:sz w:val="22"/>
                <w:szCs w:val="22"/>
              </w:rPr>
              <w:t xml:space="preserve">1 ml na 1-2 kg </w:t>
            </w:r>
            <w:r>
              <w:rPr>
                <w:sz w:val="22"/>
                <w:szCs w:val="22"/>
              </w:rPr>
              <w:t>živ</w:t>
            </w:r>
            <w:r w:rsidRPr="0063322A">
              <w:rPr>
                <w:sz w:val="22"/>
                <w:szCs w:val="22"/>
              </w:rPr>
              <w:t>é hmotnosti</w:t>
            </w:r>
          </w:p>
        </w:tc>
      </w:tr>
      <w:tr w:rsidR="00D73FF0" w:rsidRPr="0063322A" w14:paraId="4EBA47FE" w14:textId="77777777" w:rsidTr="008F745B">
        <w:trPr>
          <w:trHeight w:val="361"/>
          <w:jc w:val="right"/>
        </w:trPr>
        <w:tc>
          <w:tcPr>
            <w:tcW w:w="4253" w:type="dxa"/>
            <w:tcBorders>
              <w:left w:val="single" w:sz="1" w:space="0" w:color="000000"/>
              <w:bottom w:val="single" w:sz="1" w:space="0" w:color="000000"/>
            </w:tcBorders>
          </w:tcPr>
          <w:p w14:paraId="4E920859" w14:textId="77777777" w:rsidR="00D73FF0" w:rsidRPr="0063322A" w:rsidRDefault="00D73FF0" w:rsidP="008F745B">
            <w:pPr>
              <w:widowControl w:val="0"/>
              <w:suppressAutoHyphens/>
              <w:autoSpaceDE w:val="0"/>
              <w:snapToGrid w:val="0"/>
              <w:rPr>
                <w:sz w:val="22"/>
                <w:szCs w:val="22"/>
              </w:rPr>
            </w:pPr>
            <w:r w:rsidRPr="0063322A">
              <w:rPr>
                <w:sz w:val="22"/>
                <w:szCs w:val="22"/>
              </w:rPr>
              <w:t>Intraperitoneální a intraabdominální podání</w:t>
            </w:r>
          </w:p>
        </w:tc>
        <w:tc>
          <w:tcPr>
            <w:tcW w:w="4267" w:type="dxa"/>
            <w:tcBorders>
              <w:left w:val="single" w:sz="1" w:space="0" w:color="000000"/>
              <w:bottom w:val="single" w:sz="1" w:space="0" w:color="000000"/>
              <w:right w:val="single" w:sz="1" w:space="0" w:color="000000"/>
            </w:tcBorders>
          </w:tcPr>
          <w:p w14:paraId="53571480" w14:textId="77777777" w:rsidR="00D73FF0" w:rsidRPr="0063322A" w:rsidRDefault="00D73FF0" w:rsidP="008F745B">
            <w:pPr>
              <w:widowControl w:val="0"/>
              <w:suppressAutoHyphens/>
              <w:autoSpaceDE w:val="0"/>
              <w:snapToGrid w:val="0"/>
              <w:rPr>
                <w:sz w:val="22"/>
                <w:szCs w:val="22"/>
              </w:rPr>
            </w:pPr>
            <w:r w:rsidRPr="0063322A">
              <w:rPr>
                <w:sz w:val="22"/>
                <w:szCs w:val="22"/>
              </w:rPr>
              <w:t xml:space="preserve">1 ml na 0,5-1 kg </w:t>
            </w:r>
            <w:r>
              <w:rPr>
                <w:sz w:val="22"/>
                <w:szCs w:val="22"/>
              </w:rPr>
              <w:t>živ</w:t>
            </w:r>
            <w:r w:rsidRPr="0063322A">
              <w:rPr>
                <w:sz w:val="22"/>
                <w:szCs w:val="22"/>
              </w:rPr>
              <w:t>é hmotnosti</w:t>
            </w:r>
          </w:p>
        </w:tc>
      </w:tr>
    </w:tbl>
    <w:p w14:paraId="5B68BEC7" w14:textId="77777777" w:rsidR="00D73FF0" w:rsidRDefault="00D73FF0" w:rsidP="00D73FF0">
      <w:pPr>
        <w:widowControl w:val="0"/>
        <w:tabs>
          <w:tab w:val="left" w:pos="0"/>
        </w:tabs>
        <w:suppressAutoHyphens/>
        <w:autoSpaceDE w:val="0"/>
        <w:jc w:val="both"/>
        <w:rPr>
          <w:sz w:val="22"/>
          <w:szCs w:val="22"/>
        </w:rPr>
      </w:pPr>
    </w:p>
    <w:p w14:paraId="5C6BBA86" w14:textId="77777777" w:rsidR="00D73FF0" w:rsidRPr="0063322A" w:rsidRDefault="00D73FF0" w:rsidP="00D73FF0">
      <w:pPr>
        <w:widowControl w:val="0"/>
        <w:tabs>
          <w:tab w:val="left" w:pos="0"/>
        </w:tabs>
        <w:suppressAutoHyphens/>
        <w:autoSpaceDE w:val="0"/>
        <w:jc w:val="both"/>
        <w:rPr>
          <w:sz w:val="22"/>
          <w:szCs w:val="22"/>
        </w:rPr>
      </w:pPr>
      <w:r w:rsidRPr="0063322A">
        <w:rPr>
          <w:sz w:val="22"/>
          <w:szCs w:val="22"/>
        </w:rPr>
        <w:t>Ku</w:t>
      </w:r>
      <w:r>
        <w:rPr>
          <w:sz w:val="22"/>
          <w:szCs w:val="22"/>
        </w:rPr>
        <w:t>r domácí</w:t>
      </w:r>
      <w:r w:rsidRPr="0063322A">
        <w:rPr>
          <w:sz w:val="22"/>
          <w:szCs w:val="22"/>
        </w:rPr>
        <w:t>, holubi, okrasné ptactvo</w:t>
      </w:r>
    </w:p>
    <w:tbl>
      <w:tblPr>
        <w:tblW w:w="0" w:type="auto"/>
        <w:jc w:val="right"/>
        <w:tblLayout w:type="fixed"/>
        <w:tblCellMar>
          <w:left w:w="0" w:type="dxa"/>
          <w:right w:w="0" w:type="dxa"/>
        </w:tblCellMar>
        <w:tblLook w:val="0000" w:firstRow="0" w:lastRow="0" w:firstColumn="0" w:lastColumn="0" w:noHBand="0" w:noVBand="0"/>
      </w:tblPr>
      <w:tblGrid>
        <w:gridCol w:w="4253"/>
        <w:gridCol w:w="4267"/>
      </w:tblGrid>
      <w:tr w:rsidR="00D73FF0" w:rsidRPr="0063322A" w14:paraId="22DB5CFA" w14:textId="77777777" w:rsidTr="008F745B">
        <w:trPr>
          <w:tblHeader/>
          <w:jc w:val="right"/>
        </w:trPr>
        <w:tc>
          <w:tcPr>
            <w:tcW w:w="4253" w:type="dxa"/>
            <w:tcBorders>
              <w:top w:val="single" w:sz="1" w:space="0" w:color="000000"/>
              <w:left w:val="single" w:sz="1" w:space="0" w:color="000000"/>
              <w:bottom w:val="single" w:sz="1" w:space="0" w:color="000000"/>
            </w:tcBorders>
          </w:tcPr>
          <w:p w14:paraId="2BDF858A" w14:textId="77777777" w:rsidR="00D73FF0" w:rsidRPr="0063322A" w:rsidRDefault="00D73FF0" w:rsidP="008F745B">
            <w:pPr>
              <w:widowControl w:val="0"/>
              <w:suppressAutoHyphens/>
              <w:autoSpaceDE w:val="0"/>
              <w:snapToGrid w:val="0"/>
              <w:rPr>
                <w:sz w:val="22"/>
                <w:szCs w:val="22"/>
              </w:rPr>
            </w:pPr>
            <w:r w:rsidRPr="0063322A">
              <w:rPr>
                <w:sz w:val="22"/>
                <w:szCs w:val="22"/>
              </w:rPr>
              <w:t>Intravenózní podání</w:t>
            </w:r>
          </w:p>
        </w:tc>
        <w:tc>
          <w:tcPr>
            <w:tcW w:w="4267" w:type="dxa"/>
            <w:tcBorders>
              <w:top w:val="single" w:sz="1" w:space="0" w:color="000000"/>
              <w:left w:val="single" w:sz="1" w:space="0" w:color="000000"/>
              <w:bottom w:val="single" w:sz="1" w:space="0" w:color="000000"/>
              <w:right w:val="single" w:sz="1" w:space="0" w:color="000000"/>
            </w:tcBorders>
          </w:tcPr>
          <w:p w14:paraId="3912D753" w14:textId="77777777" w:rsidR="00D73FF0" w:rsidRPr="0063322A" w:rsidRDefault="00D73FF0" w:rsidP="008F745B">
            <w:pPr>
              <w:widowControl w:val="0"/>
              <w:suppressAutoHyphens/>
              <w:autoSpaceDE w:val="0"/>
              <w:snapToGrid w:val="0"/>
              <w:rPr>
                <w:sz w:val="22"/>
                <w:szCs w:val="22"/>
              </w:rPr>
            </w:pPr>
            <w:r w:rsidRPr="0063322A">
              <w:rPr>
                <w:sz w:val="22"/>
                <w:szCs w:val="22"/>
              </w:rPr>
              <w:t xml:space="preserve">1-2 ml na 1 kg </w:t>
            </w:r>
            <w:r>
              <w:rPr>
                <w:sz w:val="22"/>
                <w:szCs w:val="22"/>
              </w:rPr>
              <w:t>živ</w:t>
            </w:r>
            <w:r w:rsidRPr="0063322A">
              <w:rPr>
                <w:sz w:val="22"/>
                <w:szCs w:val="22"/>
              </w:rPr>
              <w:t>é hmotnosti</w:t>
            </w:r>
          </w:p>
        </w:tc>
      </w:tr>
      <w:tr w:rsidR="00D73FF0" w:rsidRPr="0063322A" w14:paraId="2FD11EDE" w14:textId="77777777" w:rsidTr="008F745B">
        <w:trPr>
          <w:tblHeader/>
          <w:jc w:val="right"/>
        </w:trPr>
        <w:tc>
          <w:tcPr>
            <w:tcW w:w="4253" w:type="dxa"/>
            <w:tcBorders>
              <w:top w:val="single" w:sz="1" w:space="0" w:color="000000"/>
              <w:left w:val="single" w:sz="1" w:space="0" w:color="000000"/>
              <w:bottom w:val="single" w:sz="1" w:space="0" w:color="000000"/>
            </w:tcBorders>
          </w:tcPr>
          <w:p w14:paraId="548AA3C8" w14:textId="77777777" w:rsidR="00D73FF0" w:rsidRPr="0063322A" w:rsidRDefault="00D73FF0" w:rsidP="008F745B">
            <w:pPr>
              <w:widowControl w:val="0"/>
              <w:suppressAutoHyphens/>
              <w:autoSpaceDE w:val="0"/>
              <w:snapToGrid w:val="0"/>
              <w:rPr>
                <w:sz w:val="22"/>
                <w:szCs w:val="22"/>
              </w:rPr>
            </w:pPr>
            <w:r w:rsidRPr="0063322A">
              <w:rPr>
                <w:sz w:val="22"/>
                <w:szCs w:val="22"/>
              </w:rPr>
              <w:t>Intrapulmonární podání</w:t>
            </w:r>
          </w:p>
        </w:tc>
        <w:tc>
          <w:tcPr>
            <w:tcW w:w="4267" w:type="dxa"/>
            <w:tcBorders>
              <w:top w:val="single" w:sz="1" w:space="0" w:color="000000"/>
              <w:left w:val="single" w:sz="1" w:space="0" w:color="000000"/>
              <w:bottom w:val="single" w:sz="1" w:space="0" w:color="000000"/>
              <w:right w:val="single" w:sz="1" w:space="0" w:color="000000"/>
            </w:tcBorders>
          </w:tcPr>
          <w:p w14:paraId="65BA1C00" w14:textId="77777777" w:rsidR="00D73FF0" w:rsidRPr="0063322A" w:rsidRDefault="00D73FF0" w:rsidP="008F745B">
            <w:pPr>
              <w:widowControl w:val="0"/>
              <w:suppressAutoHyphens/>
              <w:autoSpaceDE w:val="0"/>
              <w:snapToGrid w:val="0"/>
              <w:rPr>
                <w:sz w:val="22"/>
                <w:szCs w:val="22"/>
              </w:rPr>
            </w:pPr>
            <w:r w:rsidRPr="0063322A">
              <w:rPr>
                <w:sz w:val="22"/>
                <w:szCs w:val="22"/>
              </w:rPr>
              <w:t xml:space="preserve">1-2 ml na 1 kg </w:t>
            </w:r>
            <w:r>
              <w:rPr>
                <w:sz w:val="22"/>
                <w:szCs w:val="22"/>
              </w:rPr>
              <w:t>živ</w:t>
            </w:r>
            <w:r w:rsidRPr="0063322A">
              <w:rPr>
                <w:sz w:val="22"/>
                <w:szCs w:val="22"/>
              </w:rPr>
              <w:t>é hmotnosti</w:t>
            </w:r>
          </w:p>
        </w:tc>
      </w:tr>
    </w:tbl>
    <w:p w14:paraId="0499EF96" w14:textId="77777777" w:rsidR="00D73FF0" w:rsidRDefault="00D73FF0" w:rsidP="00D73FF0">
      <w:pPr>
        <w:widowControl w:val="0"/>
        <w:tabs>
          <w:tab w:val="left" w:pos="0"/>
        </w:tabs>
        <w:suppressAutoHyphens/>
        <w:autoSpaceDE w:val="0"/>
        <w:rPr>
          <w:sz w:val="22"/>
          <w:szCs w:val="22"/>
        </w:rPr>
      </w:pPr>
    </w:p>
    <w:p w14:paraId="2089052B" w14:textId="16A7D709" w:rsidR="00D73FF0" w:rsidRPr="0063322A" w:rsidRDefault="00D73FF0" w:rsidP="00D73FF0">
      <w:pPr>
        <w:widowControl w:val="0"/>
        <w:tabs>
          <w:tab w:val="left" w:pos="0"/>
        </w:tabs>
        <w:suppressAutoHyphens/>
        <w:autoSpaceDE w:val="0"/>
        <w:rPr>
          <w:i/>
          <w:iCs/>
          <w:sz w:val="22"/>
          <w:szCs w:val="22"/>
        </w:rPr>
      </w:pPr>
      <w:r w:rsidRPr="0063322A">
        <w:rPr>
          <w:sz w:val="22"/>
          <w:szCs w:val="22"/>
        </w:rPr>
        <w:t xml:space="preserve">Malí hadi, ještěrky a žáby </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D73FF0" w:rsidRPr="0063322A" w14:paraId="378C9178" w14:textId="77777777" w:rsidTr="008F745B">
        <w:tc>
          <w:tcPr>
            <w:tcW w:w="8505" w:type="dxa"/>
          </w:tcPr>
          <w:p w14:paraId="4397F486" w14:textId="3F5D545D" w:rsidR="00D73FF0" w:rsidRPr="0063322A" w:rsidRDefault="00D73FF0" w:rsidP="008F745B">
            <w:pPr>
              <w:tabs>
                <w:tab w:val="center" w:pos="4153"/>
                <w:tab w:val="right" w:pos="8306"/>
              </w:tabs>
              <w:suppressAutoHyphens/>
              <w:jc w:val="both"/>
              <w:rPr>
                <w:sz w:val="22"/>
                <w:szCs w:val="22"/>
              </w:rPr>
            </w:pPr>
            <w:r w:rsidRPr="0063322A">
              <w:rPr>
                <w:sz w:val="22"/>
                <w:szCs w:val="22"/>
              </w:rPr>
              <w:lastRenderedPageBreak/>
              <w:t xml:space="preserve">V závislosti na velikosti zvířete 0,5-1,0 ml </w:t>
            </w:r>
            <w:r w:rsidR="00CF18FE" w:rsidRPr="00D64ABE">
              <w:rPr>
                <w:i/>
                <w:sz w:val="22"/>
                <w:szCs w:val="22"/>
              </w:rPr>
              <w:t>pro toto</w:t>
            </w:r>
            <w:r w:rsidR="00CF18FE">
              <w:rPr>
                <w:sz w:val="22"/>
                <w:szCs w:val="22"/>
              </w:rPr>
              <w:t xml:space="preserve"> </w:t>
            </w:r>
            <w:r w:rsidRPr="00D73FF0">
              <w:rPr>
                <w:sz w:val="22"/>
                <w:szCs w:val="22"/>
              </w:rPr>
              <w:t>do tělní dutiny</w:t>
            </w:r>
            <w:r w:rsidRPr="0063322A">
              <w:rPr>
                <w:sz w:val="22"/>
                <w:szCs w:val="22"/>
              </w:rPr>
              <w:t xml:space="preserve"> blízko srdce. Smrt nastává po 5 až 10 minutách.</w:t>
            </w:r>
          </w:p>
        </w:tc>
      </w:tr>
    </w:tbl>
    <w:p w14:paraId="26B58BCD" w14:textId="77777777" w:rsidR="00D73FF0" w:rsidRDefault="00D73FF0" w:rsidP="00D73FF0">
      <w:pPr>
        <w:widowControl w:val="0"/>
        <w:tabs>
          <w:tab w:val="left" w:pos="872"/>
        </w:tabs>
        <w:suppressAutoHyphens/>
        <w:autoSpaceDE w:val="0"/>
        <w:rPr>
          <w:sz w:val="22"/>
          <w:szCs w:val="22"/>
        </w:rPr>
      </w:pPr>
    </w:p>
    <w:p w14:paraId="47468F65" w14:textId="77777777" w:rsidR="00CF18FE" w:rsidRPr="0063322A" w:rsidRDefault="00CF18FE" w:rsidP="00CF18FE">
      <w:pPr>
        <w:widowControl w:val="0"/>
        <w:tabs>
          <w:tab w:val="left" w:pos="0"/>
        </w:tabs>
        <w:suppressAutoHyphens/>
        <w:autoSpaceDE w:val="0"/>
        <w:rPr>
          <w:i/>
          <w:iCs/>
          <w:sz w:val="22"/>
          <w:szCs w:val="22"/>
        </w:rPr>
      </w:pPr>
      <w:r>
        <w:rPr>
          <w:sz w:val="22"/>
          <w:szCs w:val="22"/>
        </w:rPr>
        <w:t xml:space="preserve">Želvy </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5"/>
      </w:tblGrid>
      <w:tr w:rsidR="00CF18FE" w:rsidRPr="0063322A" w14:paraId="5BDAD87F" w14:textId="77777777" w:rsidTr="00D64ABE">
        <w:tc>
          <w:tcPr>
            <w:tcW w:w="8505" w:type="dxa"/>
            <w:shd w:val="clear" w:color="auto" w:fill="auto"/>
          </w:tcPr>
          <w:p w14:paraId="78F7F765" w14:textId="77777777" w:rsidR="00CF18FE" w:rsidRPr="0063322A" w:rsidRDefault="00CF18FE" w:rsidP="00D64ABE">
            <w:pPr>
              <w:tabs>
                <w:tab w:val="center" w:pos="4153"/>
                <w:tab w:val="right" w:pos="8306"/>
              </w:tabs>
              <w:suppressAutoHyphens/>
              <w:ind w:left="-108"/>
              <w:jc w:val="both"/>
              <w:rPr>
                <w:sz w:val="22"/>
                <w:szCs w:val="22"/>
              </w:rPr>
            </w:pPr>
            <w:r w:rsidRPr="0063322A">
              <w:rPr>
                <w:sz w:val="22"/>
                <w:szCs w:val="22"/>
              </w:rPr>
              <w:t>V závislosti na velikosti zvířete</w:t>
            </w:r>
            <w:r>
              <w:rPr>
                <w:sz w:val="22"/>
                <w:szCs w:val="22"/>
              </w:rPr>
              <w:t>:</w:t>
            </w:r>
            <w:r w:rsidRPr="0063322A">
              <w:rPr>
                <w:sz w:val="22"/>
                <w:szCs w:val="22"/>
              </w:rPr>
              <w:t xml:space="preserve"> 0,5</w:t>
            </w:r>
            <w:r>
              <w:rPr>
                <w:sz w:val="22"/>
                <w:szCs w:val="22"/>
              </w:rPr>
              <w:t xml:space="preserve">–1,0 ml </w:t>
            </w:r>
            <w:r w:rsidRPr="003C0808">
              <w:rPr>
                <w:i/>
                <w:sz w:val="22"/>
                <w:szCs w:val="22"/>
              </w:rPr>
              <w:t>pro toto</w:t>
            </w:r>
            <w:r>
              <w:rPr>
                <w:sz w:val="22"/>
                <w:szCs w:val="22"/>
              </w:rPr>
              <w:t xml:space="preserve"> intravenózně. </w:t>
            </w:r>
            <w:r w:rsidRPr="0063322A">
              <w:rPr>
                <w:sz w:val="22"/>
                <w:szCs w:val="22"/>
              </w:rPr>
              <w:t>Smrt nastává po 5 až 10 minutách.</w:t>
            </w:r>
          </w:p>
        </w:tc>
      </w:tr>
    </w:tbl>
    <w:p w14:paraId="75B0753F" w14:textId="77777777" w:rsidR="00CF18FE" w:rsidRDefault="00CF18FE" w:rsidP="0016216B">
      <w:pPr>
        <w:keepNext/>
        <w:tabs>
          <w:tab w:val="left" w:pos="872"/>
        </w:tabs>
        <w:suppressAutoHyphens/>
        <w:autoSpaceDE w:val="0"/>
        <w:rPr>
          <w:sz w:val="22"/>
          <w:szCs w:val="22"/>
        </w:rPr>
      </w:pPr>
    </w:p>
    <w:p w14:paraId="1DC0FDD5" w14:textId="77777777" w:rsidR="00D73FF0" w:rsidRPr="0063322A" w:rsidRDefault="00D73FF0" w:rsidP="0016216B">
      <w:pPr>
        <w:keepNext/>
        <w:tabs>
          <w:tab w:val="left" w:pos="872"/>
        </w:tabs>
        <w:suppressAutoHyphens/>
        <w:autoSpaceDE w:val="0"/>
        <w:rPr>
          <w:sz w:val="22"/>
          <w:szCs w:val="22"/>
        </w:rPr>
      </w:pPr>
      <w:r w:rsidRPr="0063322A">
        <w:rPr>
          <w:sz w:val="22"/>
          <w:szCs w:val="22"/>
        </w:rPr>
        <w:t>Koně, poníci</w:t>
      </w:r>
    </w:p>
    <w:tbl>
      <w:tblPr>
        <w:tblW w:w="0" w:type="auto"/>
        <w:jc w:val="right"/>
        <w:tblLayout w:type="fixed"/>
        <w:tblCellMar>
          <w:left w:w="0" w:type="dxa"/>
          <w:right w:w="0" w:type="dxa"/>
        </w:tblCellMar>
        <w:tblLook w:val="0000" w:firstRow="0" w:lastRow="0" w:firstColumn="0" w:lastColumn="0" w:noHBand="0" w:noVBand="0"/>
      </w:tblPr>
      <w:tblGrid>
        <w:gridCol w:w="4253"/>
        <w:gridCol w:w="4267"/>
      </w:tblGrid>
      <w:tr w:rsidR="00D73FF0" w:rsidRPr="0063322A" w14:paraId="6BE79D71" w14:textId="77777777" w:rsidTr="008F745B">
        <w:trPr>
          <w:tblHeader/>
          <w:jc w:val="right"/>
        </w:trPr>
        <w:tc>
          <w:tcPr>
            <w:tcW w:w="4253" w:type="dxa"/>
            <w:tcBorders>
              <w:top w:val="single" w:sz="1" w:space="0" w:color="000000"/>
              <w:left w:val="single" w:sz="1" w:space="0" w:color="000000"/>
              <w:bottom w:val="single" w:sz="1" w:space="0" w:color="000000"/>
            </w:tcBorders>
          </w:tcPr>
          <w:p w14:paraId="0FD69D5D" w14:textId="77777777" w:rsidR="00D73FF0" w:rsidRPr="0063322A" w:rsidRDefault="00D73FF0" w:rsidP="008F745B">
            <w:pPr>
              <w:widowControl w:val="0"/>
              <w:suppressAutoHyphens/>
              <w:autoSpaceDE w:val="0"/>
              <w:snapToGrid w:val="0"/>
              <w:rPr>
                <w:sz w:val="22"/>
                <w:szCs w:val="22"/>
              </w:rPr>
            </w:pPr>
            <w:r>
              <w:rPr>
                <w:sz w:val="22"/>
                <w:szCs w:val="22"/>
              </w:rPr>
              <w:t>Rychlé i</w:t>
            </w:r>
            <w:r w:rsidRPr="0063322A">
              <w:rPr>
                <w:sz w:val="22"/>
                <w:szCs w:val="22"/>
              </w:rPr>
              <w:t xml:space="preserve">ntravenózní podání </w:t>
            </w:r>
          </w:p>
        </w:tc>
        <w:tc>
          <w:tcPr>
            <w:tcW w:w="4267" w:type="dxa"/>
            <w:tcBorders>
              <w:top w:val="single" w:sz="1" w:space="0" w:color="000000"/>
              <w:left w:val="single" w:sz="1" w:space="0" w:color="000000"/>
              <w:bottom w:val="single" w:sz="1" w:space="0" w:color="000000"/>
              <w:right w:val="single" w:sz="1" w:space="0" w:color="000000"/>
            </w:tcBorders>
          </w:tcPr>
          <w:p w14:paraId="375FA91D" w14:textId="77777777" w:rsidR="00D73FF0" w:rsidRPr="0063322A" w:rsidRDefault="00D73FF0" w:rsidP="008F745B">
            <w:pPr>
              <w:widowControl w:val="0"/>
              <w:suppressAutoHyphens/>
              <w:autoSpaceDE w:val="0"/>
              <w:snapToGrid w:val="0"/>
              <w:rPr>
                <w:sz w:val="22"/>
                <w:szCs w:val="22"/>
              </w:rPr>
            </w:pPr>
            <w:r w:rsidRPr="0063322A">
              <w:rPr>
                <w:sz w:val="22"/>
                <w:szCs w:val="22"/>
              </w:rPr>
              <w:t xml:space="preserve">1 ml na 4,5-5 kg </w:t>
            </w:r>
            <w:r>
              <w:rPr>
                <w:sz w:val="22"/>
                <w:szCs w:val="22"/>
              </w:rPr>
              <w:t>živ</w:t>
            </w:r>
            <w:r w:rsidRPr="0063322A">
              <w:rPr>
                <w:sz w:val="22"/>
                <w:szCs w:val="22"/>
              </w:rPr>
              <w:t xml:space="preserve">é hmotnosti </w:t>
            </w:r>
          </w:p>
        </w:tc>
      </w:tr>
    </w:tbl>
    <w:p w14:paraId="2F8FE513" w14:textId="77777777" w:rsidR="00D73FF0" w:rsidRDefault="00D73FF0" w:rsidP="00D73FF0">
      <w:pPr>
        <w:widowControl w:val="0"/>
        <w:tabs>
          <w:tab w:val="left" w:pos="872"/>
        </w:tabs>
        <w:suppressAutoHyphens/>
        <w:autoSpaceDE w:val="0"/>
        <w:rPr>
          <w:sz w:val="22"/>
          <w:szCs w:val="22"/>
        </w:rPr>
      </w:pPr>
    </w:p>
    <w:p w14:paraId="3E53C878" w14:textId="77777777" w:rsidR="00D73FF0" w:rsidRPr="0063322A" w:rsidRDefault="00D73FF0" w:rsidP="00D73FF0">
      <w:pPr>
        <w:widowControl w:val="0"/>
        <w:tabs>
          <w:tab w:val="left" w:pos="872"/>
        </w:tabs>
        <w:suppressAutoHyphens/>
        <w:autoSpaceDE w:val="0"/>
        <w:rPr>
          <w:i/>
          <w:iCs/>
          <w:sz w:val="22"/>
          <w:szCs w:val="22"/>
        </w:rPr>
      </w:pPr>
      <w:r w:rsidRPr="0063322A">
        <w:rPr>
          <w:sz w:val="22"/>
          <w:szCs w:val="22"/>
        </w:rPr>
        <w:t>Skot</w:t>
      </w:r>
    </w:p>
    <w:tbl>
      <w:tblPr>
        <w:tblW w:w="0" w:type="auto"/>
        <w:jc w:val="right"/>
        <w:tblLayout w:type="fixed"/>
        <w:tblCellMar>
          <w:left w:w="0" w:type="dxa"/>
          <w:right w:w="0" w:type="dxa"/>
        </w:tblCellMar>
        <w:tblLook w:val="0000" w:firstRow="0" w:lastRow="0" w:firstColumn="0" w:lastColumn="0" w:noHBand="0" w:noVBand="0"/>
      </w:tblPr>
      <w:tblGrid>
        <w:gridCol w:w="4253"/>
        <w:gridCol w:w="4267"/>
      </w:tblGrid>
      <w:tr w:rsidR="00D73FF0" w:rsidRPr="0063322A" w14:paraId="04D51482" w14:textId="77777777" w:rsidTr="008F745B">
        <w:trPr>
          <w:tblHeader/>
          <w:jc w:val="right"/>
        </w:trPr>
        <w:tc>
          <w:tcPr>
            <w:tcW w:w="4253" w:type="dxa"/>
            <w:tcBorders>
              <w:top w:val="single" w:sz="1" w:space="0" w:color="000000"/>
              <w:left w:val="single" w:sz="1" w:space="0" w:color="000000"/>
              <w:bottom w:val="single" w:sz="1" w:space="0" w:color="000000"/>
            </w:tcBorders>
          </w:tcPr>
          <w:p w14:paraId="2F3E70C5" w14:textId="77777777" w:rsidR="00D73FF0" w:rsidRPr="0063322A" w:rsidRDefault="00D73FF0" w:rsidP="008F745B">
            <w:pPr>
              <w:widowControl w:val="0"/>
              <w:suppressAutoHyphens/>
              <w:autoSpaceDE w:val="0"/>
              <w:snapToGrid w:val="0"/>
              <w:rPr>
                <w:sz w:val="22"/>
                <w:szCs w:val="22"/>
              </w:rPr>
            </w:pPr>
            <w:r>
              <w:rPr>
                <w:sz w:val="22"/>
                <w:szCs w:val="22"/>
              </w:rPr>
              <w:t>Rychlé i</w:t>
            </w:r>
            <w:r w:rsidRPr="0063322A">
              <w:rPr>
                <w:sz w:val="22"/>
                <w:szCs w:val="22"/>
              </w:rPr>
              <w:t xml:space="preserve">ntravenózní podání </w:t>
            </w:r>
          </w:p>
        </w:tc>
        <w:tc>
          <w:tcPr>
            <w:tcW w:w="4267" w:type="dxa"/>
            <w:tcBorders>
              <w:top w:val="single" w:sz="1" w:space="0" w:color="000000"/>
              <w:left w:val="single" w:sz="1" w:space="0" w:color="000000"/>
              <w:bottom w:val="single" w:sz="1" w:space="0" w:color="000000"/>
              <w:right w:val="single" w:sz="1" w:space="0" w:color="000000"/>
            </w:tcBorders>
          </w:tcPr>
          <w:p w14:paraId="097912DB" w14:textId="77777777" w:rsidR="00D73FF0" w:rsidRPr="0063322A" w:rsidRDefault="00D73FF0" w:rsidP="008F745B">
            <w:pPr>
              <w:widowControl w:val="0"/>
              <w:suppressAutoHyphens/>
              <w:autoSpaceDE w:val="0"/>
              <w:snapToGrid w:val="0"/>
              <w:rPr>
                <w:sz w:val="22"/>
                <w:szCs w:val="22"/>
              </w:rPr>
            </w:pPr>
            <w:r w:rsidRPr="0063322A">
              <w:rPr>
                <w:sz w:val="22"/>
                <w:szCs w:val="22"/>
              </w:rPr>
              <w:t xml:space="preserve">1-2 ml na 10 kg </w:t>
            </w:r>
            <w:r>
              <w:rPr>
                <w:sz w:val="22"/>
                <w:szCs w:val="22"/>
              </w:rPr>
              <w:t>živ</w:t>
            </w:r>
            <w:r w:rsidRPr="0063322A">
              <w:rPr>
                <w:sz w:val="22"/>
                <w:szCs w:val="22"/>
              </w:rPr>
              <w:t xml:space="preserve">é hmotnosti </w:t>
            </w:r>
          </w:p>
        </w:tc>
      </w:tr>
    </w:tbl>
    <w:p w14:paraId="7D80747F" w14:textId="77777777" w:rsidR="00D73FF0" w:rsidRDefault="00D73FF0" w:rsidP="00D73FF0">
      <w:pPr>
        <w:widowControl w:val="0"/>
        <w:tabs>
          <w:tab w:val="left" w:pos="872"/>
        </w:tabs>
        <w:suppressAutoHyphens/>
        <w:autoSpaceDE w:val="0"/>
        <w:rPr>
          <w:sz w:val="22"/>
          <w:szCs w:val="22"/>
        </w:rPr>
      </w:pPr>
    </w:p>
    <w:p w14:paraId="440231F5" w14:textId="77777777" w:rsidR="00D73FF0" w:rsidRPr="0063322A" w:rsidRDefault="00D73FF0" w:rsidP="00D73FF0">
      <w:pPr>
        <w:keepNext/>
        <w:tabs>
          <w:tab w:val="left" w:pos="872"/>
        </w:tabs>
        <w:suppressAutoHyphens/>
        <w:autoSpaceDE w:val="0"/>
        <w:rPr>
          <w:sz w:val="22"/>
          <w:szCs w:val="22"/>
        </w:rPr>
      </w:pPr>
      <w:r w:rsidRPr="0063322A">
        <w:rPr>
          <w:sz w:val="22"/>
          <w:szCs w:val="22"/>
        </w:rPr>
        <w:t>Prasata</w:t>
      </w:r>
    </w:p>
    <w:tbl>
      <w:tblPr>
        <w:tblW w:w="0" w:type="auto"/>
        <w:jc w:val="right"/>
        <w:tblLayout w:type="fixed"/>
        <w:tblCellMar>
          <w:left w:w="0" w:type="dxa"/>
          <w:right w:w="0" w:type="dxa"/>
        </w:tblCellMar>
        <w:tblLook w:val="0000" w:firstRow="0" w:lastRow="0" w:firstColumn="0" w:lastColumn="0" w:noHBand="0" w:noVBand="0"/>
      </w:tblPr>
      <w:tblGrid>
        <w:gridCol w:w="4253"/>
        <w:gridCol w:w="4267"/>
      </w:tblGrid>
      <w:tr w:rsidR="00D73FF0" w:rsidRPr="0063322A" w14:paraId="5079644A" w14:textId="77777777" w:rsidTr="008F745B">
        <w:trPr>
          <w:tblHeader/>
          <w:jc w:val="right"/>
        </w:trPr>
        <w:tc>
          <w:tcPr>
            <w:tcW w:w="4253" w:type="dxa"/>
            <w:tcBorders>
              <w:top w:val="single" w:sz="1" w:space="0" w:color="000000"/>
              <w:left w:val="single" w:sz="1" w:space="0" w:color="000000"/>
              <w:bottom w:val="single" w:sz="1" w:space="0" w:color="000000"/>
            </w:tcBorders>
          </w:tcPr>
          <w:p w14:paraId="23436DBB" w14:textId="77777777" w:rsidR="00D73FF0" w:rsidRPr="0063322A" w:rsidRDefault="00D73FF0" w:rsidP="008F745B">
            <w:pPr>
              <w:widowControl w:val="0"/>
              <w:suppressAutoHyphens/>
              <w:autoSpaceDE w:val="0"/>
              <w:snapToGrid w:val="0"/>
              <w:rPr>
                <w:sz w:val="22"/>
                <w:szCs w:val="22"/>
              </w:rPr>
            </w:pPr>
            <w:r>
              <w:rPr>
                <w:sz w:val="22"/>
                <w:szCs w:val="22"/>
              </w:rPr>
              <w:t>Rychlé i</w:t>
            </w:r>
            <w:r w:rsidRPr="0063322A">
              <w:rPr>
                <w:sz w:val="22"/>
                <w:szCs w:val="22"/>
              </w:rPr>
              <w:t xml:space="preserve">ntravenózní podání </w:t>
            </w:r>
            <w:r w:rsidRPr="0063322A">
              <w:rPr>
                <w:sz w:val="22"/>
                <w:szCs w:val="22"/>
              </w:rPr>
              <w:br/>
              <w:t xml:space="preserve">do </w:t>
            </w:r>
            <w:r w:rsidRPr="0063322A">
              <w:rPr>
                <w:i/>
                <w:sz w:val="22"/>
                <w:szCs w:val="22"/>
              </w:rPr>
              <w:t>vena cava cran.</w:t>
            </w:r>
            <w:r w:rsidRPr="0063322A">
              <w:rPr>
                <w:sz w:val="22"/>
                <w:szCs w:val="22"/>
              </w:rPr>
              <w:t xml:space="preserve"> </w:t>
            </w:r>
            <w:r w:rsidRPr="0063322A">
              <w:rPr>
                <w:sz w:val="22"/>
                <w:szCs w:val="22"/>
              </w:rPr>
              <w:br/>
              <w:t>nebo ušní žíly</w:t>
            </w:r>
            <w:r w:rsidRPr="0063322A">
              <w:rPr>
                <w:sz w:val="22"/>
                <w:szCs w:val="22"/>
              </w:rPr>
              <w:br/>
              <w:t>nebo intrakardiální podání</w:t>
            </w:r>
          </w:p>
        </w:tc>
        <w:tc>
          <w:tcPr>
            <w:tcW w:w="4267" w:type="dxa"/>
            <w:tcBorders>
              <w:top w:val="single" w:sz="1" w:space="0" w:color="000000"/>
              <w:left w:val="single" w:sz="1" w:space="0" w:color="000000"/>
              <w:bottom w:val="single" w:sz="1" w:space="0" w:color="000000"/>
              <w:right w:val="single" w:sz="1" w:space="0" w:color="000000"/>
            </w:tcBorders>
          </w:tcPr>
          <w:p w14:paraId="6CD55DB9" w14:textId="77777777" w:rsidR="00D73FF0" w:rsidRPr="0063322A" w:rsidRDefault="00D73FF0" w:rsidP="008F745B">
            <w:pPr>
              <w:suppressAutoHyphens/>
              <w:rPr>
                <w:sz w:val="22"/>
                <w:szCs w:val="22"/>
              </w:rPr>
            </w:pPr>
            <w:r w:rsidRPr="0063322A">
              <w:rPr>
                <w:sz w:val="22"/>
                <w:szCs w:val="22"/>
              </w:rPr>
              <w:t xml:space="preserve">0,1 ml na kg </w:t>
            </w:r>
            <w:r>
              <w:rPr>
                <w:sz w:val="22"/>
                <w:szCs w:val="22"/>
              </w:rPr>
              <w:t>živ</w:t>
            </w:r>
            <w:r w:rsidRPr="0063322A">
              <w:rPr>
                <w:sz w:val="22"/>
                <w:szCs w:val="22"/>
              </w:rPr>
              <w:t>é hmotnosti</w:t>
            </w:r>
            <w:r w:rsidRPr="0063322A">
              <w:rPr>
                <w:sz w:val="22"/>
                <w:szCs w:val="22"/>
              </w:rPr>
              <w:br/>
              <w:t xml:space="preserve">&gt;30 kg </w:t>
            </w:r>
            <w:r w:rsidRPr="0063322A">
              <w:rPr>
                <w:sz w:val="22"/>
                <w:szCs w:val="22"/>
              </w:rPr>
              <w:br/>
            </w:r>
            <w:r w:rsidRPr="0063322A">
              <w:rPr>
                <w:sz w:val="22"/>
                <w:szCs w:val="22"/>
              </w:rPr>
              <w:br/>
              <w:t xml:space="preserve">0,2 ml na kg </w:t>
            </w:r>
            <w:r>
              <w:rPr>
                <w:sz w:val="22"/>
                <w:szCs w:val="22"/>
              </w:rPr>
              <w:t>živ</w:t>
            </w:r>
            <w:r w:rsidRPr="0063322A">
              <w:rPr>
                <w:sz w:val="22"/>
                <w:szCs w:val="22"/>
              </w:rPr>
              <w:t>é hmotnosti</w:t>
            </w:r>
            <w:r w:rsidRPr="0063322A">
              <w:rPr>
                <w:sz w:val="22"/>
                <w:szCs w:val="22"/>
              </w:rPr>
              <w:br/>
              <w:t>&lt;30 kg</w:t>
            </w:r>
          </w:p>
        </w:tc>
      </w:tr>
    </w:tbl>
    <w:p w14:paraId="5C093BE1" w14:textId="77777777" w:rsidR="00D73FF0" w:rsidRDefault="00D73FF0" w:rsidP="00D73FF0">
      <w:pPr>
        <w:ind w:right="-1"/>
        <w:jc w:val="both"/>
        <w:rPr>
          <w:sz w:val="22"/>
          <w:szCs w:val="22"/>
        </w:rPr>
      </w:pPr>
    </w:p>
    <w:p w14:paraId="7F6A4807" w14:textId="77777777" w:rsidR="00D73FF0" w:rsidRDefault="00D73FF0" w:rsidP="00D73FF0">
      <w:pPr>
        <w:ind w:right="-1"/>
        <w:jc w:val="both"/>
        <w:rPr>
          <w:i/>
          <w:iCs/>
          <w:sz w:val="22"/>
          <w:szCs w:val="22"/>
        </w:rPr>
      </w:pPr>
      <w:r w:rsidRPr="0063322A">
        <w:rPr>
          <w:sz w:val="22"/>
          <w:szCs w:val="22"/>
        </w:rPr>
        <w:t>Prasata</w:t>
      </w:r>
      <w:r w:rsidRPr="0063322A">
        <w:rPr>
          <w:i/>
          <w:iCs/>
          <w:sz w:val="22"/>
          <w:szCs w:val="22"/>
        </w:rPr>
        <w:t>:</w:t>
      </w:r>
    </w:p>
    <w:p w14:paraId="2B5A234A" w14:textId="77777777" w:rsidR="00D73FF0" w:rsidRPr="0038034E" w:rsidRDefault="00D73FF0" w:rsidP="00D73FF0">
      <w:pPr>
        <w:ind w:right="-1"/>
        <w:jc w:val="both"/>
        <w:rPr>
          <w:sz w:val="22"/>
          <w:szCs w:val="22"/>
        </w:rPr>
      </w:pPr>
      <w:r w:rsidRPr="0063322A">
        <w:rPr>
          <w:sz w:val="22"/>
          <w:szCs w:val="22"/>
        </w:rPr>
        <w:t>Rozdělení do skupin podle hmotnosti zvířat a způsobu podání: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4065"/>
      </w:tblGrid>
      <w:tr w:rsidR="00D73FF0" w:rsidRPr="0063322A" w14:paraId="71AA4FDD" w14:textId="77777777" w:rsidTr="008F745B">
        <w:tc>
          <w:tcPr>
            <w:tcW w:w="4440" w:type="dxa"/>
          </w:tcPr>
          <w:p w14:paraId="3C089358" w14:textId="6B8D09C0" w:rsidR="00D73FF0" w:rsidRPr="0063322A" w:rsidRDefault="00CF18FE" w:rsidP="008F745B">
            <w:pPr>
              <w:ind w:right="-1"/>
              <w:jc w:val="both"/>
              <w:rPr>
                <w:sz w:val="22"/>
                <w:szCs w:val="22"/>
              </w:rPr>
            </w:pPr>
            <w:r>
              <w:rPr>
                <w:sz w:val="22"/>
                <w:szCs w:val="22"/>
              </w:rPr>
              <w:t>Selata</w:t>
            </w:r>
            <w:r w:rsidR="00D73FF0" w:rsidRPr="0063322A">
              <w:rPr>
                <w:sz w:val="22"/>
                <w:szCs w:val="22"/>
              </w:rPr>
              <w:t xml:space="preserve"> (do 8 kg </w:t>
            </w:r>
            <w:r w:rsidR="00D73FF0">
              <w:rPr>
                <w:sz w:val="22"/>
                <w:szCs w:val="22"/>
              </w:rPr>
              <w:t>živ</w:t>
            </w:r>
            <w:r w:rsidR="00D73FF0" w:rsidRPr="0063322A">
              <w:rPr>
                <w:sz w:val="22"/>
                <w:szCs w:val="22"/>
              </w:rPr>
              <w:t>é hmotnosti)</w:t>
            </w:r>
          </w:p>
        </w:tc>
        <w:tc>
          <w:tcPr>
            <w:tcW w:w="4065" w:type="dxa"/>
          </w:tcPr>
          <w:p w14:paraId="3009590F" w14:textId="42E77CDE" w:rsidR="00D73FF0" w:rsidRPr="0063322A" w:rsidRDefault="00D73FF0" w:rsidP="00BA1F2B">
            <w:pPr>
              <w:ind w:right="-1"/>
              <w:rPr>
                <w:sz w:val="22"/>
                <w:szCs w:val="22"/>
              </w:rPr>
            </w:pPr>
            <w:r w:rsidRPr="0063322A">
              <w:rPr>
                <w:sz w:val="22"/>
                <w:szCs w:val="22"/>
              </w:rPr>
              <w:t>intravenózní (</w:t>
            </w:r>
            <w:r w:rsidRPr="0063322A">
              <w:rPr>
                <w:i/>
                <w:sz w:val="22"/>
                <w:szCs w:val="22"/>
              </w:rPr>
              <w:t>vena cava cranialis</w:t>
            </w:r>
            <w:r w:rsidRPr="0063322A">
              <w:rPr>
                <w:sz w:val="22"/>
                <w:szCs w:val="22"/>
              </w:rPr>
              <w:t>) nebo</w:t>
            </w:r>
            <w:r w:rsidR="00BA1F2B">
              <w:rPr>
                <w:sz w:val="22"/>
                <w:szCs w:val="22"/>
              </w:rPr>
              <w:t> </w:t>
            </w:r>
            <w:r w:rsidRPr="0063322A">
              <w:rPr>
                <w:sz w:val="22"/>
                <w:szCs w:val="22"/>
              </w:rPr>
              <w:t>intrakardiální podání</w:t>
            </w:r>
          </w:p>
        </w:tc>
      </w:tr>
      <w:tr w:rsidR="00D73FF0" w:rsidRPr="0063322A" w14:paraId="58A200B9" w14:textId="77777777" w:rsidTr="008F745B">
        <w:tc>
          <w:tcPr>
            <w:tcW w:w="4440" w:type="dxa"/>
          </w:tcPr>
          <w:p w14:paraId="2DC6D310" w14:textId="610F2809" w:rsidR="00D73FF0" w:rsidRPr="0063322A" w:rsidRDefault="00CF18FE" w:rsidP="008F745B">
            <w:pPr>
              <w:ind w:right="-1"/>
              <w:jc w:val="both"/>
              <w:rPr>
                <w:sz w:val="22"/>
                <w:szCs w:val="22"/>
              </w:rPr>
            </w:pPr>
            <w:r>
              <w:rPr>
                <w:sz w:val="22"/>
                <w:szCs w:val="22"/>
              </w:rPr>
              <w:t>Odstávčata</w:t>
            </w:r>
            <w:r w:rsidR="00D73FF0" w:rsidRPr="0063322A">
              <w:rPr>
                <w:sz w:val="22"/>
                <w:szCs w:val="22"/>
              </w:rPr>
              <w:t xml:space="preserve"> (8 - 25 kg </w:t>
            </w:r>
            <w:r w:rsidR="00D73FF0">
              <w:rPr>
                <w:sz w:val="22"/>
                <w:szCs w:val="22"/>
              </w:rPr>
              <w:t>živ</w:t>
            </w:r>
            <w:r w:rsidR="00D73FF0" w:rsidRPr="0063322A">
              <w:rPr>
                <w:sz w:val="22"/>
                <w:szCs w:val="22"/>
              </w:rPr>
              <w:t>é hmotnosti)</w:t>
            </w:r>
          </w:p>
        </w:tc>
        <w:tc>
          <w:tcPr>
            <w:tcW w:w="4065" w:type="dxa"/>
          </w:tcPr>
          <w:p w14:paraId="3F9BD75E" w14:textId="47361CD9" w:rsidR="00D73FF0" w:rsidRPr="0063322A" w:rsidRDefault="00D73FF0" w:rsidP="00BA1F2B">
            <w:pPr>
              <w:ind w:right="-1"/>
              <w:rPr>
                <w:sz w:val="22"/>
                <w:szCs w:val="22"/>
              </w:rPr>
            </w:pPr>
            <w:r w:rsidRPr="0063322A">
              <w:rPr>
                <w:sz w:val="22"/>
                <w:szCs w:val="22"/>
              </w:rPr>
              <w:t>intravenózní (</w:t>
            </w:r>
            <w:r w:rsidRPr="0063322A">
              <w:rPr>
                <w:i/>
                <w:sz w:val="22"/>
                <w:szCs w:val="22"/>
              </w:rPr>
              <w:t>vena cava cranialis</w:t>
            </w:r>
            <w:r w:rsidRPr="0063322A">
              <w:rPr>
                <w:sz w:val="22"/>
                <w:szCs w:val="22"/>
              </w:rPr>
              <w:t xml:space="preserve"> nebo</w:t>
            </w:r>
            <w:r w:rsidR="00BA1F2B">
              <w:rPr>
                <w:sz w:val="22"/>
                <w:szCs w:val="22"/>
              </w:rPr>
              <w:t> </w:t>
            </w:r>
            <w:r w:rsidRPr="0063322A">
              <w:rPr>
                <w:sz w:val="22"/>
                <w:szCs w:val="22"/>
              </w:rPr>
              <w:t>ušní žíla) nebo intrakardiální podání</w:t>
            </w:r>
          </w:p>
        </w:tc>
      </w:tr>
      <w:tr w:rsidR="00D73FF0" w:rsidRPr="0063322A" w14:paraId="509D2EC3" w14:textId="77777777" w:rsidTr="008F745B">
        <w:tc>
          <w:tcPr>
            <w:tcW w:w="4440" w:type="dxa"/>
          </w:tcPr>
          <w:p w14:paraId="5A028F4C" w14:textId="45E7B208" w:rsidR="00D73FF0" w:rsidRPr="0063322A" w:rsidRDefault="00CF18FE" w:rsidP="00CF18FE">
            <w:pPr>
              <w:ind w:right="-1"/>
              <w:jc w:val="both"/>
              <w:rPr>
                <w:sz w:val="22"/>
                <w:szCs w:val="22"/>
              </w:rPr>
            </w:pPr>
            <w:r>
              <w:rPr>
                <w:sz w:val="22"/>
                <w:szCs w:val="22"/>
              </w:rPr>
              <w:t>Předvýkrmová</w:t>
            </w:r>
            <w:r w:rsidR="00D73FF0" w:rsidRPr="0063322A">
              <w:rPr>
                <w:sz w:val="22"/>
                <w:szCs w:val="22"/>
              </w:rPr>
              <w:t xml:space="preserve"> pras</w:t>
            </w:r>
            <w:r>
              <w:rPr>
                <w:sz w:val="22"/>
                <w:szCs w:val="22"/>
              </w:rPr>
              <w:t>ata</w:t>
            </w:r>
            <w:r w:rsidR="00D73FF0" w:rsidRPr="0063322A">
              <w:rPr>
                <w:sz w:val="22"/>
                <w:szCs w:val="22"/>
              </w:rPr>
              <w:t xml:space="preserve"> (25 - 40 kg </w:t>
            </w:r>
            <w:r w:rsidR="00D73FF0">
              <w:rPr>
                <w:sz w:val="22"/>
                <w:szCs w:val="22"/>
              </w:rPr>
              <w:t>živ</w:t>
            </w:r>
            <w:r w:rsidR="00D73FF0" w:rsidRPr="0063322A">
              <w:rPr>
                <w:sz w:val="22"/>
                <w:szCs w:val="22"/>
              </w:rPr>
              <w:t>é hmotnosti)</w:t>
            </w:r>
          </w:p>
        </w:tc>
        <w:tc>
          <w:tcPr>
            <w:tcW w:w="4065" w:type="dxa"/>
          </w:tcPr>
          <w:p w14:paraId="2F404B80" w14:textId="75D4E4A1" w:rsidR="00D73FF0" w:rsidRPr="006744E7" w:rsidRDefault="00D73FF0" w:rsidP="00BA1F2B">
            <w:pPr>
              <w:ind w:right="-1"/>
              <w:rPr>
                <w:sz w:val="22"/>
                <w:szCs w:val="22"/>
              </w:rPr>
            </w:pPr>
            <w:r w:rsidRPr="0063322A">
              <w:rPr>
                <w:sz w:val="22"/>
                <w:szCs w:val="22"/>
              </w:rPr>
              <w:t>intravenózní (</w:t>
            </w:r>
            <w:r w:rsidRPr="0063322A">
              <w:rPr>
                <w:i/>
                <w:sz w:val="22"/>
                <w:szCs w:val="22"/>
              </w:rPr>
              <w:t>vena cava cranialis</w:t>
            </w:r>
            <w:r w:rsidRPr="0063322A">
              <w:rPr>
                <w:sz w:val="22"/>
                <w:szCs w:val="22"/>
              </w:rPr>
              <w:t xml:space="preserve"> nebo</w:t>
            </w:r>
            <w:r w:rsidR="00BA1F2B">
              <w:rPr>
                <w:sz w:val="22"/>
                <w:szCs w:val="22"/>
              </w:rPr>
              <w:t> </w:t>
            </w:r>
            <w:r w:rsidRPr="0063322A">
              <w:rPr>
                <w:sz w:val="22"/>
                <w:szCs w:val="22"/>
              </w:rPr>
              <w:t>ušní žíla) nebo intrakardiální podání</w:t>
            </w:r>
          </w:p>
        </w:tc>
      </w:tr>
      <w:tr w:rsidR="00D73FF0" w:rsidRPr="0063322A" w14:paraId="6FE9D5CA" w14:textId="77777777" w:rsidTr="008F745B">
        <w:tc>
          <w:tcPr>
            <w:tcW w:w="4440" w:type="dxa"/>
          </w:tcPr>
          <w:p w14:paraId="3917D0B2" w14:textId="17388341" w:rsidR="00D73FF0" w:rsidRPr="0063322A" w:rsidRDefault="00CF18FE" w:rsidP="00CF18FE">
            <w:pPr>
              <w:ind w:right="-1"/>
              <w:jc w:val="both"/>
              <w:rPr>
                <w:sz w:val="22"/>
                <w:szCs w:val="22"/>
              </w:rPr>
            </w:pPr>
            <w:r>
              <w:rPr>
                <w:sz w:val="22"/>
                <w:szCs w:val="22"/>
              </w:rPr>
              <w:t>Výkrmová</w:t>
            </w:r>
            <w:r w:rsidR="00D73FF0" w:rsidRPr="0063322A">
              <w:rPr>
                <w:sz w:val="22"/>
                <w:szCs w:val="22"/>
              </w:rPr>
              <w:t xml:space="preserve"> pras</w:t>
            </w:r>
            <w:r>
              <w:rPr>
                <w:sz w:val="22"/>
                <w:szCs w:val="22"/>
              </w:rPr>
              <w:t>ata</w:t>
            </w:r>
            <w:r w:rsidR="00D73FF0" w:rsidRPr="0063322A">
              <w:rPr>
                <w:sz w:val="22"/>
                <w:szCs w:val="22"/>
              </w:rPr>
              <w:t xml:space="preserve"> (40 - 100 kg </w:t>
            </w:r>
            <w:r w:rsidR="00D73FF0">
              <w:rPr>
                <w:sz w:val="22"/>
                <w:szCs w:val="22"/>
              </w:rPr>
              <w:t>živ</w:t>
            </w:r>
            <w:r w:rsidR="00D73FF0" w:rsidRPr="0063322A">
              <w:rPr>
                <w:sz w:val="22"/>
                <w:szCs w:val="22"/>
              </w:rPr>
              <w:t>é hmotnosti)</w:t>
            </w:r>
          </w:p>
        </w:tc>
        <w:tc>
          <w:tcPr>
            <w:tcW w:w="4065" w:type="dxa"/>
          </w:tcPr>
          <w:p w14:paraId="61AE1F0B" w14:textId="4516079D" w:rsidR="00D73FF0" w:rsidRPr="006744E7" w:rsidRDefault="00D73FF0" w:rsidP="00BA1F2B">
            <w:pPr>
              <w:ind w:right="-1"/>
              <w:rPr>
                <w:sz w:val="22"/>
                <w:szCs w:val="22"/>
              </w:rPr>
            </w:pPr>
            <w:r w:rsidRPr="0063322A">
              <w:rPr>
                <w:sz w:val="22"/>
                <w:szCs w:val="22"/>
              </w:rPr>
              <w:t>intravenózní (</w:t>
            </w:r>
            <w:r w:rsidRPr="0063322A">
              <w:rPr>
                <w:i/>
                <w:sz w:val="22"/>
                <w:szCs w:val="22"/>
              </w:rPr>
              <w:t>vena cava cranialis</w:t>
            </w:r>
            <w:r w:rsidRPr="0063322A">
              <w:rPr>
                <w:sz w:val="22"/>
                <w:szCs w:val="22"/>
              </w:rPr>
              <w:t xml:space="preserve"> nebo</w:t>
            </w:r>
            <w:r w:rsidR="00BA1F2B">
              <w:rPr>
                <w:sz w:val="22"/>
                <w:szCs w:val="22"/>
              </w:rPr>
              <w:t> </w:t>
            </w:r>
            <w:r w:rsidRPr="0063322A">
              <w:rPr>
                <w:sz w:val="22"/>
                <w:szCs w:val="22"/>
              </w:rPr>
              <w:t>ušní žíla) nebo intrakardiální podání</w:t>
            </w:r>
          </w:p>
        </w:tc>
      </w:tr>
      <w:tr w:rsidR="00D73FF0" w:rsidRPr="0063322A" w14:paraId="06C55D07" w14:textId="77777777" w:rsidTr="008F745B">
        <w:tc>
          <w:tcPr>
            <w:tcW w:w="4440" w:type="dxa"/>
          </w:tcPr>
          <w:p w14:paraId="78BB9CB1" w14:textId="50835323" w:rsidR="00D73FF0" w:rsidRPr="0063322A" w:rsidRDefault="00CF18FE" w:rsidP="008F745B">
            <w:pPr>
              <w:ind w:right="-1"/>
              <w:jc w:val="both"/>
              <w:rPr>
                <w:sz w:val="22"/>
                <w:szCs w:val="22"/>
              </w:rPr>
            </w:pPr>
            <w:r>
              <w:rPr>
                <w:sz w:val="22"/>
                <w:szCs w:val="22"/>
              </w:rPr>
              <w:t>Kanci</w:t>
            </w:r>
            <w:r w:rsidR="00D73FF0" w:rsidRPr="0063322A">
              <w:rPr>
                <w:sz w:val="22"/>
                <w:szCs w:val="22"/>
              </w:rPr>
              <w:t xml:space="preserve"> a prasnice (nad 100 kg </w:t>
            </w:r>
            <w:r w:rsidR="00D73FF0">
              <w:rPr>
                <w:sz w:val="22"/>
                <w:szCs w:val="22"/>
              </w:rPr>
              <w:t>živ</w:t>
            </w:r>
            <w:r w:rsidR="00D73FF0" w:rsidRPr="0063322A">
              <w:rPr>
                <w:sz w:val="22"/>
                <w:szCs w:val="22"/>
              </w:rPr>
              <w:t>é hmotnosti)</w:t>
            </w:r>
          </w:p>
        </w:tc>
        <w:tc>
          <w:tcPr>
            <w:tcW w:w="4065" w:type="dxa"/>
          </w:tcPr>
          <w:p w14:paraId="50772B4F" w14:textId="77777777" w:rsidR="00D73FF0" w:rsidRPr="0063322A" w:rsidRDefault="00D73FF0" w:rsidP="008F745B">
            <w:pPr>
              <w:ind w:right="-1"/>
              <w:rPr>
                <w:sz w:val="22"/>
                <w:szCs w:val="22"/>
              </w:rPr>
            </w:pPr>
            <w:r w:rsidRPr="0063322A">
              <w:rPr>
                <w:sz w:val="22"/>
                <w:szCs w:val="22"/>
              </w:rPr>
              <w:t>intravenózní podání (ušní žíla)</w:t>
            </w:r>
          </w:p>
        </w:tc>
      </w:tr>
    </w:tbl>
    <w:p w14:paraId="5C8E9B86" w14:textId="77777777" w:rsidR="00D73FF0" w:rsidRPr="0063322A" w:rsidRDefault="00D73FF0" w:rsidP="00D73FF0">
      <w:pPr>
        <w:ind w:right="-1"/>
        <w:rPr>
          <w:sz w:val="22"/>
          <w:szCs w:val="22"/>
        </w:rPr>
      </w:pPr>
    </w:p>
    <w:p w14:paraId="67B61576" w14:textId="77777777" w:rsidR="00D471A4" w:rsidRPr="00F64199" w:rsidRDefault="00D471A4" w:rsidP="00D471A4">
      <w:pPr>
        <w:jc w:val="both"/>
        <w:rPr>
          <w:sz w:val="22"/>
          <w:szCs w:val="22"/>
          <w:u w:val="single"/>
        </w:rPr>
      </w:pPr>
    </w:p>
    <w:p w14:paraId="4F6243DB" w14:textId="77777777" w:rsidR="00D471A4" w:rsidRDefault="00D471A4" w:rsidP="00D471A4">
      <w:pPr>
        <w:rPr>
          <w:b/>
          <w:sz w:val="22"/>
          <w:szCs w:val="22"/>
        </w:rPr>
      </w:pPr>
      <w:r w:rsidRPr="00F64199">
        <w:rPr>
          <w:b/>
          <w:sz w:val="22"/>
          <w:szCs w:val="22"/>
        </w:rPr>
        <w:t>9.</w:t>
      </w:r>
      <w:r w:rsidRPr="00F64199">
        <w:rPr>
          <w:b/>
          <w:sz w:val="22"/>
          <w:szCs w:val="22"/>
        </w:rPr>
        <w:tab/>
        <w:t>POKYNY PRO SPRÁVNÉ PODÁNÍ</w:t>
      </w:r>
    </w:p>
    <w:p w14:paraId="26664CCD" w14:textId="77777777" w:rsidR="005808CB" w:rsidRPr="00F64199" w:rsidRDefault="005808CB" w:rsidP="00D471A4">
      <w:pPr>
        <w:rPr>
          <w:sz w:val="22"/>
          <w:szCs w:val="22"/>
        </w:rPr>
      </w:pPr>
    </w:p>
    <w:p w14:paraId="07D2094B" w14:textId="182FF826" w:rsidR="00D73FF0" w:rsidRDefault="00D73FF0" w:rsidP="00ED1760">
      <w:pPr>
        <w:widowControl w:val="0"/>
        <w:suppressAutoHyphens/>
        <w:autoSpaceDE w:val="0"/>
        <w:jc w:val="both"/>
        <w:rPr>
          <w:sz w:val="22"/>
          <w:szCs w:val="22"/>
        </w:rPr>
      </w:pPr>
      <w:r w:rsidRPr="0063322A">
        <w:rPr>
          <w:sz w:val="22"/>
          <w:szCs w:val="22"/>
        </w:rPr>
        <w:t xml:space="preserve">Intravenózní </w:t>
      </w:r>
      <w:r>
        <w:rPr>
          <w:sz w:val="22"/>
          <w:szCs w:val="22"/>
        </w:rPr>
        <w:t xml:space="preserve">podání </w:t>
      </w:r>
      <w:r w:rsidRPr="0063322A">
        <w:rPr>
          <w:sz w:val="22"/>
          <w:szCs w:val="22"/>
        </w:rPr>
        <w:t xml:space="preserve">u </w:t>
      </w:r>
      <w:r>
        <w:rPr>
          <w:sz w:val="22"/>
          <w:szCs w:val="22"/>
        </w:rPr>
        <w:t>společenských</w:t>
      </w:r>
      <w:r w:rsidRPr="0063322A">
        <w:rPr>
          <w:sz w:val="22"/>
          <w:szCs w:val="22"/>
        </w:rPr>
        <w:t xml:space="preserve"> zvířat je nutné podávat stálou rychlostí (u psů 1,2 ml/s až do</w:t>
      </w:r>
      <w:r w:rsidR="00BA1F2B">
        <w:rPr>
          <w:sz w:val="22"/>
          <w:szCs w:val="22"/>
        </w:rPr>
        <w:t> </w:t>
      </w:r>
      <w:r w:rsidRPr="0063322A">
        <w:rPr>
          <w:sz w:val="22"/>
          <w:szCs w:val="22"/>
        </w:rPr>
        <w:t>stavu bezvědomí).</w:t>
      </w:r>
      <w:r>
        <w:rPr>
          <w:sz w:val="22"/>
          <w:szCs w:val="22"/>
        </w:rPr>
        <w:t xml:space="preserve"> </w:t>
      </w:r>
      <w:r w:rsidRPr="0063322A">
        <w:rPr>
          <w:sz w:val="22"/>
          <w:szCs w:val="22"/>
        </w:rPr>
        <w:t xml:space="preserve">Není-li intravenózní podání možné, přípravek </w:t>
      </w:r>
      <w:r>
        <w:rPr>
          <w:sz w:val="22"/>
          <w:szCs w:val="22"/>
        </w:rPr>
        <w:t xml:space="preserve">je </w:t>
      </w:r>
      <w:r w:rsidRPr="0063322A">
        <w:rPr>
          <w:sz w:val="22"/>
          <w:szCs w:val="22"/>
        </w:rPr>
        <w:t>podáván u psů a koček intrakardiáln</w:t>
      </w:r>
      <w:r>
        <w:rPr>
          <w:sz w:val="22"/>
          <w:szCs w:val="22"/>
        </w:rPr>
        <w:t>ě</w:t>
      </w:r>
      <w:r w:rsidRPr="0063322A">
        <w:rPr>
          <w:sz w:val="22"/>
          <w:szCs w:val="22"/>
        </w:rPr>
        <w:t>, intrapulmonárn</w:t>
      </w:r>
      <w:r>
        <w:rPr>
          <w:sz w:val="22"/>
          <w:szCs w:val="22"/>
        </w:rPr>
        <w:t>ě</w:t>
      </w:r>
      <w:r w:rsidRPr="0063322A">
        <w:rPr>
          <w:sz w:val="22"/>
          <w:szCs w:val="22"/>
        </w:rPr>
        <w:t>, intraabdomináln</w:t>
      </w:r>
      <w:r>
        <w:rPr>
          <w:sz w:val="22"/>
          <w:szCs w:val="22"/>
        </w:rPr>
        <w:t>ě</w:t>
      </w:r>
      <w:r w:rsidRPr="0063322A">
        <w:rPr>
          <w:sz w:val="22"/>
          <w:szCs w:val="22"/>
        </w:rPr>
        <w:t xml:space="preserve"> po odpovídající sedaci nebo anestezii. </w:t>
      </w:r>
    </w:p>
    <w:p w14:paraId="1FBB48D5" w14:textId="77777777" w:rsidR="00D73FF0" w:rsidRPr="0063322A" w:rsidRDefault="00D73FF0">
      <w:pPr>
        <w:widowControl w:val="0"/>
        <w:suppressAutoHyphens/>
        <w:autoSpaceDE w:val="0"/>
        <w:jc w:val="both"/>
        <w:rPr>
          <w:sz w:val="22"/>
          <w:szCs w:val="22"/>
        </w:rPr>
      </w:pPr>
    </w:p>
    <w:p w14:paraId="6EE5CAE6" w14:textId="6A2C083A" w:rsidR="00D73FF0" w:rsidRDefault="00D73FF0" w:rsidP="0016216B">
      <w:pPr>
        <w:suppressAutoHyphens/>
        <w:jc w:val="both"/>
        <w:rPr>
          <w:sz w:val="22"/>
          <w:szCs w:val="22"/>
        </w:rPr>
      </w:pPr>
      <w:r w:rsidRPr="0063322A">
        <w:rPr>
          <w:sz w:val="22"/>
          <w:szCs w:val="22"/>
        </w:rPr>
        <w:t xml:space="preserve">U </w:t>
      </w:r>
      <w:r>
        <w:rPr>
          <w:sz w:val="22"/>
          <w:szCs w:val="22"/>
        </w:rPr>
        <w:t xml:space="preserve">skotu a </w:t>
      </w:r>
      <w:r w:rsidRPr="0063322A">
        <w:rPr>
          <w:sz w:val="22"/>
          <w:szCs w:val="22"/>
        </w:rPr>
        <w:t xml:space="preserve">koní by měl být přípravek podán </w:t>
      </w:r>
      <w:r>
        <w:rPr>
          <w:sz w:val="22"/>
          <w:szCs w:val="22"/>
        </w:rPr>
        <w:t>intravenózně,</w:t>
      </w:r>
      <w:r w:rsidRPr="0063322A">
        <w:rPr>
          <w:sz w:val="22"/>
          <w:szCs w:val="22"/>
        </w:rPr>
        <w:t xml:space="preserve"> a to co nejrychleji</w:t>
      </w:r>
      <w:r>
        <w:rPr>
          <w:sz w:val="22"/>
          <w:szCs w:val="22"/>
        </w:rPr>
        <w:t xml:space="preserve"> pod tlakem</w:t>
      </w:r>
      <w:r w:rsidRPr="0063322A">
        <w:rPr>
          <w:sz w:val="22"/>
          <w:szCs w:val="22"/>
        </w:rPr>
        <w:t>.</w:t>
      </w:r>
      <w:r w:rsidRPr="00D73FF0">
        <w:rPr>
          <w:sz w:val="22"/>
          <w:szCs w:val="22"/>
        </w:rPr>
        <w:t xml:space="preserve"> </w:t>
      </w:r>
      <w:r w:rsidRPr="00F64199">
        <w:rPr>
          <w:sz w:val="22"/>
          <w:szCs w:val="22"/>
        </w:rPr>
        <w:t>U skotu a</w:t>
      </w:r>
      <w:r w:rsidR="00582417">
        <w:rPr>
          <w:sz w:val="22"/>
          <w:szCs w:val="22"/>
        </w:rPr>
        <w:t> </w:t>
      </w:r>
      <w:r w:rsidRPr="00F64199">
        <w:rPr>
          <w:sz w:val="22"/>
          <w:szCs w:val="22"/>
        </w:rPr>
        <w:t>koní se pro tyto účely doporučuje použití katetru.</w:t>
      </w:r>
      <w:r>
        <w:rPr>
          <w:sz w:val="22"/>
          <w:szCs w:val="22"/>
        </w:rPr>
        <w:t xml:space="preserve"> </w:t>
      </w:r>
      <w:r w:rsidRPr="0063322A">
        <w:rPr>
          <w:sz w:val="22"/>
          <w:szCs w:val="22"/>
        </w:rPr>
        <w:t>U skotu může přípravek v ojedinělých případech</w:t>
      </w:r>
      <w:r>
        <w:rPr>
          <w:sz w:val="22"/>
          <w:szCs w:val="22"/>
        </w:rPr>
        <w:t>,</w:t>
      </w:r>
      <w:r w:rsidRPr="0063322A">
        <w:rPr>
          <w:sz w:val="22"/>
          <w:szCs w:val="22"/>
        </w:rPr>
        <w:t xml:space="preserve"> zejména </w:t>
      </w:r>
      <w:r>
        <w:rPr>
          <w:sz w:val="22"/>
          <w:szCs w:val="22"/>
        </w:rPr>
        <w:t> při podání</w:t>
      </w:r>
      <w:r w:rsidRPr="0063322A">
        <w:rPr>
          <w:sz w:val="22"/>
          <w:szCs w:val="22"/>
        </w:rPr>
        <w:t xml:space="preserve"> nedostatečné dáv</w:t>
      </w:r>
      <w:r>
        <w:rPr>
          <w:sz w:val="22"/>
          <w:szCs w:val="22"/>
        </w:rPr>
        <w:t>ky,</w:t>
      </w:r>
      <w:r w:rsidRPr="0063322A">
        <w:rPr>
          <w:sz w:val="22"/>
          <w:szCs w:val="22"/>
        </w:rPr>
        <w:t xml:space="preserve"> způsobit lapání po dechu. </w:t>
      </w:r>
      <w:r w:rsidRPr="00F64199">
        <w:rPr>
          <w:sz w:val="22"/>
          <w:szCs w:val="22"/>
        </w:rPr>
        <w:t>Dodržujte striktní intravenózní podání. Při podání perivaskulárně dochází ke snížení účinku.</w:t>
      </w:r>
    </w:p>
    <w:p w14:paraId="00A5CA40" w14:textId="77777777" w:rsidR="00D73FF0" w:rsidRDefault="00D73FF0" w:rsidP="0016216B">
      <w:pPr>
        <w:suppressAutoHyphens/>
        <w:jc w:val="both"/>
        <w:rPr>
          <w:sz w:val="22"/>
          <w:szCs w:val="22"/>
        </w:rPr>
      </w:pPr>
    </w:p>
    <w:p w14:paraId="734CB3EB" w14:textId="1B8604D5" w:rsidR="00D73FF0" w:rsidRDefault="00D73FF0" w:rsidP="00ED1760">
      <w:pPr>
        <w:widowControl w:val="0"/>
        <w:suppressAutoHyphens/>
        <w:autoSpaceDE w:val="0"/>
        <w:jc w:val="both"/>
        <w:rPr>
          <w:sz w:val="22"/>
          <w:szCs w:val="22"/>
        </w:rPr>
      </w:pPr>
      <w:r>
        <w:rPr>
          <w:sz w:val="22"/>
          <w:szCs w:val="22"/>
        </w:rPr>
        <w:t>U</w:t>
      </w:r>
      <w:r w:rsidRPr="0063322A">
        <w:rPr>
          <w:sz w:val="22"/>
          <w:szCs w:val="22"/>
        </w:rPr>
        <w:t xml:space="preserve"> ptáků </w:t>
      </w:r>
      <w:r>
        <w:rPr>
          <w:sz w:val="22"/>
          <w:szCs w:val="22"/>
        </w:rPr>
        <w:t xml:space="preserve">je </w:t>
      </w:r>
      <w:r w:rsidRPr="0063322A">
        <w:rPr>
          <w:sz w:val="22"/>
          <w:szCs w:val="22"/>
        </w:rPr>
        <w:t xml:space="preserve">intravenózní podání </w:t>
      </w:r>
      <w:r>
        <w:rPr>
          <w:sz w:val="22"/>
          <w:szCs w:val="22"/>
        </w:rPr>
        <w:t xml:space="preserve">způsobem </w:t>
      </w:r>
      <w:r w:rsidRPr="0063322A">
        <w:rPr>
          <w:sz w:val="22"/>
          <w:szCs w:val="22"/>
        </w:rPr>
        <w:t xml:space="preserve">první volby. Nelze-li provést punkci žíly, např. z důvodu kolapsu kardiovaskulárního systému nebo hematomu, </w:t>
      </w:r>
      <w:r>
        <w:rPr>
          <w:sz w:val="22"/>
          <w:szCs w:val="22"/>
        </w:rPr>
        <w:t>přípravek může</w:t>
      </w:r>
      <w:r w:rsidRPr="0063322A">
        <w:rPr>
          <w:sz w:val="22"/>
          <w:szCs w:val="22"/>
        </w:rPr>
        <w:t xml:space="preserve"> být podán intrapulmonárn</w:t>
      </w:r>
      <w:r>
        <w:rPr>
          <w:sz w:val="22"/>
          <w:szCs w:val="22"/>
        </w:rPr>
        <w:t>ě</w:t>
      </w:r>
      <w:r w:rsidRPr="0063322A">
        <w:rPr>
          <w:sz w:val="22"/>
          <w:szCs w:val="22"/>
        </w:rPr>
        <w:t>. Provádí se zavedením kanyly v dorzoventrálním směru na levé nebo pravé straně páteře do plíce (3.</w:t>
      </w:r>
      <w:r w:rsidR="00BA1F2B">
        <w:rPr>
          <w:sz w:val="22"/>
          <w:szCs w:val="22"/>
        </w:rPr>
        <w:t> </w:t>
      </w:r>
      <w:r w:rsidRPr="0063322A">
        <w:rPr>
          <w:sz w:val="22"/>
          <w:szCs w:val="22"/>
        </w:rPr>
        <w:t>nebo 4. mezižeberní segment mezi páteří a lopatkou).</w:t>
      </w:r>
      <w:r>
        <w:rPr>
          <w:sz w:val="22"/>
          <w:szCs w:val="22"/>
        </w:rPr>
        <w:t xml:space="preserve"> </w:t>
      </w:r>
    </w:p>
    <w:p w14:paraId="609F20D4" w14:textId="77777777" w:rsidR="00D73FF0" w:rsidRDefault="00D73FF0" w:rsidP="0016216B">
      <w:pPr>
        <w:suppressAutoHyphens/>
        <w:jc w:val="both"/>
        <w:rPr>
          <w:sz w:val="22"/>
          <w:szCs w:val="22"/>
        </w:rPr>
      </w:pPr>
    </w:p>
    <w:p w14:paraId="53BB3DF4" w14:textId="77777777" w:rsidR="00D73FF0" w:rsidRPr="0063322A" w:rsidRDefault="00D73FF0" w:rsidP="0016216B">
      <w:pPr>
        <w:suppressAutoHyphens/>
        <w:jc w:val="both"/>
        <w:rPr>
          <w:sz w:val="22"/>
          <w:szCs w:val="22"/>
        </w:rPr>
      </w:pPr>
      <w:r w:rsidRPr="0063322A">
        <w:rPr>
          <w:sz w:val="22"/>
          <w:szCs w:val="22"/>
        </w:rPr>
        <w:t xml:space="preserve">U prasat v závislosti na věku a </w:t>
      </w:r>
      <w:r>
        <w:rPr>
          <w:sz w:val="22"/>
          <w:szCs w:val="22"/>
        </w:rPr>
        <w:t>živ</w:t>
      </w:r>
      <w:r w:rsidRPr="0063322A">
        <w:rPr>
          <w:sz w:val="22"/>
          <w:szCs w:val="22"/>
        </w:rPr>
        <w:t xml:space="preserve">é hmotnosti </w:t>
      </w:r>
      <w:r>
        <w:rPr>
          <w:sz w:val="22"/>
          <w:szCs w:val="22"/>
        </w:rPr>
        <w:t xml:space="preserve">je podání </w:t>
      </w:r>
      <w:r w:rsidRPr="0063322A">
        <w:rPr>
          <w:sz w:val="22"/>
          <w:szCs w:val="22"/>
        </w:rPr>
        <w:t>intravenózní cestou</w:t>
      </w:r>
      <w:r>
        <w:rPr>
          <w:sz w:val="22"/>
          <w:szCs w:val="22"/>
        </w:rPr>
        <w:t xml:space="preserve">, </w:t>
      </w:r>
      <w:r w:rsidRPr="0063322A">
        <w:rPr>
          <w:sz w:val="22"/>
          <w:szCs w:val="22"/>
        </w:rPr>
        <w:t>co nejrychleji pod tlakem</w:t>
      </w:r>
      <w:r>
        <w:rPr>
          <w:sz w:val="22"/>
          <w:szCs w:val="22"/>
        </w:rPr>
        <w:t xml:space="preserve"> do</w:t>
      </w:r>
      <w:r w:rsidRPr="0063322A">
        <w:rPr>
          <w:sz w:val="22"/>
          <w:szCs w:val="22"/>
        </w:rPr>
        <w:t xml:space="preserve"> </w:t>
      </w:r>
      <w:r w:rsidRPr="0063322A">
        <w:rPr>
          <w:i/>
          <w:sz w:val="22"/>
          <w:szCs w:val="22"/>
        </w:rPr>
        <w:t>vena cava cranialis</w:t>
      </w:r>
      <w:r w:rsidRPr="0063322A">
        <w:rPr>
          <w:sz w:val="22"/>
          <w:szCs w:val="22"/>
        </w:rPr>
        <w:t xml:space="preserve"> nebo ušní žíl</w:t>
      </w:r>
      <w:r>
        <w:rPr>
          <w:sz w:val="22"/>
          <w:szCs w:val="22"/>
        </w:rPr>
        <w:t>y</w:t>
      </w:r>
      <w:r w:rsidRPr="0063322A">
        <w:rPr>
          <w:sz w:val="22"/>
          <w:szCs w:val="22"/>
        </w:rPr>
        <w:t xml:space="preserve"> nebo intrakardiální cestou (viz tabulka dávkování). </w:t>
      </w:r>
    </w:p>
    <w:p w14:paraId="5144AAC8" w14:textId="36449B26" w:rsidR="00D73FF0" w:rsidRPr="0063322A" w:rsidRDefault="00D73FF0" w:rsidP="0016216B">
      <w:pPr>
        <w:suppressAutoHyphens/>
        <w:jc w:val="both"/>
        <w:rPr>
          <w:sz w:val="22"/>
          <w:szCs w:val="22"/>
        </w:rPr>
      </w:pPr>
      <w:r w:rsidRPr="0063322A">
        <w:rPr>
          <w:sz w:val="22"/>
          <w:szCs w:val="22"/>
        </w:rPr>
        <w:t xml:space="preserve">Délka </w:t>
      </w:r>
      <w:r>
        <w:rPr>
          <w:sz w:val="22"/>
          <w:szCs w:val="22"/>
        </w:rPr>
        <w:t xml:space="preserve">injekčního </w:t>
      </w:r>
      <w:r w:rsidRPr="0063322A">
        <w:rPr>
          <w:sz w:val="22"/>
          <w:szCs w:val="22"/>
        </w:rPr>
        <w:t xml:space="preserve">podání se může pohybovat od 1 s (u selat) do 38 s (u kanců &gt; 100 kg </w:t>
      </w:r>
      <w:r>
        <w:rPr>
          <w:sz w:val="22"/>
          <w:szCs w:val="22"/>
        </w:rPr>
        <w:t xml:space="preserve"> ž. hm.</w:t>
      </w:r>
      <w:r w:rsidRPr="0063322A">
        <w:rPr>
          <w:sz w:val="22"/>
          <w:szCs w:val="22"/>
        </w:rPr>
        <w:t>) v</w:t>
      </w:r>
      <w:r w:rsidR="00582417">
        <w:rPr>
          <w:sz w:val="22"/>
          <w:szCs w:val="22"/>
        </w:rPr>
        <w:t> </w:t>
      </w:r>
      <w:r w:rsidRPr="0063322A">
        <w:rPr>
          <w:sz w:val="22"/>
          <w:szCs w:val="22"/>
        </w:rPr>
        <w:t xml:space="preserve">závislosti na věku a </w:t>
      </w:r>
      <w:r>
        <w:rPr>
          <w:sz w:val="22"/>
          <w:szCs w:val="22"/>
        </w:rPr>
        <w:t>živ</w:t>
      </w:r>
      <w:r w:rsidRPr="0063322A">
        <w:rPr>
          <w:sz w:val="22"/>
          <w:szCs w:val="22"/>
        </w:rPr>
        <w:t xml:space="preserve">é hmotnosti prasete. </w:t>
      </w:r>
    </w:p>
    <w:p w14:paraId="52589F22" w14:textId="77777777" w:rsidR="00D73FF0" w:rsidRPr="0063322A" w:rsidRDefault="00D73FF0" w:rsidP="0016216B">
      <w:pPr>
        <w:suppressAutoHyphens/>
        <w:jc w:val="both"/>
        <w:rPr>
          <w:sz w:val="22"/>
          <w:szCs w:val="22"/>
        </w:rPr>
      </w:pPr>
    </w:p>
    <w:p w14:paraId="315DFC95" w14:textId="77777777" w:rsidR="00CF18FE" w:rsidRPr="00D73FF0" w:rsidRDefault="00CF18FE" w:rsidP="00CF18FE">
      <w:pPr>
        <w:jc w:val="both"/>
        <w:outlineLvl w:val="3"/>
        <w:rPr>
          <w:b/>
          <w:bCs/>
          <w:sz w:val="22"/>
          <w:szCs w:val="22"/>
        </w:rPr>
      </w:pPr>
      <w:r>
        <w:rPr>
          <w:sz w:val="22"/>
          <w:szCs w:val="22"/>
        </w:rPr>
        <w:lastRenderedPageBreak/>
        <w:t>U poikilotermních živočichů podání do tělní dutiny, s výjimkou podání do coelomu u želv. U želv je preferováno intravenózní podání.</w:t>
      </w:r>
    </w:p>
    <w:p w14:paraId="7DAFBBFD" w14:textId="77777777" w:rsidR="00CF18FE" w:rsidRDefault="00CF18FE" w:rsidP="0016216B">
      <w:pPr>
        <w:suppressAutoHyphens/>
        <w:jc w:val="both"/>
        <w:rPr>
          <w:sz w:val="22"/>
          <w:szCs w:val="22"/>
        </w:rPr>
      </w:pPr>
    </w:p>
    <w:p w14:paraId="2CDDCB72" w14:textId="77777777" w:rsidR="00D73FF0" w:rsidRDefault="00D73FF0" w:rsidP="0016216B">
      <w:pPr>
        <w:suppressAutoHyphens/>
        <w:jc w:val="both"/>
        <w:rPr>
          <w:sz w:val="22"/>
          <w:szCs w:val="22"/>
        </w:rPr>
      </w:pPr>
      <w:r w:rsidRPr="0063322A">
        <w:rPr>
          <w:sz w:val="22"/>
          <w:szCs w:val="22"/>
        </w:rPr>
        <w:t>Pro sna</w:t>
      </w:r>
      <w:r>
        <w:rPr>
          <w:sz w:val="22"/>
          <w:szCs w:val="22"/>
        </w:rPr>
        <w:t>zší</w:t>
      </w:r>
      <w:r w:rsidRPr="0063322A">
        <w:rPr>
          <w:sz w:val="22"/>
          <w:szCs w:val="22"/>
        </w:rPr>
        <w:t xml:space="preserve"> </w:t>
      </w:r>
      <w:r>
        <w:rPr>
          <w:sz w:val="22"/>
          <w:szCs w:val="22"/>
        </w:rPr>
        <w:t xml:space="preserve">podání u malých druhů zvířat </w:t>
      </w:r>
      <w:r w:rsidRPr="0063322A">
        <w:rPr>
          <w:sz w:val="22"/>
          <w:szCs w:val="22"/>
        </w:rPr>
        <w:t>a méně bolestivé podání do ušní žíly</w:t>
      </w:r>
      <w:r>
        <w:rPr>
          <w:sz w:val="22"/>
          <w:szCs w:val="22"/>
        </w:rPr>
        <w:t xml:space="preserve"> u prasat</w:t>
      </w:r>
      <w:r w:rsidRPr="0063322A">
        <w:rPr>
          <w:sz w:val="22"/>
          <w:szCs w:val="22"/>
        </w:rPr>
        <w:t xml:space="preserve"> se má přípravek zředit izotonickým roztokem chloridu sodného (0,9% roztok) v poměru 1:1.</w:t>
      </w:r>
    </w:p>
    <w:p w14:paraId="53D2A410" w14:textId="77777777" w:rsidR="00D73FF0" w:rsidRDefault="00D73FF0" w:rsidP="0016216B">
      <w:pPr>
        <w:suppressAutoHyphens/>
        <w:jc w:val="both"/>
        <w:rPr>
          <w:sz w:val="22"/>
          <w:szCs w:val="22"/>
        </w:rPr>
      </w:pPr>
    </w:p>
    <w:p w14:paraId="52ECD6DF" w14:textId="2E3F734B" w:rsidR="00D471A4" w:rsidRPr="00F64199" w:rsidRDefault="00D471A4" w:rsidP="00ED1760">
      <w:pPr>
        <w:jc w:val="both"/>
        <w:rPr>
          <w:sz w:val="22"/>
          <w:szCs w:val="22"/>
        </w:rPr>
      </w:pPr>
      <w:r w:rsidRPr="00F64199">
        <w:rPr>
          <w:sz w:val="22"/>
          <w:szCs w:val="22"/>
        </w:rPr>
        <w:t>Po podání zkontrolujte životní funkc</w:t>
      </w:r>
      <w:r w:rsidR="00D73FF0">
        <w:rPr>
          <w:sz w:val="22"/>
          <w:szCs w:val="22"/>
        </w:rPr>
        <w:t>e</w:t>
      </w:r>
      <w:r w:rsidRPr="00F64199">
        <w:rPr>
          <w:sz w:val="22"/>
          <w:szCs w:val="22"/>
        </w:rPr>
        <w:t xml:space="preserve">. V případě potřeby podání opakujte. </w:t>
      </w:r>
    </w:p>
    <w:p w14:paraId="62FC19C7" w14:textId="42AD9218" w:rsidR="00D471A4" w:rsidRPr="00F64199" w:rsidRDefault="00D471A4">
      <w:pPr>
        <w:jc w:val="both"/>
        <w:rPr>
          <w:sz w:val="22"/>
          <w:szCs w:val="22"/>
        </w:rPr>
      </w:pPr>
    </w:p>
    <w:p w14:paraId="7C75CF4A" w14:textId="7AE42FC5" w:rsidR="00D73FF0" w:rsidRPr="00F64199" w:rsidRDefault="00D73FF0">
      <w:pPr>
        <w:jc w:val="both"/>
        <w:rPr>
          <w:sz w:val="22"/>
          <w:szCs w:val="22"/>
        </w:rPr>
      </w:pPr>
    </w:p>
    <w:p w14:paraId="4E9E4E95" w14:textId="77777777" w:rsidR="00D471A4" w:rsidRDefault="00D471A4">
      <w:pPr>
        <w:jc w:val="both"/>
        <w:rPr>
          <w:sz w:val="22"/>
          <w:szCs w:val="22"/>
        </w:rPr>
      </w:pPr>
      <w:r w:rsidRPr="00F64199">
        <w:rPr>
          <w:sz w:val="22"/>
          <w:szCs w:val="22"/>
        </w:rPr>
        <w:t>Zátku lze propíchnout maximálně 50krát.</w:t>
      </w:r>
    </w:p>
    <w:p w14:paraId="2A3977FB" w14:textId="77777777" w:rsidR="00D471A4" w:rsidRPr="00F64199" w:rsidRDefault="00D471A4">
      <w:pPr>
        <w:jc w:val="both"/>
        <w:rPr>
          <w:sz w:val="22"/>
          <w:szCs w:val="22"/>
        </w:rPr>
      </w:pPr>
    </w:p>
    <w:p w14:paraId="79BCA774" w14:textId="77777777" w:rsidR="00D471A4" w:rsidRDefault="00D471A4" w:rsidP="0016216B">
      <w:pPr>
        <w:jc w:val="both"/>
        <w:rPr>
          <w:b/>
          <w:sz w:val="22"/>
          <w:szCs w:val="22"/>
        </w:rPr>
      </w:pPr>
      <w:r w:rsidRPr="00F64199">
        <w:rPr>
          <w:b/>
          <w:sz w:val="22"/>
          <w:szCs w:val="22"/>
        </w:rPr>
        <w:t>10.</w:t>
      </w:r>
      <w:r w:rsidRPr="00F64199">
        <w:rPr>
          <w:b/>
          <w:sz w:val="22"/>
          <w:szCs w:val="22"/>
        </w:rPr>
        <w:tab/>
        <w:t>OCHRANNÁ</w:t>
      </w:r>
      <w:r w:rsidR="00750007">
        <w:rPr>
          <w:b/>
          <w:sz w:val="22"/>
          <w:szCs w:val="22"/>
        </w:rPr>
        <w:t>(É)</w:t>
      </w:r>
      <w:r w:rsidRPr="00F64199">
        <w:rPr>
          <w:b/>
          <w:sz w:val="22"/>
          <w:szCs w:val="22"/>
        </w:rPr>
        <w:t xml:space="preserve"> LHŮTA</w:t>
      </w:r>
      <w:r w:rsidR="00750007">
        <w:rPr>
          <w:b/>
          <w:sz w:val="22"/>
          <w:szCs w:val="22"/>
        </w:rPr>
        <w:t>(Y)</w:t>
      </w:r>
      <w:r w:rsidRPr="00F64199">
        <w:rPr>
          <w:b/>
          <w:sz w:val="22"/>
          <w:szCs w:val="22"/>
        </w:rPr>
        <w:t xml:space="preserve"> </w:t>
      </w:r>
    </w:p>
    <w:p w14:paraId="5336D52B" w14:textId="77777777" w:rsidR="007D3FAC" w:rsidRPr="00F64199" w:rsidRDefault="007D3FAC" w:rsidP="0016216B">
      <w:pPr>
        <w:jc w:val="both"/>
        <w:rPr>
          <w:b/>
          <w:sz w:val="22"/>
          <w:szCs w:val="22"/>
        </w:rPr>
      </w:pPr>
    </w:p>
    <w:p w14:paraId="55711416" w14:textId="1649DDA4" w:rsidR="00D471A4" w:rsidRPr="00F64199" w:rsidRDefault="008159C7" w:rsidP="00ED1760">
      <w:pPr>
        <w:tabs>
          <w:tab w:val="left" w:pos="708"/>
        </w:tabs>
        <w:jc w:val="both"/>
        <w:rPr>
          <w:sz w:val="22"/>
          <w:szCs w:val="22"/>
        </w:rPr>
      </w:pPr>
      <w:r w:rsidRPr="000561D4">
        <w:rPr>
          <w:sz w:val="22"/>
          <w:szCs w:val="22"/>
        </w:rPr>
        <w:t>Nepoužívat u zvířat určených pro lidskou spotřebu.</w:t>
      </w:r>
      <w:r w:rsidR="00D471A4" w:rsidRPr="00F64199">
        <w:rPr>
          <w:sz w:val="22"/>
          <w:szCs w:val="22"/>
        </w:rPr>
        <w:t xml:space="preserve"> Je třeba učinit patřičná opatření, aby těla a vedlejší živočišné produkty utracených zvířat, kterým byl podán tento přípravek, nevstoupily do potravinového řetězce a nebyly použity k</w:t>
      </w:r>
      <w:r w:rsidR="001B608E">
        <w:rPr>
          <w:sz w:val="22"/>
          <w:szCs w:val="22"/>
        </w:rPr>
        <w:t xml:space="preserve"> lidské spotřebě.</w:t>
      </w:r>
    </w:p>
    <w:p w14:paraId="6E1C6F13" w14:textId="77777777" w:rsidR="00D471A4" w:rsidRPr="00F64199" w:rsidRDefault="00D471A4">
      <w:pPr>
        <w:tabs>
          <w:tab w:val="left" w:pos="708"/>
        </w:tabs>
        <w:jc w:val="both"/>
        <w:rPr>
          <w:sz w:val="22"/>
          <w:szCs w:val="22"/>
        </w:rPr>
      </w:pPr>
    </w:p>
    <w:p w14:paraId="53DE18FF" w14:textId="77777777" w:rsidR="00D471A4" w:rsidRDefault="00D471A4" w:rsidP="0016216B">
      <w:pPr>
        <w:jc w:val="both"/>
        <w:rPr>
          <w:b/>
          <w:sz w:val="22"/>
          <w:szCs w:val="22"/>
        </w:rPr>
      </w:pPr>
      <w:r w:rsidRPr="00F64199">
        <w:rPr>
          <w:b/>
          <w:sz w:val="22"/>
          <w:szCs w:val="22"/>
        </w:rPr>
        <w:t>11.</w:t>
      </w:r>
      <w:r w:rsidRPr="00F64199">
        <w:rPr>
          <w:b/>
          <w:sz w:val="22"/>
          <w:szCs w:val="22"/>
        </w:rPr>
        <w:tab/>
        <w:t>ZVLÁŠTNÍ OPATŘENÍ PRO UCHOVÁVÁNÍ</w:t>
      </w:r>
    </w:p>
    <w:p w14:paraId="799CB30D" w14:textId="77777777" w:rsidR="007D3FAC" w:rsidRPr="00F64199" w:rsidRDefault="007D3FAC" w:rsidP="0016216B">
      <w:pPr>
        <w:jc w:val="both"/>
        <w:rPr>
          <w:sz w:val="22"/>
          <w:szCs w:val="22"/>
        </w:rPr>
      </w:pPr>
    </w:p>
    <w:p w14:paraId="0A71DA76" w14:textId="77777777" w:rsidR="00D471A4" w:rsidRPr="00F64199" w:rsidRDefault="00D471A4" w:rsidP="00ED1760">
      <w:pPr>
        <w:jc w:val="both"/>
        <w:rPr>
          <w:sz w:val="22"/>
          <w:szCs w:val="22"/>
        </w:rPr>
      </w:pPr>
      <w:r w:rsidRPr="00F64199">
        <w:rPr>
          <w:sz w:val="22"/>
          <w:szCs w:val="22"/>
        </w:rPr>
        <w:t>Uchovávat mimo do</w:t>
      </w:r>
      <w:r w:rsidR="00477A0E">
        <w:rPr>
          <w:sz w:val="22"/>
          <w:szCs w:val="22"/>
        </w:rPr>
        <w:t>hled a do</w:t>
      </w:r>
      <w:r w:rsidRPr="00F64199">
        <w:rPr>
          <w:sz w:val="22"/>
          <w:szCs w:val="22"/>
        </w:rPr>
        <w:t>sah dětí.</w:t>
      </w:r>
    </w:p>
    <w:p w14:paraId="4CD6A2F4" w14:textId="77777777" w:rsidR="00D471A4" w:rsidRPr="00F64199" w:rsidRDefault="00D471A4">
      <w:pPr>
        <w:jc w:val="both"/>
        <w:rPr>
          <w:sz w:val="22"/>
          <w:szCs w:val="22"/>
        </w:rPr>
      </w:pPr>
      <w:r w:rsidRPr="00F64199">
        <w:rPr>
          <w:sz w:val="22"/>
          <w:szCs w:val="22"/>
        </w:rPr>
        <w:t>Tento veterinární léčivý přípravek nevyžaduje žádné zvláštní teplotní podmínky uchovávání.</w:t>
      </w:r>
    </w:p>
    <w:p w14:paraId="61364C6C" w14:textId="77777777" w:rsidR="00D471A4" w:rsidRPr="00F64199" w:rsidRDefault="00D471A4">
      <w:pPr>
        <w:jc w:val="both"/>
        <w:rPr>
          <w:sz w:val="22"/>
          <w:szCs w:val="22"/>
        </w:rPr>
      </w:pPr>
      <w:r w:rsidRPr="00F64199">
        <w:rPr>
          <w:sz w:val="22"/>
          <w:szCs w:val="22"/>
        </w:rPr>
        <w:t>Uchovávejte lahvičku v krabičce, aby byla chráněna před světlem.</w:t>
      </w:r>
    </w:p>
    <w:p w14:paraId="7B1EA6A5" w14:textId="77777777" w:rsidR="00D471A4" w:rsidRPr="00F64199" w:rsidRDefault="00D471A4">
      <w:pPr>
        <w:jc w:val="both"/>
        <w:rPr>
          <w:sz w:val="22"/>
          <w:szCs w:val="22"/>
        </w:rPr>
      </w:pPr>
      <w:r w:rsidRPr="00F64199">
        <w:rPr>
          <w:sz w:val="22"/>
          <w:szCs w:val="22"/>
        </w:rPr>
        <w:t xml:space="preserve">Nepoužívejte </w:t>
      </w:r>
      <w:r w:rsidR="006B7A93">
        <w:rPr>
          <w:sz w:val="22"/>
          <w:szCs w:val="22"/>
        </w:rPr>
        <w:t xml:space="preserve">tento veterinární léčivý přípravek </w:t>
      </w:r>
      <w:r w:rsidRPr="00F64199">
        <w:rPr>
          <w:sz w:val="22"/>
          <w:szCs w:val="22"/>
        </w:rPr>
        <w:t>po uplynutí doby použitelnosti uvedené na obalu.</w:t>
      </w:r>
    </w:p>
    <w:p w14:paraId="61EBF8DB" w14:textId="77777777" w:rsidR="00D471A4" w:rsidRPr="00F64199" w:rsidRDefault="00D471A4">
      <w:pPr>
        <w:jc w:val="both"/>
        <w:rPr>
          <w:sz w:val="22"/>
          <w:szCs w:val="22"/>
        </w:rPr>
      </w:pPr>
      <w:r w:rsidRPr="00F64199">
        <w:rPr>
          <w:sz w:val="22"/>
          <w:szCs w:val="22"/>
        </w:rPr>
        <w:t>Doba použitelnosti po prvním otevření vnitřního obalu: 3 měsíce.</w:t>
      </w:r>
    </w:p>
    <w:p w14:paraId="34B6DF92" w14:textId="77777777" w:rsidR="00D471A4" w:rsidRDefault="00D471A4" w:rsidP="00D471A4">
      <w:pPr>
        <w:jc w:val="both"/>
        <w:rPr>
          <w:b/>
          <w:sz w:val="22"/>
          <w:szCs w:val="22"/>
        </w:rPr>
      </w:pPr>
    </w:p>
    <w:p w14:paraId="66ABC119" w14:textId="77777777" w:rsidR="00D471A4" w:rsidRDefault="00D471A4" w:rsidP="00D471A4">
      <w:pPr>
        <w:jc w:val="both"/>
        <w:rPr>
          <w:b/>
          <w:sz w:val="22"/>
          <w:szCs w:val="22"/>
        </w:rPr>
      </w:pPr>
      <w:r w:rsidRPr="00F64199">
        <w:rPr>
          <w:b/>
          <w:sz w:val="22"/>
          <w:szCs w:val="22"/>
        </w:rPr>
        <w:t>12.</w:t>
      </w:r>
      <w:r w:rsidRPr="00F64199">
        <w:rPr>
          <w:b/>
          <w:sz w:val="22"/>
          <w:szCs w:val="22"/>
        </w:rPr>
        <w:tab/>
        <w:t>ZVLÁŠTNÍ UPOZORNĚNÍ</w:t>
      </w:r>
    </w:p>
    <w:p w14:paraId="0B8DF129" w14:textId="77777777" w:rsidR="007D3FAC" w:rsidRPr="00F64199" w:rsidRDefault="007D3FAC" w:rsidP="00D471A4">
      <w:pPr>
        <w:jc w:val="both"/>
        <w:rPr>
          <w:b/>
          <w:sz w:val="22"/>
          <w:szCs w:val="22"/>
        </w:rPr>
      </w:pPr>
    </w:p>
    <w:p w14:paraId="661BCCD9" w14:textId="77777777" w:rsidR="00D73FF0" w:rsidRDefault="00D73FF0" w:rsidP="007D3FAC">
      <w:pPr>
        <w:keepNext/>
        <w:spacing w:after="120"/>
        <w:jc w:val="both"/>
        <w:rPr>
          <w:sz w:val="22"/>
          <w:szCs w:val="22"/>
          <w:u w:val="single"/>
        </w:rPr>
      </w:pPr>
      <w:r>
        <w:rPr>
          <w:sz w:val="22"/>
          <w:szCs w:val="22"/>
          <w:u w:val="single"/>
        </w:rPr>
        <w:t>Zvláštní upozornění pro každý cílový druh:</w:t>
      </w:r>
    </w:p>
    <w:p w14:paraId="538E88D5" w14:textId="77777777" w:rsidR="00D73FF0" w:rsidRPr="007A4509" w:rsidRDefault="00D73FF0" w:rsidP="00D73FF0">
      <w:pPr>
        <w:jc w:val="both"/>
        <w:rPr>
          <w:sz w:val="22"/>
          <w:szCs w:val="22"/>
        </w:rPr>
      </w:pPr>
      <w:r w:rsidRPr="007A4509">
        <w:rPr>
          <w:sz w:val="22"/>
          <w:szCs w:val="22"/>
        </w:rPr>
        <w:t xml:space="preserve">U utraceného zvířete se přesvědčte o vyvolané mozkové smrti (zástava dechu a srdeční činnosti, vymizení korneálního a pupilárního reflexu, resp. absolutní areflexie). </w:t>
      </w:r>
    </w:p>
    <w:p w14:paraId="1E2431B7" w14:textId="2AC8A2A3" w:rsidR="00D73FF0" w:rsidRPr="00D73FF0" w:rsidRDefault="00D73FF0" w:rsidP="00D73FF0">
      <w:pPr>
        <w:widowControl w:val="0"/>
        <w:autoSpaceDE w:val="0"/>
        <w:autoSpaceDN w:val="0"/>
        <w:adjustRightInd w:val="0"/>
        <w:jc w:val="both"/>
        <w:rPr>
          <w:sz w:val="22"/>
          <w:szCs w:val="22"/>
        </w:rPr>
      </w:pPr>
      <w:r>
        <w:rPr>
          <w:sz w:val="22"/>
          <w:szCs w:val="22"/>
          <w:u w:val="single"/>
        </w:rPr>
        <w:t>P</w:t>
      </w:r>
      <w:r w:rsidRPr="007A4509">
        <w:rPr>
          <w:sz w:val="22"/>
          <w:szCs w:val="22"/>
          <w:u w:val="single"/>
        </w:rPr>
        <w:t>rasat</w:t>
      </w:r>
      <w:r>
        <w:rPr>
          <w:sz w:val="22"/>
          <w:szCs w:val="22"/>
          <w:u w:val="single"/>
        </w:rPr>
        <w:t>a</w:t>
      </w:r>
      <w:r w:rsidRPr="007A4509">
        <w:rPr>
          <w:sz w:val="22"/>
          <w:szCs w:val="22"/>
        </w:rPr>
        <w:t>:</w:t>
      </w:r>
      <w:r w:rsidRPr="007A4509">
        <w:rPr>
          <w:i/>
          <w:sz w:val="22"/>
          <w:szCs w:val="22"/>
        </w:rPr>
        <w:t xml:space="preserve"> </w:t>
      </w:r>
      <w:r w:rsidRPr="00D73FF0">
        <w:rPr>
          <w:sz w:val="22"/>
          <w:szCs w:val="22"/>
        </w:rPr>
        <w:t>U prasat byla zjištěna přímá souvislost mezi omezením pohybu a mírou excitace a agitace. Z</w:t>
      </w:r>
      <w:r w:rsidR="00582417">
        <w:rPr>
          <w:sz w:val="22"/>
          <w:szCs w:val="22"/>
        </w:rPr>
        <w:t> </w:t>
      </w:r>
      <w:r w:rsidRPr="00D73FF0">
        <w:rPr>
          <w:sz w:val="22"/>
          <w:szCs w:val="22"/>
        </w:rPr>
        <w:t>tohoto důvodu má být injekčn</w:t>
      </w:r>
      <w:r>
        <w:rPr>
          <w:sz w:val="22"/>
          <w:szCs w:val="22"/>
        </w:rPr>
        <w:t>í</w:t>
      </w:r>
      <w:r w:rsidRPr="00D73FF0">
        <w:rPr>
          <w:sz w:val="22"/>
          <w:szCs w:val="22"/>
        </w:rPr>
        <w:t xml:space="preserve"> podání provedeno při nejmenším možném omezení pohybu.</w:t>
      </w:r>
    </w:p>
    <w:p w14:paraId="6D940741" w14:textId="22F30503" w:rsidR="00D73FF0" w:rsidRDefault="00D73FF0" w:rsidP="00D73FF0">
      <w:pPr>
        <w:ind w:right="-1"/>
        <w:jc w:val="both"/>
        <w:rPr>
          <w:sz w:val="22"/>
          <w:szCs w:val="22"/>
        </w:rPr>
      </w:pPr>
      <w:r>
        <w:rPr>
          <w:iCs/>
          <w:sz w:val="22"/>
          <w:szCs w:val="22"/>
        </w:rPr>
        <w:t>P</w:t>
      </w:r>
      <w:r w:rsidRPr="007A4509">
        <w:rPr>
          <w:sz w:val="22"/>
          <w:szCs w:val="22"/>
        </w:rPr>
        <w:t>okud je to možné, neprovádějte jakoukoli fixaci (při intrakardiální aplikaci) nebo fixaci omezte na</w:t>
      </w:r>
      <w:r w:rsidR="00BA1F2B">
        <w:rPr>
          <w:sz w:val="22"/>
          <w:szCs w:val="22"/>
        </w:rPr>
        <w:t> </w:t>
      </w:r>
      <w:r w:rsidRPr="007A4509">
        <w:rPr>
          <w:sz w:val="22"/>
          <w:szCs w:val="22"/>
        </w:rPr>
        <w:t>minimum. Je-li fixace nutná, použijte fixační smyčku přiloženou na horní čelist.</w:t>
      </w:r>
    </w:p>
    <w:p w14:paraId="2F1187A6" w14:textId="77777777" w:rsidR="007D3FAC" w:rsidRDefault="007D3FAC" w:rsidP="00D73FF0">
      <w:pPr>
        <w:ind w:right="-1"/>
        <w:jc w:val="both"/>
        <w:rPr>
          <w:sz w:val="22"/>
          <w:szCs w:val="22"/>
        </w:rPr>
      </w:pPr>
    </w:p>
    <w:p w14:paraId="7C5A4C2E" w14:textId="77777777" w:rsidR="00D471A4" w:rsidRPr="00F64199" w:rsidRDefault="00D471A4" w:rsidP="007D3FAC">
      <w:pPr>
        <w:keepNext/>
        <w:spacing w:after="120"/>
        <w:jc w:val="both"/>
        <w:rPr>
          <w:sz w:val="22"/>
          <w:szCs w:val="22"/>
        </w:rPr>
      </w:pPr>
      <w:r w:rsidRPr="00F64199">
        <w:rPr>
          <w:sz w:val="22"/>
          <w:szCs w:val="22"/>
          <w:u w:val="single"/>
        </w:rPr>
        <w:t>Zvláštní upozornění pro použití u zvířat</w:t>
      </w:r>
      <w:r w:rsidRPr="00F64199">
        <w:rPr>
          <w:sz w:val="22"/>
          <w:szCs w:val="22"/>
        </w:rPr>
        <w:t>:</w:t>
      </w:r>
    </w:p>
    <w:p w14:paraId="2F2989C2" w14:textId="77777777" w:rsidR="00D471A4" w:rsidRPr="00F64199" w:rsidRDefault="00D471A4" w:rsidP="00D471A4">
      <w:pPr>
        <w:jc w:val="both"/>
        <w:rPr>
          <w:sz w:val="22"/>
          <w:szCs w:val="22"/>
        </w:rPr>
      </w:pPr>
      <w:r w:rsidRPr="00F64199">
        <w:rPr>
          <w:sz w:val="22"/>
          <w:szCs w:val="22"/>
        </w:rPr>
        <w:t xml:space="preserve">V případě, že dojde k náhodnému podání zvířeti, které není určeno k utracení, okamžitě proveďte vhodná opatření k záchraně života. Zajistěte podporu základních životních funkcí, zejména respirační a kardiovaskulární. Vhodným antidotem jsou analeptika. </w:t>
      </w:r>
    </w:p>
    <w:p w14:paraId="16A53592" w14:textId="77777777" w:rsidR="00477A0E" w:rsidRDefault="00477A0E" w:rsidP="00D471A4">
      <w:pPr>
        <w:keepNext/>
        <w:jc w:val="both"/>
        <w:rPr>
          <w:sz w:val="22"/>
          <w:szCs w:val="22"/>
          <w:u w:val="single"/>
        </w:rPr>
      </w:pPr>
    </w:p>
    <w:p w14:paraId="5B04F1FC" w14:textId="77777777" w:rsidR="00D471A4" w:rsidRPr="00F64199" w:rsidRDefault="00D471A4" w:rsidP="007D3FAC">
      <w:pPr>
        <w:keepNext/>
        <w:spacing w:after="120"/>
        <w:jc w:val="both"/>
        <w:rPr>
          <w:sz w:val="22"/>
          <w:szCs w:val="22"/>
        </w:rPr>
      </w:pPr>
      <w:r w:rsidRPr="00F64199">
        <w:rPr>
          <w:sz w:val="22"/>
          <w:szCs w:val="22"/>
          <w:u w:val="single"/>
        </w:rPr>
        <w:t>Zvláštní upozornění určené osobám, které podávají veterinární léčivý přípravek zvířatům:</w:t>
      </w:r>
    </w:p>
    <w:p w14:paraId="67C4497B" w14:textId="77777777" w:rsidR="00477A0E" w:rsidRPr="0016216B" w:rsidRDefault="00477A0E" w:rsidP="00477A0E">
      <w:pPr>
        <w:spacing w:after="240"/>
        <w:jc w:val="both"/>
        <w:rPr>
          <w:sz w:val="22"/>
          <w:szCs w:val="22"/>
        </w:rPr>
      </w:pPr>
      <w:r w:rsidRPr="0016216B">
        <w:rPr>
          <w:sz w:val="22"/>
          <w:szCs w:val="22"/>
        </w:rPr>
        <w:t>Pentobarbital má silné hypnotické a sedativní účinky a je tak potencionálně toxický pro člověka</w:t>
      </w:r>
      <w:r w:rsidR="00DB5772">
        <w:rPr>
          <w:sz w:val="22"/>
          <w:szCs w:val="22"/>
        </w:rPr>
        <w:t>.</w:t>
      </w:r>
      <w:r w:rsidRPr="0016216B">
        <w:rPr>
          <w:sz w:val="22"/>
          <w:szCs w:val="22"/>
        </w:rPr>
        <w:t xml:space="preserve"> Může se vstřebávat kůží a při požití. Zvláštní pozornost věnujte tomu, aby nedošlo k náhodnému požití přípravku nebo k náhodnému sebepoškození injekčně aplikovaným přípravkem. Přepravujte tento přípravek pouze ve stříkačce bez jehly, aby nedošlo k náhodnému injekčnímu podání.</w:t>
      </w:r>
    </w:p>
    <w:p w14:paraId="7043D3F7" w14:textId="77777777" w:rsidR="00477A0E" w:rsidRPr="0016216B" w:rsidRDefault="00477A0E" w:rsidP="00477A0E">
      <w:pPr>
        <w:spacing w:after="240"/>
        <w:jc w:val="both"/>
        <w:rPr>
          <w:sz w:val="22"/>
          <w:szCs w:val="22"/>
        </w:rPr>
      </w:pPr>
      <w:r w:rsidRPr="0016216B">
        <w:rPr>
          <w:sz w:val="22"/>
          <w:szCs w:val="22"/>
        </w:rPr>
        <w:t>Systémová absorpce pentobarbitalu (včetně absorpce kůží nebo v důsledku zasažení oka) způsobuje útlum (sedaci), navození spánku a respirační depresi. Tento přípravek může dále způsobovat podráždění očí, kůže, stejně jako i alergické reakce. Embryotoxické účinky nejsou vyloučeny.</w:t>
      </w:r>
    </w:p>
    <w:p w14:paraId="7527943A" w14:textId="77777777" w:rsidR="00477A0E" w:rsidRPr="0016216B" w:rsidRDefault="00477A0E" w:rsidP="00477A0E">
      <w:pPr>
        <w:spacing w:after="240"/>
        <w:jc w:val="both"/>
        <w:rPr>
          <w:sz w:val="22"/>
          <w:szCs w:val="22"/>
        </w:rPr>
      </w:pPr>
      <w:r w:rsidRPr="0016216B">
        <w:rPr>
          <w:sz w:val="22"/>
          <w:szCs w:val="22"/>
        </w:rPr>
        <w:t>Zabraňte přímému kontaktu přípravku s kůží a očima, včetně kontaktu potřísněných rukou s očima. Zabraňte náhodnému sebepoškození injekčně aplikovaným přípravkem nebo náhodné aplikaci asistujícím osobám při podávání tohoto přípravku. Lidé se známou přecitlivělostí na pentobarbital nebo na jakoukoliv pomocnou látku by se měli vyhnout kontaktu s veterinárním léčivým přípravkem.</w:t>
      </w:r>
    </w:p>
    <w:p w14:paraId="0A6E6BAF" w14:textId="7B57ACF6" w:rsidR="00477A0E" w:rsidRPr="0016216B" w:rsidRDefault="00477A0E" w:rsidP="00477A0E">
      <w:pPr>
        <w:tabs>
          <w:tab w:val="left" w:pos="0"/>
        </w:tabs>
        <w:spacing w:after="240"/>
        <w:jc w:val="both"/>
        <w:rPr>
          <w:sz w:val="22"/>
          <w:szCs w:val="22"/>
        </w:rPr>
      </w:pPr>
      <w:r w:rsidRPr="0016216B">
        <w:rPr>
          <w:sz w:val="22"/>
          <w:szCs w:val="22"/>
        </w:rPr>
        <w:lastRenderedPageBreak/>
        <w:t>S přípravkem zacházejte s mimořádnou opatrností, to platí zejména pro ženy v plodném věku. Při</w:t>
      </w:r>
      <w:r w:rsidR="00BA1F2B">
        <w:rPr>
          <w:sz w:val="22"/>
          <w:szCs w:val="22"/>
        </w:rPr>
        <w:t> </w:t>
      </w:r>
      <w:bookmarkStart w:id="1" w:name="_GoBack"/>
      <w:bookmarkEnd w:id="1"/>
      <w:r w:rsidRPr="0016216B">
        <w:rPr>
          <w:sz w:val="22"/>
          <w:szCs w:val="22"/>
        </w:rPr>
        <w:t>nakládání s veterinárním léčivým přípravkem by se měly používat osobní ochranné prostředky skládající se z nepropustných rukavic. Tento veterinární léčivý přípravek může být podán pouze veterinárním lékařem v přítomnosti další odborně způsobilé osoby, která je schopna poskytnout pomoc v případě náhodné expozice. Jestliže tito pracovníci nemají zdravotnické vzdělání, poučte je o rizicích souvisejících s přípravkem.</w:t>
      </w:r>
    </w:p>
    <w:p w14:paraId="4925E0BB" w14:textId="77777777" w:rsidR="00477A0E" w:rsidRPr="0016216B" w:rsidRDefault="00477A0E" w:rsidP="00477A0E">
      <w:pPr>
        <w:spacing w:after="240"/>
        <w:jc w:val="both"/>
        <w:rPr>
          <w:sz w:val="22"/>
          <w:szCs w:val="22"/>
        </w:rPr>
      </w:pPr>
      <w:r w:rsidRPr="0016216B">
        <w:rPr>
          <w:sz w:val="22"/>
          <w:szCs w:val="22"/>
        </w:rPr>
        <w:t>V případě náhodného potřísnění kůže nebo zasažení očí ihned opláchněte zasažené místo velkým množstvím vody. Pokud dojde k závažnému zasažení kůže nebo očí nebo v případě náhodného sebepoškození injekčně aplikovaným přípravkem, vyhledejte ihned lékařskou pomoc, informujte o otravě barbituráty a ukažte příbalovou informaci nebo etiketu praktickému lékaři. V případě náhodného požití, vypláchněte ústa a vyhledejte ihned lékařskou pomoc. NEŘIĎTE MOTOROVÉ VOZIDLO, neboť může dojít k útlumu (sedaci).</w:t>
      </w:r>
    </w:p>
    <w:p w14:paraId="4D2B3CB3" w14:textId="77777777" w:rsidR="00477A0E" w:rsidRPr="0016216B" w:rsidRDefault="00477A0E" w:rsidP="00477A0E">
      <w:pPr>
        <w:spacing w:after="240"/>
        <w:jc w:val="both"/>
        <w:rPr>
          <w:sz w:val="22"/>
          <w:szCs w:val="22"/>
        </w:rPr>
      </w:pPr>
      <w:r w:rsidRPr="0016216B">
        <w:rPr>
          <w:sz w:val="22"/>
          <w:szCs w:val="22"/>
        </w:rPr>
        <w:t>Po podání přípravku nastane do 10 sekund kolaps. Pokud je přípravek podáván stojícímu zvířeti, musí osoba, která léčivý přípravek zvířeti podává, stejně jako další přítomné osoby, dbát opatrnosti a udržovat potřebnou vzdálenost od zvířete, aby se zabránilo dalším zraněním.</w:t>
      </w:r>
    </w:p>
    <w:p w14:paraId="0EC485E8" w14:textId="77777777" w:rsidR="00477A0E" w:rsidRPr="007D3FAC" w:rsidRDefault="00477A0E" w:rsidP="007D3FAC">
      <w:pPr>
        <w:keepNext/>
        <w:tabs>
          <w:tab w:val="left" w:pos="708"/>
        </w:tabs>
        <w:autoSpaceDE w:val="0"/>
        <w:autoSpaceDN w:val="0"/>
        <w:adjustRightInd w:val="0"/>
        <w:spacing w:after="120"/>
        <w:jc w:val="both"/>
        <w:rPr>
          <w:sz w:val="22"/>
          <w:szCs w:val="22"/>
          <w:u w:val="single"/>
        </w:rPr>
      </w:pPr>
      <w:r w:rsidRPr="007D3FAC">
        <w:rPr>
          <w:sz w:val="22"/>
          <w:szCs w:val="22"/>
          <w:u w:val="single"/>
        </w:rPr>
        <w:t xml:space="preserve">Pro lékaře: </w:t>
      </w:r>
    </w:p>
    <w:p w14:paraId="2451D7D2" w14:textId="77777777" w:rsidR="00477A0E" w:rsidRPr="0016216B" w:rsidRDefault="00477A0E" w:rsidP="00477A0E">
      <w:pPr>
        <w:suppressAutoHyphens/>
        <w:autoSpaceDN w:val="0"/>
        <w:spacing w:after="240"/>
        <w:jc w:val="both"/>
        <w:textAlignment w:val="baseline"/>
        <w:rPr>
          <w:sz w:val="22"/>
          <w:szCs w:val="22"/>
        </w:rPr>
      </w:pPr>
      <w:r w:rsidRPr="0016216B">
        <w:rPr>
          <w:sz w:val="22"/>
          <w:szCs w:val="22"/>
        </w:rPr>
        <w:t>Opatření první pomoci by měla směřovat k udržení respiračních a srdečních funkcí. Při vážných otravách je třeba přijmout opatření, která urychlí eliminaci barbiturátů z organismu. Nenechávejte pacienta bez dozoru. Podávejte symptomatickou a podpůrnou léčbu.</w:t>
      </w:r>
    </w:p>
    <w:p w14:paraId="72D15227" w14:textId="77777777" w:rsidR="00477A0E" w:rsidRPr="0016216B" w:rsidRDefault="00477A0E" w:rsidP="00477A0E">
      <w:pPr>
        <w:tabs>
          <w:tab w:val="left" w:pos="0"/>
        </w:tabs>
        <w:spacing w:after="240"/>
        <w:jc w:val="both"/>
        <w:rPr>
          <w:sz w:val="22"/>
          <w:szCs w:val="22"/>
        </w:rPr>
      </w:pPr>
      <w:r w:rsidRPr="0016216B">
        <w:rPr>
          <w:sz w:val="22"/>
          <w:szCs w:val="22"/>
        </w:rPr>
        <w:t xml:space="preserve">Koncentrace pentobarbitalu v přípravku je taková, že náhodné injekční samopodání nebo požití i tak malého množství jako je 1 ml může mít u dospělého člověka závažné účinky na CNS. Dostupné údaje ukazují, že dávka 1 g pentobarbitalu sodného (odpovídá 2,5 ml přípravku) může být pro člověka smrtelná. Léčba by měla být podpůrná s vhodnou intenzivní terapií a udržováním dýchání. </w:t>
      </w:r>
    </w:p>
    <w:p w14:paraId="63498B37" w14:textId="4E8DB256" w:rsidR="00477A0E" w:rsidRPr="0016216B" w:rsidRDefault="00477A0E" w:rsidP="007D3FAC">
      <w:pPr>
        <w:keepNext/>
        <w:tabs>
          <w:tab w:val="left" w:pos="708"/>
        </w:tabs>
        <w:autoSpaceDE w:val="0"/>
        <w:autoSpaceDN w:val="0"/>
        <w:adjustRightInd w:val="0"/>
        <w:spacing w:after="120"/>
        <w:jc w:val="both"/>
        <w:rPr>
          <w:sz w:val="22"/>
          <w:szCs w:val="22"/>
          <w:u w:val="single"/>
        </w:rPr>
      </w:pPr>
      <w:r w:rsidRPr="0016216B">
        <w:rPr>
          <w:sz w:val="22"/>
          <w:szCs w:val="22"/>
          <w:u w:val="single"/>
        </w:rPr>
        <w:t>Další opatření</w:t>
      </w:r>
      <w:r w:rsidR="007D3FAC">
        <w:rPr>
          <w:sz w:val="22"/>
          <w:szCs w:val="22"/>
          <w:u w:val="single"/>
        </w:rPr>
        <w:t>:</w:t>
      </w:r>
    </w:p>
    <w:p w14:paraId="176EB04C" w14:textId="77777777" w:rsidR="00477A0E" w:rsidRDefault="00477A0E" w:rsidP="00477A0E">
      <w:pPr>
        <w:tabs>
          <w:tab w:val="left" w:pos="142"/>
        </w:tabs>
        <w:spacing w:after="240"/>
        <w:jc w:val="both"/>
        <w:rPr>
          <w:sz w:val="22"/>
          <w:szCs w:val="22"/>
        </w:rPr>
      </w:pPr>
      <w:r w:rsidRPr="0016216B">
        <w:rPr>
          <w:sz w:val="22"/>
          <w:szCs w:val="22"/>
        </w:rPr>
        <w:t>Z důvodu rizika sekundární intoxikace nesmí být zvířata utracená veterinárním léčivým přípravkem zkrmována jiným zvířatům, ale musí být likvidována v souladu s vnitrostátní legislativou způsobem, který zaručí, že ostatní zvířata nebudou mít k tělům utracených zvířat přístup.</w:t>
      </w:r>
    </w:p>
    <w:p w14:paraId="0C6E1BFE" w14:textId="77777777" w:rsidR="00D73FF0" w:rsidRDefault="00D73FF0" w:rsidP="007D3FAC">
      <w:pPr>
        <w:keepNext/>
        <w:tabs>
          <w:tab w:val="left" w:pos="142"/>
        </w:tabs>
        <w:spacing w:after="120"/>
        <w:jc w:val="both"/>
        <w:rPr>
          <w:sz w:val="22"/>
          <w:szCs w:val="22"/>
          <w:u w:val="single"/>
        </w:rPr>
      </w:pPr>
      <w:r w:rsidRPr="00D73FF0">
        <w:rPr>
          <w:sz w:val="22"/>
          <w:szCs w:val="22"/>
          <w:u w:val="single"/>
        </w:rPr>
        <w:t>Březost</w:t>
      </w:r>
      <w:r w:rsidRPr="0016216B">
        <w:rPr>
          <w:sz w:val="22"/>
          <w:szCs w:val="22"/>
          <w:u w:val="single"/>
        </w:rPr>
        <w:t xml:space="preserve"> a laktace</w:t>
      </w:r>
      <w:r>
        <w:rPr>
          <w:sz w:val="22"/>
          <w:szCs w:val="22"/>
          <w:u w:val="single"/>
        </w:rPr>
        <w:t>:</w:t>
      </w:r>
    </w:p>
    <w:p w14:paraId="7734A494" w14:textId="77777777" w:rsidR="00D73FF0" w:rsidRDefault="00D73FF0" w:rsidP="00D73FF0">
      <w:pPr>
        <w:jc w:val="both"/>
        <w:rPr>
          <w:sz w:val="22"/>
          <w:szCs w:val="22"/>
        </w:rPr>
      </w:pPr>
      <w:r w:rsidRPr="0063322A">
        <w:rPr>
          <w:sz w:val="22"/>
          <w:szCs w:val="22"/>
        </w:rPr>
        <w:t xml:space="preserve">Neuplatňuje se. </w:t>
      </w:r>
    </w:p>
    <w:p w14:paraId="399AC2A5" w14:textId="77777777" w:rsidR="00582417" w:rsidRDefault="00582417" w:rsidP="00D73FF0">
      <w:pPr>
        <w:jc w:val="both"/>
        <w:rPr>
          <w:sz w:val="22"/>
          <w:szCs w:val="22"/>
        </w:rPr>
      </w:pPr>
    </w:p>
    <w:p w14:paraId="0129F79B" w14:textId="77777777" w:rsidR="00D73FF0" w:rsidRDefault="00D73FF0" w:rsidP="007D3FAC">
      <w:pPr>
        <w:keepNext/>
        <w:tabs>
          <w:tab w:val="left" w:pos="142"/>
        </w:tabs>
        <w:spacing w:after="120"/>
        <w:jc w:val="both"/>
        <w:rPr>
          <w:sz w:val="22"/>
          <w:szCs w:val="22"/>
          <w:u w:val="single"/>
        </w:rPr>
      </w:pPr>
      <w:r>
        <w:rPr>
          <w:sz w:val="22"/>
          <w:szCs w:val="22"/>
          <w:u w:val="single"/>
        </w:rPr>
        <w:t>Interakce s dalšími léčivými přípravky:</w:t>
      </w:r>
    </w:p>
    <w:p w14:paraId="420CA99C" w14:textId="77777777" w:rsidR="00D73FF0" w:rsidRDefault="00D73FF0" w:rsidP="00D73FF0">
      <w:pPr>
        <w:jc w:val="both"/>
        <w:rPr>
          <w:sz w:val="22"/>
          <w:szCs w:val="22"/>
        </w:rPr>
      </w:pPr>
      <w:r w:rsidRPr="0063322A">
        <w:rPr>
          <w:sz w:val="22"/>
          <w:szCs w:val="22"/>
        </w:rPr>
        <w:t>Nejsou známy.</w:t>
      </w:r>
    </w:p>
    <w:p w14:paraId="7AD39744" w14:textId="77777777" w:rsidR="00582417" w:rsidRDefault="00582417" w:rsidP="00D73FF0">
      <w:pPr>
        <w:jc w:val="both"/>
        <w:rPr>
          <w:sz w:val="22"/>
          <w:szCs w:val="22"/>
        </w:rPr>
      </w:pPr>
    </w:p>
    <w:p w14:paraId="225F0FF4" w14:textId="77777777" w:rsidR="00D73FF0" w:rsidRDefault="00D73FF0" w:rsidP="007D3FAC">
      <w:pPr>
        <w:keepNext/>
        <w:tabs>
          <w:tab w:val="left" w:pos="142"/>
        </w:tabs>
        <w:spacing w:after="120"/>
        <w:jc w:val="both"/>
        <w:rPr>
          <w:sz w:val="22"/>
          <w:szCs w:val="22"/>
          <w:u w:val="single"/>
        </w:rPr>
      </w:pPr>
      <w:r>
        <w:rPr>
          <w:sz w:val="22"/>
          <w:szCs w:val="22"/>
          <w:u w:val="single"/>
        </w:rPr>
        <w:t>Předávkování (symptomy, první pomoc, antidota):</w:t>
      </w:r>
    </w:p>
    <w:p w14:paraId="33F3CE0C" w14:textId="77777777" w:rsidR="00D73FF0" w:rsidRDefault="00D73FF0" w:rsidP="00D73FF0">
      <w:pPr>
        <w:jc w:val="both"/>
        <w:rPr>
          <w:sz w:val="22"/>
          <w:szCs w:val="22"/>
        </w:rPr>
      </w:pPr>
      <w:r w:rsidRPr="0063322A">
        <w:rPr>
          <w:sz w:val="22"/>
          <w:szCs w:val="22"/>
        </w:rPr>
        <w:t>Neuplatňuje se.</w:t>
      </w:r>
    </w:p>
    <w:p w14:paraId="2B346400" w14:textId="77777777" w:rsidR="00582417" w:rsidRDefault="00582417" w:rsidP="00D73FF0">
      <w:pPr>
        <w:jc w:val="both"/>
        <w:rPr>
          <w:sz w:val="22"/>
          <w:szCs w:val="22"/>
        </w:rPr>
      </w:pPr>
    </w:p>
    <w:p w14:paraId="13ED0BF9" w14:textId="2CFF6E93" w:rsidR="006B7A93" w:rsidRPr="0016216B" w:rsidRDefault="006B7A93" w:rsidP="007D3FAC">
      <w:pPr>
        <w:keepNext/>
        <w:tabs>
          <w:tab w:val="left" w:pos="142"/>
        </w:tabs>
        <w:spacing w:after="120"/>
        <w:jc w:val="both"/>
        <w:rPr>
          <w:sz w:val="22"/>
          <w:szCs w:val="22"/>
          <w:u w:val="single"/>
        </w:rPr>
      </w:pPr>
      <w:r w:rsidRPr="0016216B">
        <w:rPr>
          <w:sz w:val="22"/>
          <w:szCs w:val="22"/>
          <w:u w:val="single"/>
        </w:rPr>
        <w:t>Inkompatibility</w:t>
      </w:r>
      <w:r w:rsidR="007D3FAC">
        <w:rPr>
          <w:sz w:val="22"/>
          <w:szCs w:val="22"/>
          <w:u w:val="single"/>
        </w:rPr>
        <w:t>:</w:t>
      </w:r>
    </w:p>
    <w:p w14:paraId="07F11D3D" w14:textId="77777777" w:rsidR="006B7A93" w:rsidRPr="007C25A5" w:rsidRDefault="006B7A93" w:rsidP="006B7A93">
      <w:pPr>
        <w:jc w:val="both"/>
        <w:rPr>
          <w:sz w:val="22"/>
          <w:szCs w:val="22"/>
        </w:rPr>
      </w:pPr>
      <w:r w:rsidRPr="00D271F1">
        <w:rPr>
          <w:sz w:val="22"/>
          <w:szCs w:val="22"/>
        </w:rPr>
        <w:t>Studie kompatibility nejsou k dispozici, a proto tento veterinární léčivý přípravek nesmí být mísen s žádnými dalšími veterinárními léčivými přípravky.</w:t>
      </w:r>
    </w:p>
    <w:p w14:paraId="0F602019" w14:textId="77777777" w:rsidR="00D471A4" w:rsidRDefault="00D471A4" w:rsidP="00D471A4">
      <w:pPr>
        <w:rPr>
          <w:b/>
          <w:sz w:val="22"/>
          <w:szCs w:val="22"/>
        </w:rPr>
      </w:pPr>
    </w:p>
    <w:p w14:paraId="75BC2B82" w14:textId="77777777" w:rsidR="00D471A4" w:rsidRDefault="00D471A4" w:rsidP="007D3FAC">
      <w:pPr>
        <w:keepNext/>
        <w:rPr>
          <w:b/>
          <w:sz w:val="22"/>
          <w:szCs w:val="22"/>
        </w:rPr>
      </w:pPr>
      <w:r w:rsidRPr="00F64199">
        <w:rPr>
          <w:b/>
          <w:sz w:val="22"/>
          <w:szCs w:val="22"/>
        </w:rPr>
        <w:t>13.</w:t>
      </w:r>
      <w:r w:rsidRPr="00F64199">
        <w:rPr>
          <w:b/>
          <w:sz w:val="22"/>
          <w:szCs w:val="22"/>
        </w:rPr>
        <w:tab/>
        <w:t>ZVLÁŠTNÍ OPATŘENÍ PRO ZNEŠKODŇOVÁNÍ NEPOUŽITÝCH PŘÍPRAVKŮ NEBO ODPADU, POKUD JE JICH TŘEBA</w:t>
      </w:r>
    </w:p>
    <w:p w14:paraId="5E41D55E" w14:textId="77777777" w:rsidR="007D3FAC" w:rsidRPr="00F64199" w:rsidRDefault="007D3FAC" w:rsidP="007D3FAC">
      <w:pPr>
        <w:keepNext/>
        <w:rPr>
          <w:b/>
          <w:sz w:val="22"/>
          <w:szCs w:val="22"/>
        </w:rPr>
      </w:pPr>
    </w:p>
    <w:p w14:paraId="4EDDFE8E" w14:textId="77777777" w:rsidR="00D471A4" w:rsidRPr="00F64199" w:rsidRDefault="00D471A4" w:rsidP="00D471A4">
      <w:pPr>
        <w:jc w:val="both"/>
        <w:rPr>
          <w:sz w:val="22"/>
          <w:szCs w:val="22"/>
        </w:rPr>
      </w:pPr>
      <w:r w:rsidRPr="00F64199">
        <w:rPr>
          <w:sz w:val="22"/>
          <w:szCs w:val="22"/>
        </w:rPr>
        <w:t>Léčivé přípravky se nesmí likvidovat prostřednictvím odpadní vody či domovního odpadu.</w:t>
      </w:r>
    </w:p>
    <w:p w14:paraId="5B7D83C9" w14:textId="77777777" w:rsidR="00D471A4" w:rsidRPr="00F64199" w:rsidRDefault="00D471A4" w:rsidP="00D471A4">
      <w:pPr>
        <w:jc w:val="both"/>
        <w:rPr>
          <w:sz w:val="22"/>
          <w:szCs w:val="22"/>
        </w:rPr>
      </w:pPr>
      <w:r w:rsidRPr="00F64199">
        <w:rPr>
          <w:sz w:val="22"/>
          <w:szCs w:val="22"/>
        </w:rPr>
        <w:t>Všechen nepoužitý veterinární léčivý přípravek nebo odpad, který pochází z tohoto přípravku, musí být likvidován podle místních právních předpisů.</w:t>
      </w:r>
    </w:p>
    <w:p w14:paraId="79358E35" w14:textId="77777777" w:rsidR="00D471A4" w:rsidRDefault="00D471A4" w:rsidP="00D471A4">
      <w:pPr>
        <w:rPr>
          <w:b/>
          <w:sz w:val="22"/>
          <w:szCs w:val="22"/>
        </w:rPr>
      </w:pPr>
    </w:p>
    <w:p w14:paraId="169D7F71" w14:textId="77777777" w:rsidR="00D471A4" w:rsidRDefault="00D471A4" w:rsidP="00D471A4">
      <w:pPr>
        <w:rPr>
          <w:b/>
          <w:sz w:val="22"/>
          <w:szCs w:val="22"/>
        </w:rPr>
      </w:pPr>
      <w:r w:rsidRPr="00F64199">
        <w:rPr>
          <w:b/>
          <w:sz w:val="22"/>
          <w:szCs w:val="22"/>
        </w:rPr>
        <w:t>14.</w:t>
      </w:r>
      <w:r w:rsidRPr="00F64199">
        <w:rPr>
          <w:b/>
          <w:sz w:val="22"/>
          <w:szCs w:val="22"/>
        </w:rPr>
        <w:tab/>
        <w:t>DATUM POSLEDNÍ REVIZE PŘÍBALOVÉ INFORMACE</w:t>
      </w:r>
    </w:p>
    <w:p w14:paraId="728C189C" w14:textId="77777777" w:rsidR="007D3FAC" w:rsidRPr="00F64199" w:rsidRDefault="007D3FAC" w:rsidP="00D471A4">
      <w:pPr>
        <w:rPr>
          <w:b/>
          <w:sz w:val="22"/>
          <w:szCs w:val="22"/>
        </w:rPr>
      </w:pPr>
    </w:p>
    <w:p w14:paraId="26620670" w14:textId="671DD681" w:rsidR="00D471A4" w:rsidRDefault="00CF18FE" w:rsidP="00D471A4">
      <w:pPr>
        <w:rPr>
          <w:sz w:val="22"/>
          <w:szCs w:val="22"/>
        </w:rPr>
      </w:pPr>
      <w:r>
        <w:rPr>
          <w:sz w:val="22"/>
          <w:szCs w:val="22"/>
        </w:rPr>
        <w:t>Březen 2021</w:t>
      </w:r>
    </w:p>
    <w:p w14:paraId="03991355" w14:textId="77777777" w:rsidR="007D3FAC" w:rsidRDefault="007D3FAC" w:rsidP="00D471A4">
      <w:pPr>
        <w:rPr>
          <w:b/>
          <w:sz w:val="22"/>
          <w:szCs w:val="22"/>
        </w:rPr>
      </w:pPr>
    </w:p>
    <w:p w14:paraId="199DC331" w14:textId="77777777" w:rsidR="00D471A4" w:rsidRPr="00F64199" w:rsidRDefault="00D471A4" w:rsidP="00D471A4">
      <w:pPr>
        <w:rPr>
          <w:b/>
          <w:sz w:val="22"/>
          <w:szCs w:val="22"/>
        </w:rPr>
      </w:pPr>
      <w:r w:rsidRPr="00F64199">
        <w:rPr>
          <w:b/>
          <w:sz w:val="22"/>
          <w:szCs w:val="22"/>
        </w:rPr>
        <w:t>15.</w:t>
      </w:r>
      <w:r w:rsidRPr="00F64199">
        <w:rPr>
          <w:b/>
          <w:sz w:val="22"/>
          <w:szCs w:val="22"/>
        </w:rPr>
        <w:tab/>
        <w:t>DALŠÍ INFORMACE</w:t>
      </w:r>
    </w:p>
    <w:p w14:paraId="5455F3BC" w14:textId="77777777" w:rsidR="006B7A93" w:rsidRDefault="006B7A93" w:rsidP="00D471A4">
      <w:pPr>
        <w:jc w:val="both"/>
        <w:rPr>
          <w:sz w:val="22"/>
          <w:szCs w:val="22"/>
        </w:rPr>
      </w:pPr>
    </w:p>
    <w:p w14:paraId="00745156" w14:textId="77777777" w:rsidR="006B7A93" w:rsidRDefault="006B7A93" w:rsidP="00D471A4">
      <w:pPr>
        <w:jc w:val="both"/>
        <w:rPr>
          <w:sz w:val="22"/>
          <w:szCs w:val="22"/>
        </w:rPr>
      </w:pPr>
      <w:r>
        <w:rPr>
          <w:sz w:val="22"/>
          <w:szCs w:val="22"/>
        </w:rPr>
        <w:t>Velikosti balení: 1x 100 ml</w:t>
      </w:r>
    </w:p>
    <w:p w14:paraId="09610226" w14:textId="77777777" w:rsidR="006B7A93" w:rsidRDefault="006B7A93" w:rsidP="00D471A4">
      <w:pPr>
        <w:jc w:val="both"/>
        <w:rPr>
          <w:sz w:val="22"/>
          <w:szCs w:val="22"/>
        </w:rPr>
      </w:pPr>
    </w:p>
    <w:p w14:paraId="699C1E3B" w14:textId="77777777" w:rsidR="00D471A4" w:rsidRPr="00F64199" w:rsidRDefault="00D471A4" w:rsidP="00D471A4">
      <w:pPr>
        <w:jc w:val="both"/>
        <w:rPr>
          <w:sz w:val="22"/>
          <w:szCs w:val="22"/>
        </w:rPr>
      </w:pPr>
      <w:r w:rsidRPr="00F64199">
        <w:rPr>
          <w:sz w:val="22"/>
          <w:szCs w:val="22"/>
        </w:rPr>
        <w:t>Pouze pro zvířata.</w:t>
      </w:r>
    </w:p>
    <w:p w14:paraId="2540AC24" w14:textId="77777777" w:rsidR="00D471A4" w:rsidRPr="00F64199" w:rsidRDefault="00D471A4" w:rsidP="00D471A4">
      <w:pPr>
        <w:pStyle w:val="Bezmezer"/>
        <w:rPr>
          <w:rFonts w:ascii="Times New Roman" w:eastAsia="Arial Unicode MS" w:hAnsi="Times New Roman"/>
        </w:rPr>
      </w:pPr>
      <w:r w:rsidRPr="00F64199">
        <w:rPr>
          <w:rFonts w:ascii="Times New Roman" w:eastAsia="Arial Unicode MS" w:hAnsi="Times New Roman"/>
        </w:rPr>
        <w:t>Veterinární léčivý přípravek je vydáván pouze na předpis.</w:t>
      </w:r>
    </w:p>
    <w:p w14:paraId="3D18B60C" w14:textId="77777777" w:rsidR="00D471A4" w:rsidRPr="00F64199" w:rsidRDefault="00D471A4" w:rsidP="00D471A4">
      <w:pPr>
        <w:pStyle w:val="Bezmezer"/>
        <w:rPr>
          <w:rFonts w:ascii="Times New Roman" w:eastAsia="Arial Unicode MS" w:hAnsi="Times New Roman"/>
        </w:rPr>
      </w:pPr>
      <w:r w:rsidRPr="00F64199">
        <w:rPr>
          <w:rFonts w:ascii="Times New Roman" w:eastAsia="Arial Unicode MS" w:hAnsi="Times New Roman"/>
        </w:rPr>
        <w:t>Pouze pro použití veterinárním lékařem.</w:t>
      </w:r>
    </w:p>
    <w:p w14:paraId="780CC372" w14:textId="77777777" w:rsidR="00D471A4" w:rsidRPr="00F64199" w:rsidRDefault="00D471A4" w:rsidP="00D471A4">
      <w:pPr>
        <w:pStyle w:val="Bezmezer"/>
        <w:rPr>
          <w:rFonts w:ascii="Times New Roman" w:eastAsia="Arial Unicode MS" w:hAnsi="Times New Roman"/>
        </w:rPr>
      </w:pPr>
      <w:r w:rsidRPr="00F64199">
        <w:rPr>
          <w:rFonts w:ascii="Times New Roman" w:eastAsia="Arial Unicode MS" w:hAnsi="Times New Roman"/>
        </w:rPr>
        <w:t xml:space="preserve">Přípravek obsahuje návykové látky.  </w:t>
      </w:r>
      <w:r w:rsidRPr="00F64199">
        <w:rPr>
          <w:rFonts w:ascii="Times New Roman" w:hAnsi="Times New Roman"/>
          <w:noProof/>
          <w:lang w:eastAsia="cs-CZ"/>
        </w:rPr>
        <w:drawing>
          <wp:inline distT="0" distB="0" distL="0" distR="0" wp14:anchorId="17011D03" wp14:editId="20C2C692">
            <wp:extent cx="495300" cy="2952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p>
    <w:p w14:paraId="1CB2EB7F" w14:textId="77777777" w:rsidR="002D7649" w:rsidRPr="0063322A" w:rsidRDefault="002D7649" w:rsidP="0094619D">
      <w:pPr>
        <w:pStyle w:val="Bezmezer"/>
        <w:rPr>
          <w:rFonts w:ascii="Times New Roman" w:eastAsia="Arial Unicode MS" w:hAnsi="Times New Roman"/>
        </w:rPr>
      </w:pPr>
    </w:p>
    <w:sectPr w:rsidR="002D7649" w:rsidRPr="0063322A" w:rsidSect="00BA1F2B">
      <w:headerReference w:type="default"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234F7" w14:textId="77777777" w:rsidR="005B40E3" w:rsidRDefault="005B40E3">
      <w:r>
        <w:separator/>
      </w:r>
    </w:p>
  </w:endnote>
  <w:endnote w:type="continuationSeparator" w:id="0">
    <w:p w14:paraId="0ABF5EB7" w14:textId="77777777" w:rsidR="005B40E3" w:rsidRDefault="005B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23129" w14:textId="77777777" w:rsidR="00D471A4" w:rsidRPr="00EE689F" w:rsidRDefault="00D471A4" w:rsidP="00EE689F">
    <w:pPr>
      <w:pStyle w:val="Zpat"/>
      <w:ind w:right="360"/>
      <w:rPr>
        <w:sz w:val="18"/>
      </w:rPr>
    </w:pP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307CD" w14:textId="77777777" w:rsidR="005B40E3" w:rsidRDefault="005B40E3">
      <w:r>
        <w:separator/>
      </w:r>
    </w:p>
  </w:footnote>
  <w:footnote w:type="continuationSeparator" w:id="0">
    <w:p w14:paraId="3D86A66C" w14:textId="77777777" w:rsidR="005B40E3" w:rsidRDefault="005B4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844E5" w14:textId="092307DB" w:rsidR="00764FCB" w:rsidRDefault="00764FCB">
    <w:pPr>
      <w:pStyle w:val="Zhlav"/>
    </w:pPr>
    <w:r w:rsidRPr="00247BEA">
      <w:rPr>
        <w:b/>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9581C"/>
    <w:multiLevelType w:val="multilevel"/>
    <w:tmpl w:val="DA2096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04527D6"/>
    <w:multiLevelType w:val="multilevel"/>
    <w:tmpl w:val="E9FAD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2074A14"/>
    <w:multiLevelType w:val="multilevel"/>
    <w:tmpl w:val="45D431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89F"/>
    <w:rsid w:val="0000340B"/>
    <w:rsid w:val="0000592C"/>
    <w:rsid w:val="000059C2"/>
    <w:rsid w:val="000103F9"/>
    <w:rsid w:val="0001067D"/>
    <w:rsid w:val="000125B5"/>
    <w:rsid w:val="00012E14"/>
    <w:rsid w:val="00013EC4"/>
    <w:rsid w:val="00014418"/>
    <w:rsid w:val="00014622"/>
    <w:rsid w:val="00016123"/>
    <w:rsid w:val="00016508"/>
    <w:rsid w:val="00016F4F"/>
    <w:rsid w:val="00017ECB"/>
    <w:rsid w:val="00021448"/>
    <w:rsid w:val="000217A8"/>
    <w:rsid w:val="00022C70"/>
    <w:rsid w:val="000231D1"/>
    <w:rsid w:val="000238F5"/>
    <w:rsid w:val="00025781"/>
    <w:rsid w:val="00026602"/>
    <w:rsid w:val="000304F6"/>
    <w:rsid w:val="0003156E"/>
    <w:rsid w:val="000322E7"/>
    <w:rsid w:val="00032BA8"/>
    <w:rsid w:val="00033A0A"/>
    <w:rsid w:val="00040146"/>
    <w:rsid w:val="0004094B"/>
    <w:rsid w:val="00040E1B"/>
    <w:rsid w:val="00041B55"/>
    <w:rsid w:val="00042310"/>
    <w:rsid w:val="00043695"/>
    <w:rsid w:val="00045027"/>
    <w:rsid w:val="00045F3D"/>
    <w:rsid w:val="00046D83"/>
    <w:rsid w:val="00050C65"/>
    <w:rsid w:val="00052ED5"/>
    <w:rsid w:val="00053319"/>
    <w:rsid w:val="00053D29"/>
    <w:rsid w:val="000561D4"/>
    <w:rsid w:val="0005691E"/>
    <w:rsid w:val="00056F8C"/>
    <w:rsid w:val="00070A22"/>
    <w:rsid w:val="00073924"/>
    <w:rsid w:val="00073C69"/>
    <w:rsid w:val="00073D08"/>
    <w:rsid w:val="00077219"/>
    <w:rsid w:val="00082CC8"/>
    <w:rsid w:val="000860F3"/>
    <w:rsid w:val="000869F1"/>
    <w:rsid w:val="0008771D"/>
    <w:rsid w:val="00087A3E"/>
    <w:rsid w:val="00090A08"/>
    <w:rsid w:val="0009379F"/>
    <w:rsid w:val="00095D75"/>
    <w:rsid w:val="000A0A73"/>
    <w:rsid w:val="000A1357"/>
    <w:rsid w:val="000A1363"/>
    <w:rsid w:val="000A16C7"/>
    <w:rsid w:val="000A2C63"/>
    <w:rsid w:val="000A3EC4"/>
    <w:rsid w:val="000A6370"/>
    <w:rsid w:val="000A649D"/>
    <w:rsid w:val="000B1832"/>
    <w:rsid w:val="000B370F"/>
    <w:rsid w:val="000B4133"/>
    <w:rsid w:val="000C42BC"/>
    <w:rsid w:val="000C47F7"/>
    <w:rsid w:val="000C4D71"/>
    <w:rsid w:val="000C5562"/>
    <w:rsid w:val="000C692B"/>
    <w:rsid w:val="000C759A"/>
    <w:rsid w:val="000C79CF"/>
    <w:rsid w:val="000D2CCD"/>
    <w:rsid w:val="000D428F"/>
    <w:rsid w:val="000D4E3F"/>
    <w:rsid w:val="000D5C9B"/>
    <w:rsid w:val="000D5CA9"/>
    <w:rsid w:val="000E2532"/>
    <w:rsid w:val="000E2C9F"/>
    <w:rsid w:val="000E4249"/>
    <w:rsid w:val="000E527B"/>
    <w:rsid w:val="000E6EB6"/>
    <w:rsid w:val="000E79FE"/>
    <w:rsid w:val="000F361A"/>
    <w:rsid w:val="000F3BED"/>
    <w:rsid w:val="000F4FE5"/>
    <w:rsid w:val="000F5AFC"/>
    <w:rsid w:val="00101C14"/>
    <w:rsid w:val="00101C3E"/>
    <w:rsid w:val="001040C3"/>
    <w:rsid w:val="001047EA"/>
    <w:rsid w:val="00110EB1"/>
    <w:rsid w:val="0011161F"/>
    <w:rsid w:val="00116979"/>
    <w:rsid w:val="00117B5D"/>
    <w:rsid w:val="00120562"/>
    <w:rsid w:val="0012298D"/>
    <w:rsid w:val="00123F4D"/>
    <w:rsid w:val="00126557"/>
    <w:rsid w:val="00127592"/>
    <w:rsid w:val="0013065A"/>
    <w:rsid w:val="00130A5F"/>
    <w:rsid w:val="00131249"/>
    <w:rsid w:val="00133B21"/>
    <w:rsid w:val="00134B64"/>
    <w:rsid w:val="00135073"/>
    <w:rsid w:val="001351E1"/>
    <w:rsid w:val="001363BD"/>
    <w:rsid w:val="001472E6"/>
    <w:rsid w:val="001479CB"/>
    <w:rsid w:val="00152142"/>
    <w:rsid w:val="001527C4"/>
    <w:rsid w:val="001537C9"/>
    <w:rsid w:val="0015479E"/>
    <w:rsid w:val="00156AF6"/>
    <w:rsid w:val="00160808"/>
    <w:rsid w:val="0016216B"/>
    <w:rsid w:val="00162286"/>
    <w:rsid w:val="0016263F"/>
    <w:rsid w:val="00163B43"/>
    <w:rsid w:val="0016512D"/>
    <w:rsid w:val="00166674"/>
    <w:rsid w:val="001758AE"/>
    <w:rsid w:val="00176EE6"/>
    <w:rsid w:val="001800E0"/>
    <w:rsid w:val="0018162F"/>
    <w:rsid w:val="00182C6C"/>
    <w:rsid w:val="00184011"/>
    <w:rsid w:val="00185C47"/>
    <w:rsid w:val="001866B8"/>
    <w:rsid w:val="00186B95"/>
    <w:rsid w:val="0019018A"/>
    <w:rsid w:val="0019036B"/>
    <w:rsid w:val="0019122E"/>
    <w:rsid w:val="0019422E"/>
    <w:rsid w:val="00194771"/>
    <w:rsid w:val="00195AFA"/>
    <w:rsid w:val="00195F47"/>
    <w:rsid w:val="001968AA"/>
    <w:rsid w:val="00196D01"/>
    <w:rsid w:val="001A1DAC"/>
    <w:rsid w:val="001A30AC"/>
    <w:rsid w:val="001A374F"/>
    <w:rsid w:val="001A47C6"/>
    <w:rsid w:val="001A7718"/>
    <w:rsid w:val="001B0C9F"/>
    <w:rsid w:val="001B1454"/>
    <w:rsid w:val="001B28D9"/>
    <w:rsid w:val="001B4A1E"/>
    <w:rsid w:val="001B4C56"/>
    <w:rsid w:val="001B608E"/>
    <w:rsid w:val="001B6729"/>
    <w:rsid w:val="001C5CC9"/>
    <w:rsid w:val="001D0FB7"/>
    <w:rsid w:val="001D187E"/>
    <w:rsid w:val="001D5E4F"/>
    <w:rsid w:val="001E01DF"/>
    <w:rsid w:val="001E11FE"/>
    <w:rsid w:val="001E4563"/>
    <w:rsid w:val="001E4AD0"/>
    <w:rsid w:val="001E5241"/>
    <w:rsid w:val="001E67C7"/>
    <w:rsid w:val="001F5575"/>
    <w:rsid w:val="0020063D"/>
    <w:rsid w:val="002011A3"/>
    <w:rsid w:val="002023A8"/>
    <w:rsid w:val="002024C3"/>
    <w:rsid w:val="0020728B"/>
    <w:rsid w:val="002120CD"/>
    <w:rsid w:val="002146B3"/>
    <w:rsid w:val="00214EF2"/>
    <w:rsid w:val="002154A8"/>
    <w:rsid w:val="00216C74"/>
    <w:rsid w:val="00217B49"/>
    <w:rsid w:val="00220E7E"/>
    <w:rsid w:val="00221409"/>
    <w:rsid w:val="0022159F"/>
    <w:rsid w:val="00222E9B"/>
    <w:rsid w:val="00222EF0"/>
    <w:rsid w:val="0022589E"/>
    <w:rsid w:val="00226319"/>
    <w:rsid w:val="00230420"/>
    <w:rsid w:val="00230F3E"/>
    <w:rsid w:val="002341A3"/>
    <w:rsid w:val="00234988"/>
    <w:rsid w:val="00235BE0"/>
    <w:rsid w:val="00236A48"/>
    <w:rsid w:val="00236A74"/>
    <w:rsid w:val="00236E60"/>
    <w:rsid w:val="00242433"/>
    <w:rsid w:val="00242678"/>
    <w:rsid w:val="002440AF"/>
    <w:rsid w:val="00244AE8"/>
    <w:rsid w:val="002451FD"/>
    <w:rsid w:val="00245316"/>
    <w:rsid w:val="00245DD0"/>
    <w:rsid w:val="00253E0C"/>
    <w:rsid w:val="00254EC7"/>
    <w:rsid w:val="00255005"/>
    <w:rsid w:val="00255652"/>
    <w:rsid w:val="00255CDF"/>
    <w:rsid w:val="00257032"/>
    <w:rsid w:val="00260DC8"/>
    <w:rsid w:val="00261EA9"/>
    <w:rsid w:val="002630E9"/>
    <w:rsid w:val="00263570"/>
    <w:rsid w:val="002636A5"/>
    <w:rsid w:val="00264B01"/>
    <w:rsid w:val="00266C6F"/>
    <w:rsid w:val="00273566"/>
    <w:rsid w:val="0027557C"/>
    <w:rsid w:val="002756C1"/>
    <w:rsid w:val="00276443"/>
    <w:rsid w:val="0028041F"/>
    <w:rsid w:val="0028054D"/>
    <w:rsid w:val="002823FA"/>
    <w:rsid w:val="00282A4E"/>
    <w:rsid w:val="0028473E"/>
    <w:rsid w:val="002878A0"/>
    <w:rsid w:val="00287BC5"/>
    <w:rsid w:val="00290517"/>
    <w:rsid w:val="00290858"/>
    <w:rsid w:val="00290C79"/>
    <w:rsid w:val="002929FE"/>
    <w:rsid w:val="00294B1C"/>
    <w:rsid w:val="002950D9"/>
    <w:rsid w:val="0029740D"/>
    <w:rsid w:val="00297676"/>
    <w:rsid w:val="002A1685"/>
    <w:rsid w:val="002A36BB"/>
    <w:rsid w:val="002B0AB1"/>
    <w:rsid w:val="002B19B8"/>
    <w:rsid w:val="002B3088"/>
    <w:rsid w:val="002C1452"/>
    <w:rsid w:val="002C1E4B"/>
    <w:rsid w:val="002C41D2"/>
    <w:rsid w:val="002C52B2"/>
    <w:rsid w:val="002C756D"/>
    <w:rsid w:val="002D2DA4"/>
    <w:rsid w:val="002D439B"/>
    <w:rsid w:val="002D4B46"/>
    <w:rsid w:val="002D51E4"/>
    <w:rsid w:val="002D6419"/>
    <w:rsid w:val="002D67BE"/>
    <w:rsid w:val="002D73E2"/>
    <w:rsid w:val="002D7649"/>
    <w:rsid w:val="002E0CDB"/>
    <w:rsid w:val="002E4BDF"/>
    <w:rsid w:val="002E5B9E"/>
    <w:rsid w:val="002E6090"/>
    <w:rsid w:val="002F501C"/>
    <w:rsid w:val="002F7D8F"/>
    <w:rsid w:val="003010FA"/>
    <w:rsid w:val="0030344F"/>
    <w:rsid w:val="00304374"/>
    <w:rsid w:val="0030649E"/>
    <w:rsid w:val="003071A9"/>
    <w:rsid w:val="003110A9"/>
    <w:rsid w:val="00311540"/>
    <w:rsid w:val="00312048"/>
    <w:rsid w:val="00312CC2"/>
    <w:rsid w:val="0031321D"/>
    <w:rsid w:val="00313AD2"/>
    <w:rsid w:val="00314D51"/>
    <w:rsid w:val="00317E1F"/>
    <w:rsid w:val="00320ADF"/>
    <w:rsid w:val="003219AE"/>
    <w:rsid w:val="00321D8B"/>
    <w:rsid w:val="00323699"/>
    <w:rsid w:val="00324C5F"/>
    <w:rsid w:val="00324F4C"/>
    <w:rsid w:val="0032607D"/>
    <w:rsid w:val="003307A8"/>
    <w:rsid w:val="00332101"/>
    <w:rsid w:val="00332523"/>
    <w:rsid w:val="003371FC"/>
    <w:rsid w:val="0034040B"/>
    <w:rsid w:val="00341C59"/>
    <w:rsid w:val="0034389E"/>
    <w:rsid w:val="00344574"/>
    <w:rsid w:val="003455C0"/>
    <w:rsid w:val="00347787"/>
    <w:rsid w:val="003513E5"/>
    <w:rsid w:val="00352097"/>
    <w:rsid w:val="00353959"/>
    <w:rsid w:val="00355398"/>
    <w:rsid w:val="00355B8B"/>
    <w:rsid w:val="00355DC5"/>
    <w:rsid w:val="00356224"/>
    <w:rsid w:val="003564E8"/>
    <w:rsid w:val="00356F76"/>
    <w:rsid w:val="00361FAA"/>
    <w:rsid w:val="00365042"/>
    <w:rsid w:val="00365CAE"/>
    <w:rsid w:val="0036630F"/>
    <w:rsid w:val="0037420D"/>
    <w:rsid w:val="003743DE"/>
    <w:rsid w:val="0037600E"/>
    <w:rsid w:val="0038034E"/>
    <w:rsid w:val="00382CC6"/>
    <w:rsid w:val="00384439"/>
    <w:rsid w:val="00386925"/>
    <w:rsid w:val="00387A5E"/>
    <w:rsid w:val="003912FA"/>
    <w:rsid w:val="00391333"/>
    <w:rsid w:val="00392C3F"/>
    <w:rsid w:val="00392C75"/>
    <w:rsid w:val="00395375"/>
    <w:rsid w:val="0039720F"/>
    <w:rsid w:val="003A06CE"/>
    <w:rsid w:val="003A08FA"/>
    <w:rsid w:val="003A23FF"/>
    <w:rsid w:val="003A253E"/>
    <w:rsid w:val="003A30D2"/>
    <w:rsid w:val="003A35A9"/>
    <w:rsid w:val="003A3883"/>
    <w:rsid w:val="003A4611"/>
    <w:rsid w:val="003A55ED"/>
    <w:rsid w:val="003A60C2"/>
    <w:rsid w:val="003A7D41"/>
    <w:rsid w:val="003B29B4"/>
    <w:rsid w:val="003B469F"/>
    <w:rsid w:val="003B60D5"/>
    <w:rsid w:val="003B706A"/>
    <w:rsid w:val="003C0910"/>
    <w:rsid w:val="003C380C"/>
    <w:rsid w:val="003D0B6B"/>
    <w:rsid w:val="003D2A36"/>
    <w:rsid w:val="003D4182"/>
    <w:rsid w:val="003D4A14"/>
    <w:rsid w:val="003D54A7"/>
    <w:rsid w:val="003D5BED"/>
    <w:rsid w:val="003D6052"/>
    <w:rsid w:val="003D73D9"/>
    <w:rsid w:val="003E389A"/>
    <w:rsid w:val="003E43D7"/>
    <w:rsid w:val="003F1A55"/>
    <w:rsid w:val="003F2E28"/>
    <w:rsid w:val="003F4089"/>
    <w:rsid w:val="003F5D4D"/>
    <w:rsid w:val="003F5E22"/>
    <w:rsid w:val="003F5F5B"/>
    <w:rsid w:val="003F6650"/>
    <w:rsid w:val="00401999"/>
    <w:rsid w:val="00403DD6"/>
    <w:rsid w:val="004049F9"/>
    <w:rsid w:val="00405770"/>
    <w:rsid w:val="00405994"/>
    <w:rsid w:val="00410F53"/>
    <w:rsid w:val="004124B6"/>
    <w:rsid w:val="00412E58"/>
    <w:rsid w:val="00414741"/>
    <w:rsid w:val="00416604"/>
    <w:rsid w:val="0041776E"/>
    <w:rsid w:val="00417BE0"/>
    <w:rsid w:val="00420BA6"/>
    <w:rsid w:val="00422073"/>
    <w:rsid w:val="00422900"/>
    <w:rsid w:val="00435491"/>
    <w:rsid w:val="00436BFF"/>
    <w:rsid w:val="00437E9B"/>
    <w:rsid w:val="00440BAF"/>
    <w:rsid w:val="00441CF3"/>
    <w:rsid w:val="00441DE9"/>
    <w:rsid w:val="0044228B"/>
    <w:rsid w:val="00444233"/>
    <w:rsid w:val="00444461"/>
    <w:rsid w:val="00446285"/>
    <w:rsid w:val="00446FD3"/>
    <w:rsid w:val="0044751F"/>
    <w:rsid w:val="004502E4"/>
    <w:rsid w:val="00451D7C"/>
    <w:rsid w:val="00455060"/>
    <w:rsid w:val="004569E4"/>
    <w:rsid w:val="004608FF"/>
    <w:rsid w:val="0046100A"/>
    <w:rsid w:val="00462A54"/>
    <w:rsid w:val="00462D5E"/>
    <w:rsid w:val="0046419F"/>
    <w:rsid w:val="0046421C"/>
    <w:rsid w:val="00465172"/>
    <w:rsid w:val="00470069"/>
    <w:rsid w:val="00472FFC"/>
    <w:rsid w:val="00475EBF"/>
    <w:rsid w:val="00477A0E"/>
    <w:rsid w:val="00477BB9"/>
    <w:rsid w:val="00482C7E"/>
    <w:rsid w:val="00483B38"/>
    <w:rsid w:val="0048493B"/>
    <w:rsid w:val="00485D15"/>
    <w:rsid w:val="004869FA"/>
    <w:rsid w:val="00491C61"/>
    <w:rsid w:val="004926AC"/>
    <w:rsid w:val="00494D62"/>
    <w:rsid w:val="00496FFA"/>
    <w:rsid w:val="004A0FBB"/>
    <w:rsid w:val="004A1564"/>
    <w:rsid w:val="004A1C74"/>
    <w:rsid w:val="004A1D3D"/>
    <w:rsid w:val="004A68FC"/>
    <w:rsid w:val="004A69EC"/>
    <w:rsid w:val="004A71EE"/>
    <w:rsid w:val="004B1223"/>
    <w:rsid w:val="004B61F2"/>
    <w:rsid w:val="004B6AC7"/>
    <w:rsid w:val="004B6E6D"/>
    <w:rsid w:val="004C2C5C"/>
    <w:rsid w:val="004C4162"/>
    <w:rsid w:val="004C7999"/>
    <w:rsid w:val="004D0481"/>
    <w:rsid w:val="004D13B2"/>
    <w:rsid w:val="004D2C9D"/>
    <w:rsid w:val="004D3522"/>
    <w:rsid w:val="004D47DF"/>
    <w:rsid w:val="004D7B1D"/>
    <w:rsid w:val="004E01B9"/>
    <w:rsid w:val="004E293A"/>
    <w:rsid w:val="004E3E7E"/>
    <w:rsid w:val="004E46E8"/>
    <w:rsid w:val="004E4B4A"/>
    <w:rsid w:val="004E5BF0"/>
    <w:rsid w:val="004F10B6"/>
    <w:rsid w:val="004F1109"/>
    <w:rsid w:val="004F24DC"/>
    <w:rsid w:val="004F3C31"/>
    <w:rsid w:val="004F4024"/>
    <w:rsid w:val="004F5282"/>
    <w:rsid w:val="004F763D"/>
    <w:rsid w:val="00500974"/>
    <w:rsid w:val="00502C94"/>
    <w:rsid w:val="00503657"/>
    <w:rsid w:val="005041E9"/>
    <w:rsid w:val="00511461"/>
    <w:rsid w:val="00512080"/>
    <w:rsid w:val="00515C65"/>
    <w:rsid w:val="00516E42"/>
    <w:rsid w:val="00526E2C"/>
    <w:rsid w:val="00530EDB"/>
    <w:rsid w:val="00535204"/>
    <w:rsid w:val="0053580F"/>
    <w:rsid w:val="00535897"/>
    <w:rsid w:val="00537547"/>
    <w:rsid w:val="00541172"/>
    <w:rsid w:val="005433C0"/>
    <w:rsid w:val="005433F5"/>
    <w:rsid w:val="00543C0E"/>
    <w:rsid w:val="00545741"/>
    <w:rsid w:val="00547C66"/>
    <w:rsid w:val="005506C7"/>
    <w:rsid w:val="005512A1"/>
    <w:rsid w:val="0055762F"/>
    <w:rsid w:val="00561D95"/>
    <w:rsid w:val="00562EE0"/>
    <w:rsid w:val="005660FA"/>
    <w:rsid w:val="00570945"/>
    <w:rsid w:val="0057435B"/>
    <w:rsid w:val="005747E9"/>
    <w:rsid w:val="00576C75"/>
    <w:rsid w:val="005808CB"/>
    <w:rsid w:val="005808CE"/>
    <w:rsid w:val="00580E63"/>
    <w:rsid w:val="005813FE"/>
    <w:rsid w:val="0058169B"/>
    <w:rsid w:val="00581BAC"/>
    <w:rsid w:val="00582417"/>
    <w:rsid w:val="00582C42"/>
    <w:rsid w:val="00585F28"/>
    <w:rsid w:val="0058722C"/>
    <w:rsid w:val="00587BA1"/>
    <w:rsid w:val="00590A14"/>
    <w:rsid w:val="005912F7"/>
    <w:rsid w:val="00591364"/>
    <w:rsid w:val="00592F68"/>
    <w:rsid w:val="00594301"/>
    <w:rsid w:val="005945D1"/>
    <w:rsid w:val="00594A14"/>
    <w:rsid w:val="00594E1F"/>
    <w:rsid w:val="00596493"/>
    <w:rsid w:val="005971E2"/>
    <w:rsid w:val="00597266"/>
    <w:rsid w:val="005A4CC7"/>
    <w:rsid w:val="005A6F4A"/>
    <w:rsid w:val="005A76BD"/>
    <w:rsid w:val="005A779C"/>
    <w:rsid w:val="005B40E3"/>
    <w:rsid w:val="005B4C9C"/>
    <w:rsid w:val="005B4E5D"/>
    <w:rsid w:val="005B4F3B"/>
    <w:rsid w:val="005B5640"/>
    <w:rsid w:val="005B5AE7"/>
    <w:rsid w:val="005B64EB"/>
    <w:rsid w:val="005C05AB"/>
    <w:rsid w:val="005C4C8F"/>
    <w:rsid w:val="005C693E"/>
    <w:rsid w:val="005C6A8A"/>
    <w:rsid w:val="005D0A10"/>
    <w:rsid w:val="005D1D22"/>
    <w:rsid w:val="005D3006"/>
    <w:rsid w:val="005D38EA"/>
    <w:rsid w:val="005D460E"/>
    <w:rsid w:val="005D6B83"/>
    <w:rsid w:val="005D754B"/>
    <w:rsid w:val="005E20E2"/>
    <w:rsid w:val="005E503C"/>
    <w:rsid w:val="005F13AD"/>
    <w:rsid w:val="005F28F0"/>
    <w:rsid w:val="005F685D"/>
    <w:rsid w:val="00600493"/>
    <w:rsid w:val="00600B41"/>
    <w:rsid w:val="00601643"/>
    <w:rsid w:val="0060490B"/>
    <w:rsid w:val="00605383"/>
    <w:rsid w:val="0060652B"/>
    <w:rsid w:val="00606869"/>
    <w:rsid w:val="00606A21"/>
    <w:rsid w:val="00610039"/>
    <w:rsid w:val="00610DBE"/>
    <w:rsid w:val="006113D0"/>
    <w:rsid w:val="00612AD9"/>
    <w:rsid w:val="00615630"/>
    <w:rsid w:val="00615FC1"/>
    <w:rsid w:val="006203C5"/>
    <w:rsid w:val="006212A3"/>
    <w:rsid w:val="00626E7B"/>
    <w:rsid w:val="00630EEB"/>
    <w:rsid w:val="006315CC"/>
    <w:rsid w:val="0063322A"/>
    <w:rsid w:val="00633F28"/>
    <w:rsid w:val="00635D33"/>
    <w:rsid w:val="00640743"/>
    <w:rsid w:val="006409BB"/>
    <w:rsid w:val="00640B95"/>
    <w:rsid w:val="00641888"/>
    <w:rsid w:val="0064198E"/>
    <w:rsid w:val="00641E19"/>
    <w:rsid w:val="00643325"/>
    <w:rsid w:val="00644849"/>
    <w:rsid w:val="006457F7"/>
    <w:rsid w:val="00646FA7"/>
    <w:rsid w:val="006519F1"/>
    <w:rsid w:val="00653010"/>
    <w:rsid w:val="0065347F"/>
    <w:rsid w:val="006550CE"/>
    <w:rsid w:val="00655A56"/>
    <w:rsid w:val="00655E2C"/>
    <w:rsid w:val="00656FC8"/>
    <w:rsid w:val="006579F5"/>
    <w:rsid w:val="00660021"/>
    <w:rsid w:val="0066080C"/>
    <w:rsid w:val="006613C6"/>
    <w:rsid w:val="0066548E"/>
    <w:rsid w:val="006657D5"/>
    <w:rsid w:val="006663B8"/>
    <w:rsid w:val="00667916"/>
    <w:rsid w:val="00670371"/>
    <w:rsid w:val="006744E7"/>
    <w:rsid w:val="006746FD"/>
    <w:rsid w:val="00674827"/>
    <w:rsid w:val="00675125"/>
    <w:rsid w:val="0067528E"/>
    <w:rsid w:val="00677E43"/>
    <w:rsid w:val="006806F1"/>
    <w:rsid w:val="00681A21"/>
    <w:rsid w:val="0068255F"/>
    <w:rsid w:val="00682A98"/>
    <w:rsid w:val="00682FDF"/>
    <w:rsid w:val="00685A88"/>
    <w:rsid w:val="00687107"/>
    <w:rsid w:val="006917CA"/>
    <w:rsid w:val="00693634"/>
    <w:rsid w:val="006A0464"/>
    <w:rsid w:val="006A1D80"/>
    <w:rsid w:val="006A6380"/>
    <w:rsid w:val="006B0FC7"/>
    <w:rsid w:val="006B12D0"/>
    <w:rsid w:val="006B1470"/>
    <w:rsid w:val="006B3A3A"/>
    <w:rsid w:val="006B5578"/>
    <w:rsid w:val="006B6DA0"/>
    <w:rsid w:val="006B7A93"/>
    <w:rsid w:val="006B7DA5"/>
    <w:rsid w:val="006B7EC0"/>
    <w:rsid w:val="006C7317"/>
    <w:rsid w:val="006C7A28"/>
    <w:rsid w:val="006D126B"/>
    <w:rsid w:val="006D2771"/>
    <w:rsid w:val="006D5620"/>
    <w:rsid w:val="006D5B78"/>
    <w:rsid w:val="006D65C0"/>
    <w:rsid w:val="006D66E1"/>
    <w:rsid w:val="006D7F78"/>
    <w:rsid w:val="006E04DD"/>
    <w:rsid w:val="006E050B"/>
    <w:rsid w:val="006E18D7"/>
    <w:rsid w:val="006E1BEF"/>
    <w:rsid w:val="006E3783"/>
    <w:rsid w:val="006E5410"/>
    <w:rsid w:val="006E770E"/>
    <w:rsid w:val="006F0E21"/>
    <w:rsid w:val="006F0E43"/>
    <w:rsid w:val="006F284C"/>
    <w:rsid w:val="006F40B1"/>
    <w:rsid w:val="006F4BEF"/>
    <w:rsid w:val="006F4D00"/>
    <w:rsid w:val="00700236"/>
    <w:rsid w:val="007008FF"/>
    <w:rsid w:val="00701801"/>
    <w:rsid w:val="00701A1E"/>
    <w:rsid w:val="00701D49"/>
    <w:rsid w:val="007033A9"/>
    <w:rsid w:val="00703791"/>
    <w:rsid w:val="00703D49"/>
    <w:rsid w:val="007051DF"/>
    <w:rsid w:val="007068EB"/>
    <w:rsid w:val="007113A5"/>
    <w:rsid w:val="00711A65"/>
    <w:rsid w:val="00712567"/>
    <w:rsid w:val="00713E0B"/>
    <w:rsid w:val="00714C8B"/>
    <w:rsid w:val="0071741F"/>
    <w:rsid w:val="00717BD9"/>
    <w:rsid w:val="00721732"/>
    <w:rsid w:val="00721B2D"/>
    <w:rsid w:val="00721EAB"/>
    <w:rsid w:val="00724E62"/>
    <w:rsid w:val="007301F1"/>
    <w:rsid w:val="00731288"/>
    <w:rsid w:val="00741EF8"/>
    <w:rsid w:val="007428F0"/>
    <w:rsid w:val="0074324E"/>
    <w:rsid w:val="00743F16"/>
    <w:rsid w:val="007443CE"/>
    <w:rsid w:val="00746E22"/>
    <w:rsid w:val="007477B5"/>
    <w:rsid w:val="00750007"/>
    <w:rsid w:val="007503E2"/>
    <w:rsid w:val="00750CA3"/>
    <w:rsid w:val="0075225B"/>
    <w:rsid w:val="007542CE"/>
    <w:rsid w:val="007554BD"/>
    <w:rsid w:val="007555AF"/>
    <w:rsid w:val="0075692B"/>
    <w:rsid w:val="00756C46"/>
    <w:rsid w:val="00757E68"/>
    <w:rsid w:val="00757E8F"/>
    <w:rsid w:val="00757EE4"/>
    <w:rsid w:val="00761325"/>
    <w:rsid w:val="0076144A"/>
    <w:rsid w:val="00761F12"/>
    <w:rsid w:val="007634B2"/>
    <w:rsid w:val="007637DC"/>
    <w:rsid w:val="00764FCB"/>
    <w:rsid w:val="00765DED"/>
    <w:rsid w:val="00766A0A"/>
    <w:rsid w:val="007718CA"/>
    <w:rsid w:val="00773ED1"/>
    <w:rsid w:val="00775204"/>
    <w:rsid w:val="007768D6"/>
    <w:rsid w:val="00780E7A"/>
    <w:rsid w:val="00782146"/>
    <w:rsid w:val="007856A4"/>
    <w:rsid w:val="00786E25"/>
    <w:rsid w:val="00787647"/>
    <w:rsid w:val="00792936"/>
    <w:rsid w:val="00792FFD"/>
    <w:rsid w:val="00795255"/>
    <w:rsid w:val="00796E20"/>
    <w:rsid w:val="007A0DA3"/>
    <w:rsid w:val="007A119D"/>
    <w:rsid w:val="007A219A"/>
    <w:rsid w:val="007A3BFB"/>
    <w:rsid w:val="007A4509"/>
    <w:rsid w:val="007A4DB0"/>
    <w:rsid w:val="007A5FF3"/>
    <w:rsid w:val="007B4D4B"/>
    <w:rsid w:val="007B5FCD"/>
    <w:rsid w:val="007B736A"/>
    <w:rsid w:val="007B7F63"/>
    <w:rsid w:val="007C0329"/>
    <w:rsid w:val="007C0BF5"/>
    <w:rsid w:val="007C25A5"/>
    <w:rsid w:val="007C426A"/>
    <w:rsid w:val="007D0672"/>
    <w:rsid w:val="007D29E1"/>
    <w:rsid w:val="007D3D49"/>
    <w:rsid w:val="007D3FAC"/>
    <w:rsid w:val="007D5B69"/>
    <w:rsid w:val="007D5FF9"/>
    <w:rsid w:val="007E2609"/>
    <w:rsid w:val="007E4824"/>
    <w:rsid w:val="007E5A0E"/>
    <w:rsid w:val="007F1373"/>
    <w:rsid w:val="007F1A5A"/>
    <w:rsid w:val="007F2AA0"/>
    <w:rsid w:val="007F2F49"/>
    <w:rsid w:val="007F32C7"/>
    <w:rsid w:val="007F4C0E"/>
    <w:rsid w:val="007F7277"/>
    <w:rsid w:val="00803029"/>
    <w:rsid w:val="0080370D"/>
    <w:rsid w:val="0081016B"/>
    <w:rsid w:val="008115C5"/>
    <w:rsid w:val="00812556"/>
    <w:rsid w:val="00812F79"/>
    <w:rsid w:val="008130BA"/>
    <w:rsid w:val="008159C7"/>
    <w:rsid w:val="00817331"/>
    <w:rsid w:val="00820038"/>
    <w:rsid w:val="0082211E"/>
    <w:rsid w:val="00823BF7"/>
    <w:rsid w:val="0082523C"/>
    <w:rsid w:val="00825659"/>
    <w:rsid w:val="00825F00"/>
    <w:rsid w:val="00826226"/>
    <w:rsid w:val="00830957"/>
    <w:rsid w:val="00833997"/>
    <w:rsid w:val="00833E19"/>
    <w:rsid w:val="00834F0B"/>
    <w:rsid w:val="008401A3"/>
    <w:rsid w:val="00840223"/>
    <w:rsid w:val="0084114B"/>
    <w:rsid w:val="008436D0"/>
    <w:rsid w:val="008439EF"/>
    <w:rsid w:val="00843FB1"/>
    <w:rsid w:val="00844C08"/>
    <w:rsid w:val="00844F83"/>
    <w:rsid w:val="008469D1"/>
    <w:rsid w:val="00846CAF"/>
    <w:rsid w:val="00846FFC"/>
    <w:rsid w:val="00851579"/>
    <w:rsid w:val="008550BC"/>
    <w:rsid w:val="008567C6"/>
    <w:rsid w:val="008600FE"/>
    <w:rsid w:val="0086068D"/>
    <w:rsid w:val="00860A12"/>
    <w:rsid w:val="00861FCF"/>
    <w:rsid w:val="00870691"/>
    <w:rsid w:val="00873D38"/>
    <w:rsid w:val="00877E3F"/>
    <w:rsid w:val="0088160F"/>
    <w:rsid w:val="00882A9D"/>
    <w:rsid w:val="008836AE"/>
    <w:rsid w:val="00885072"/>
    <w:rsid w:val="00890473"/>
    <w:rsid w:val="00891468"/>
    <w:rsid w:val="00891516"/>
    <w:rsid w:val="008956FE"/>
    <w:rsid w:val="008966DC"/>
    <w:rsid w:val="00897194"/>
    <w:rsid w:val="008A409C"/>
    <w:rsid w:val="008A579F"/>
    <w:rsid w:val="008A5B23"/>
    <w:rsid w:val="008A5C01"/>
    <w:rsid w:val="008A63E0"/>
    <w:rsid w:val="008A6AD5"/>
    <w:rsid w:val="008A6B39"/>
    <w:rsid w:val="008A6B3C"/>
    <w:rsid w:val="008A6E49"/>
    <w:rsid w:val="008A739C"/>
    <w:rsid w:val="008B2224"/>
    <w:rsid w:val="008B53F5"/>
    <w:rsid w:val="008C2754"/>
    <w:rsid w:val="008C36AA"/>
    <w:rsid w:val="008C4AB6"/>
    <w:rsid w:val="008C4C3C"/>
    <w:rsid w:val="008D18E4"/>
    <w:rsid w:val="008D1DEF"/>
    <w:rsid w:val="008D3342"/>
    <w:rsid w:val="008D4C5C"/>
    <w:rsid w:val="008D76FA"/>
    <w:rsid w:val="008E0D56"/>
    <w:rsid w:val="008E171B"/>
    <w:rsid w:val="008E3DC9"/>
    <w:rsid w:val="008E5D4A"/>
    <w:rsid w:val="008E5ED8"/>
    <w:rsid w:val="008E74A8"/>
    <w:rsid w:val="008F2250"/>
    <w:rsid w:val="008F324F"/>
    <w:rsid w:val="008F69FE"/>
    <w:rsid w:val="008F7AFC"/>
    <w:rsid w:val="00900858"/>
    <w:rsid w:val="0090448C"/>
    <w:rsid w:val="00904C1C"/>
    <w:rsid w:val="00905747"/>
    <w:rsid w:val="00906745"/>
    <w:rsid w:val="00907055"/>
    <w:rsid w:val="0090779E"/>
    <w:rsid w:val="0091086C"/>
    <w:rsid w:val="00913D8A"/>
    <w:rsid w:val="009164F8"/>
    <w:rsid w:val="00917BC5"/>
    <w:rsid w:val="009201CE"/>
    <w:rsid w:val="00923C26"/>
    <w:rsid w:val="00923E7E"/>
    <w:rsid w:val="00926A62"/>
    <w:rsid w:val="00927464"/>
    <w:rsid w:val="00931DCD"/>
    <w:rsid w:val="00932B8A"/>
    <w:rsid w:val="00933D75"/>
    <w:rsid w:val="009350EF"/>
    <w:rsid w:val="00936303"/>
    <w:rsid w:val="00936356"/>
    <w:rsid w:val="00937867"/>
    <w:rsid w:val="009416EB"/>
    <w:rsid w:val="0094449F"/>
    <w:rsid w:val="00944FA4"/>
    <w:rsid w:val="00945153"/>
    <w:rsid w:val="009459E1"/>
    <w:rsid w:val="0094619D"/>
    <w:rsid w:val="009461E0"/>
    <w:rsid w:val="00946A7C"/>
    <w:rsid w:val="00947A1D"/>
    <w:rsid w:val="009528CF"/>
    <w:rsid w:val="00953022"/>
    <w:rsid w:val="00953D91"/>
    <w:rsid w:val="00955470"/>
    <w:rsid w:val="00955CB5"/>
    <w:rsid w:val="009574E4"/>
    <w:rsid w:val="00963B79"/>
    <w:rsid w:val="00964F36"/>
    <w:rsid w:val="0097087D"/>
    <w:rsid w:val="0097203B"/>
    <w:rsid w:val="0097589B"/>
    <w:rsid w:val="0097634B"/>
    <w:rsid w:val="00976FA3"/>
    <w:rsid w:val="00977B29"/>
    <w:rsid w:val="009811C0"/>
    <w:rsid w:val="009838A1"/>
    <w:rsid w:val="00984600"/>
    <w:rsid w:val="0098570E"/>
    <w:rsid w:val="0099277E"/>
    <w:rsid w:val="00992A36"/>
    <w:rsid w:val="00992ECA"/>
    <w:rsid w:val="00993907"/>
    <w:rsid w:val="00993C67"/>
    <w:rsid w:val="009952EC"/>
    <w:rsid w:val="00995911"/>
    <w:rsid w:val="00996AD6"/>
    <w:rsid w:val="00997558"/>
    <w:rsid w:val="009A1B6C"/>
    <w:rsid w:val="009A42A7"/>
    <w:rsid w:val="009A491A"/>
    <w:rsid w:val="009A5E18"/>
    <w:rsid w:val="009B2005"/>
    <w:rsid w:val="009B4252"/>
    <w:rsid w:val="009B54DD"/>
    <w:rsid w:val="009B5AB3"/>
    <w:rsid w:val="009C4737"/>
    <w:rsid w:val="009C5D98"/>
    <w:rsid w:val="009D027C"/>
    <w:rsid w:val="009D20D0"/>
    <w:rsid w:val="009D245B"/>
    <w:rsid w:val="009D258A"/>
    <w:rsid w:val="009D50AD"/>
    <w:rsid w:val="009E2956"/>
    <w:rsid w:val="009E2BED"/>
    <w:rsid w:val="009E2D84"/>
    <w:rsid w:val="009E44B7"/>
    <w:rsid w:val="009E5005"/>
    <w:rsid w:val="009E5283"/>
    <w:rsid w:val="009E614B"/>
    <w:rsid w:val="009F4276"/>
    <w:rsid w:val="009F5910"/>
    <w:rsid w:val="009F7C85"/>
    <w:rsid w:val="00A0258E"/>
    <w:rsid w:val="00A037DB"/>
    <w:rsid w:val="00A100D1"/>
    <w:rsid w:val="00A10406"/>
    <w:rsid w:val="00A1464E"/>
    <w:rsid w:val="00A146C8"/>
    <w:rsid w:val="00A14A4D"/>
    <w:rsid w:val="00A1564B"/>
    <w:rsid w:val="00A1653E"/>
    <w:rsid w:val="00A176C0"/>
    <w:rsid w:val="00A20F9A"/>
    <w:rsid w:val="00A21251"/>
    <w:rsid w:val="00A216FE"/>
    <w:rsid w:val="00A22E7E"/>
    <w:rsid w:val="00A25E22"/>
    <w:rsid w:val="00A26BD2"/>
    <w:rsid w:val="00A3178E"/>
    <w:rsid w:val="00A32011"/>
    <w:rsid w:val="00A3202F"/>
    <w:rsid w:val="00A3218D"/>
    <w:rsid w:val="00A3332F"/>
    <w:rsid w:val="00A357CB"/>
    <w:rsid w:val="00A36162"/>
    <w:rsid w:val="00A37E59"/>
    <w:rsid w:val="00A400FA"/>
    <w:rsid w:val="00A405AF"/>
    <w:rsid w:val="00A4590D"/>
    <w:rsid w:val="00A46FDC"/>
    <w:rsid w:val="00A50131"/>
    <w:rsid w:val="00A505CF"/>
    <w:rsid w:val="00A53003"/>
    <w:rsid w:val="00A538AA"/>
    <w:rsid w:val="00A55401"/>
    <w:rsid w:val="00A5596C"/>
    <w:rsid w:val="00A568D2"/>
    <w:rsid w:val="00A569FB"/>
    <w:rsid w:val="00A56F08"/>
    <w:rsid w:val="00A605EF"/>
    <w:rsid w:val="00A65260"/>
    <w:rsid w:val="00A661FE"/>
    <w:rsid w:val="00A70D3B"/>
    <w:rsid w:val="00A718D6"/>
    <w:rsid w:val="00A72FE7"/>
    <w:rsid w:val="00A73FF5"/>
    <w:rsid w:val="00A7477B"/>
    <w:rsid w:val="00A74D3B"/>
    <w:rsid w:val="00A74F2A"/>
    <w:rsid w:val="00A75157"/>
    <w:rsid w:val="00A75C2A"/>
    <w:rsid w:val="00A75FBC"/>
    <w:rsid w:val="00A804CD"/>
    <w:rsid w:val="00A830A8"/>
    <w:rsid w:val="00A831BA"/>
    <w:rsid w:val="00A90059"/>
    <w:rsid w:val="00A9252A"/>
    <w:rsid w:val="00A93AD7"/>
    <w:rsid w:val="00A94D8C"/>
    <w:rsid w:val="00A9698A"/>
    <w:rsid w:val="00AA1BCB"/>
    <w:rsid w:val="00AA2162"/>
    <w:rsid w:val="00AA347D"/>
    <w:rsid w:val="00AA4DB9"/>
    <w:rsid w:val="00AA5C90"/>
    <w:rsid w:val="00AA70A7"/>
    <w:rsid w:val="00AB0806"/>
    <w:rsid w:val="00AB2681"/>
    <w:rsid w:val="00AB3907"/>
    <w:rsid w:val="00AC36E8"/>
    <w:rsid w:val="00AC6188"/>
    <w:rsid w:val="00AC6C40"/>
    <w:rsid w:val="00AD0249"/>
    <w:rsid w:val="00AD3BF8"/>
    <w:rsid w:val="00AD5A9B"/>
    <w:rsid w:val="00AD6342"/>
    <w:rsid w:val="00AD7855"/>
    <w:rsid w:val="00AE0AE6"/>
    <w:rsid w:val="00AE1A98"/>
    <w:rsid w:val="00AE1CC3"/>
    <w:rsid w:val="00AE2015"/>
    <w:rsid w:val="00AE27C2"/>
    <w:rsid w:val="00AE408E"/>
    <w:rsid w:val="00AE66C5"/>
    <w:rsid w:val="00AE676C"/>
    <w:rsid w:val="00AE6F74"/>
    <w:rsid w:val="00AE7635"/>
    <w:rsid w:val="00AE7F20"/>
    <w:rsid w:val="00AF08FF"/>
    <w:rsid w:val="00AF0C9F"/>
    <w:rsid w:val="00AF150B"/>
    <w:rsid w:val="00AF25EE"/>
    <w:rsid w:val="00AF2AA3"/>
    <w:rsid w:val="00AF3CCB"/>
    <w:rsid w:val="00AF5878"/>
    <w:rsid w:val="00B050B9"/>
    <w:rsid w:val="00B108B6"/>
    <w:rsid w:val="00B167AA"/>
    <w:rsid w:val="00B1764F"/>
    <w:rsid w:val="00B20FD3"/>
    <w:rsid w:val="00B21647"/>
    <w:rsid w:val="00B2255C"/>
    <w:rsid w:val="00B232DF"/>
    <w:rsid w:val="00B24F91"/>
    <w:rsid w:val="00B33900"/>
    <w:rsid w:val="00B342B4"/>
    <w:rsid w:val="00B36BE0"/>
    <w:rsid w:val="00B37340"/>
    <w:rsid w:val="00B43BD4"/>
    <w:rsid w:val="00B43F70"/>
    <w:rsid w:val="00B46462"/>
    <w:rsid w:val="00B4750E"/>
    <w:rsid w:val="00B4762A"/>
    <w:rsid w:val="00B53152"/>
    <w:rsid w:val="00B557AD"/>
    <w:rsid w:val="00B55CAF"/>
    <w:rsid w:val="00B57E7F"/>
    <w:rsid w:val="00B60B3B"/>
    <w:rsid w:val="00B615A8"/>
    <w:rsid w:val="00B62D15"/>
    <w:rsid w:val="00B70E55"/>
    <w:rsid w:val="00B7208C"/>
    <w:rsid w:val="00B7374C"/>
    <w:rsid w:val="00B7543A"/>
    <w:rsid w:val="00B7625F"/>
    <w:rsid w:val="00B80446"/>
    <w:rsid w:val="00B83547"/>
    <w:rsid w:val="00B850E1"/>
    <w:rsid w:val="00B85EEF"/>
    <w:rsid w:val="00B95832"/>
    <w:rsid w:val="00BA0752"/>
    <w:rsid w:val="00BA1B20"/>
    <w:rsid w:val="00BA1F2B"/>
    <w:rsid w:val="00BA3A91"/>
    <w:rsid w:val="00BA4415"/>
    <w:rsid w:val="00BA50A7"/>
    <w:rsid w:val="00BA6037"/>
    <w:rsid w:val="00BA7637"/>
    <w:rsid w:val="00BB2ADA"/>
    <w:rsid w:val="00BB2D79"/>
    <w:rsid w:val="00BB4CCE"/>
    <w:rsid w:val="00BB4FCA"/>
    <w:rsid w:val="00BC0E3F"/>
    <w:rsid w:val="00BC0FFA"/>
    <w:rsid w:val="00BC3264"/>
    <w:rsid w:val="00BC527D"/>
    <w:rsid w:val="00BC66B6"/>
    <w:rsid w:val="00BD09BB"/>
    <w:rsid w:val="00BD3A1B"/>
    <w:rsid w:val="00BD4380"/>
    <w:rsid w:val="00BD4ABE"/>
    <w:rsid w:val="00BD72AF"/>
    <w:rsid w:val="00BE03CF"/>
    <w:rsid w:val="00BE2714"/>
    <w:rsid w:val="00BE2F48"/>
    <w:rsid w:val="00BE4C56"/>
    <w:rsid w:val="00BE5378"/>
    <w:rsid w:val="00BE5C3D"/>
    <w:rsid w:val="00BE5CC3"/>
    <w:rsid w:val="00BE7DE9"/>
    <w:rsid w:val="00BF06D5"/>
    <w:rsid w:val="00BF07C3"/>
    <w:rsid w:val="00BF1FEC"/>
    <w:rsid w:val="00BF227A"/>
    <w:rsid w:val="00BF2F82"/>
    <w:rsid w:val="00BF5758"/>
    <w:rsid w:val="00BF5AB6"/>
    <w:rsid w:val="00BF78E2"/>
    <w:rsid w:val="00BF7E54"/>
    <w:rsid w:val="00C060BF"/>
    <w:rsid w:val="00C06546"/>
    <w:rsid w:val="00C06BB6"/>
    <w:rsid w:val="00C06FD7"/>
    <w:rsid w:val="00C10143"/>
    <w:rsid w:val="00C11AD0"/>
    <w:rsid w:val="00C13E09"/>
    <w:rsid w:val="00C155B3"/>
    <w:rsid w:val="00C23576"/>
    <w:rsid w:val="00C23F51"/>
    <w:rsid w:val="00C24368"/>
    <w:rsid w:val="00C25390"/>
    <w:rsid w:val="00C26209"/>
    <w:rsid w:val="00C3022F"/>
    <w:rsid w:val="00C3121D"/>
    <w:rsid w:val="00C31E7B"/>
    <w:rsid w:val="00C3244B"/>
    <w:rsid w:val="00C34016"/>
    <w:rsid w:val="00C3584C"/>
    <w:rsid w:val="00C35DE0"/>
    <w:rsid w:val="00C36117"/>
    <w:rsid w:val="00C40299"/>
    <w:rsid w:val="00C438E2"/>
    <w:rsid w:val="00C43B48"/>
    <w:rsid w:val="00C43BFC"/>
    <w:rsid w:val="00C44048"/>
    <w:rsid w:val="00C4683C"/>
    <w:rsid w:val="00C62058"/>
    <w:rsid w:val="00C636D3"/>
    <w:rsid w:val="00C649AB"/>
    <w:rsid w:val="00C66603"/>
    <w:rsid w:val="00C66E24"/>
    <w:rsid w:val="00C66F25"/>
    <w:rsid w:val="00C70573"/>
    <w:rsid w:val="00C70C0A"/>
    <w:rsid w:val="00C73F57"/>
    <w:rsid w:val="00C74ADB"/>
    <w:rsid w:val="00C75258"/>
    <w:rsid w:val="00C761A7"/>
    <w:rsid w:val="00C76938"/>
    <w:rsid w:val="00C77C77"/>
    <w:rsid w:val="00C80DDB"/>
    <w:rsid w:val="00C81AFE"/>
    <w:rsid w:val="00C81C05"/>
    <w:rsid w:val="00C81D96"/>
    <w:rsid w:val="00C83940"/>
    <w:rsid w:val="00C83BA0"/>
    <w:rsid w:val="00C83E8F"/>
    <w:rsid w:val="00C848EB"/>
    <w:rsid w:val="00C84E5D"/>
    <w:rsid w:val="00C86EB2"/>
    <w:rsid w:val="00C918D6"/>
    <w:rsid w:val="00C91B41"/>
    <w:rsid w:val="00C93B05"/>
    <w:rsid w:val="00C948CC"/>
    <w:rsid w:val="00C94B07"/>
    <w:rsid w:val="00CA2016"/>
    <w:rsid w:val="00CA3400"/>
    <w:rsid w:val="00CA5E03"/>
    <w:rsid w:val="00CA68B4"/>
    <w:rsid w:val="00CA6C8D"/>
    <w:rsid w:val="00CB2B33"/>
    <w:rsid w:val="00CB4060"/>
    <w:rsid w:val="00CB42DA"/>
    <w:rsid w:val="00CB4B6C"/>
    <w:rsid w:val="00CB759F"/>
    <w:rsid w:val="00CB78FF"/>
    <w:rsid w:val="00CC1CD9"/>
    <w:rsid w:val="00CC22EB"/>
    <w:rsid w:val="00CC37C6"/>
    <w:rsid w:val="00CC3C77"/>
    <w:rsid w:val="00CC3FBE"/>
    <w:rsid w:val="00CC6557"/>
    <w:rsid w:val="00CC6783"/>
    <w:rsid w:val="00CD072A"/>
    <w:rsid w:val="00CD1D13"/>
    <w:rsid w:val="00CD1E9E"/>
    <w:rsid w:val="00CD2C70"/>
    <w:rsid w:val="00CD6152"/>
    <w:rsid w:val="00CE1131"/>
    <w:rsid w:val="00CE243C"/>
    <w:rsid w:val="00CE24F2"/>
    <w:rsid w:val="00CE2A09"/>
    <w:rsid w:val="00CE2ABA"/>
    <w:rsid w:val="00CE3EA9"/>
    <w:rsid w:val="00CE56CF"/>
    <w:rsid w:val="00CE672D"/>
    <w:rsid w:val="00CF18FE"/>
    <w:rsid w:val="00CF258A"/>
    <w:rsid w:val="00CF38A3"/>
    <w:rsid w:val="00CF4CB7"/>
    <w:rsid w:val="00D005D0"/>
    <w:rsid w:val="00D01128"/>
    <w:rsid w:val="00D01F85"/>
    <w:rsid w:val="00D022C6"/>
    <w:rsid w:val="00D0304E"/>
    <w:rsid w:val="00D04D83"/>
    <w:rsid w:val="00D05540"/>
    <w:rsid w:val="00D0582B"/>
    <w:rsid w:val="00D06B45"/>
    <w:rsid w:val="00D07900"/>
    <w:rsid w:val="00D07E37"/>
    <w:rsid w:val="00D101F4"/>
    <w:rsid w:val="00D10488"/>
    <w:rsid w:val="00D1317D"/>
    <w:rsid w:val="00D1423E"/>
    <w:rsid w:val="00D14701"/>
    <w:rsid w:val="00D15483"/>
    <w:rsid w:val="00D23573"/>
    <w:rsid w:val="00D23DD7"/>
    <w:rsid w:val="00D24AA1"/>
    <w:rsid w:val="00D24B19"/>
    <w:rsid w:val="00D25D11"/>
    <w:rsid w:val="00D271F1"/>
    <w:rsid w:val="00D27AC6"/>
    <w:rsid w:val="00D3220F"/>
    <w:rsid w:val="00D33D3D"/>
    <w:rsid w:val="00D3799C"/>
    <w:rsid w:val="00D40490"/>
    <w:rsid w:val="00D43462"/>
    <w:rsid w:val="00D449B8"/>
    <w:rsid w:val="00D471A4"/>
    <w:rsid w:val="00D475B0"/>
    <w:rsid w:val="00D50209"/>
    <w:rsid w:val="00D5123A"/>
    <w:rsid w:val="00D514E0"/>
    <w:rsid w:val="00D520ED"/>
    <w:rsid w:val="00D5491D"/>
    <w:rsid w:val="00D56328"/>
    <w:rsid w:val="00D61EE8"/>
    <w:rsid w:val="00D63B43"/>
    <w:rsid w:val="00D644A7"/>
    <w:rsid w:val="00D64F90"/>
    <w:rsid w:val="00D6552B"/>
    <w:rsid w:val="00D6760A"/>
    <w:rsid w:val="00D67C63"/>
    <w:rsid w:val="00D70AF2"/>
    <w:rsid w:val="00D71BDB"/>
    <w:rsid w:val="00D72320"/>
    <w:rsid w:val="00D72703"/>
    <w:rsid w:val="00D739C3"/>
    <w:rsid w:val="00D73FF0"/>
    <w:rsid w:val="00D74E50"/>
    <w:rsid w:val="00D75AAF"/>
    <w:rsid w:val="00D764D3"/>
    <w:rsid w:val="00D76ADA"/>
    <w:rsid w:val="00D77741"/>
    <w:rsid w:val="00D81EDA"/>
    <w:rsid w:val="00D852F1"/>
    <w:rsid w:val="00D900CC"/>
    <w:rsid w:val="00D90513"/>
    <w:rsid w:val="00D9062D"/>
    <w:rsid w:val="00D92D2B"/>
    <w:rsid w:val="00DA0040"/>
    <w:rsid w:val="00DA00F3"/>
    <w:rsid w:val="00DA2D48"/>
    <w:rsid w:val="00DA32E4"/>
    <w:rsid w:val="00DA43C5"/>
    <w:rsid w:val="00DA461E"/>
    <w:rsid w:val="00DB3741"/>
    <w:rsid w:val="00DB37B2"/>
    <w:rsid w:val="00DB38B3"/>
    <w:rsid w:val="00DB5348"/>
    <w:rsid w:val="00DB5772"/>
    <w:rsid w:val="00DB6412"/>
    <w:rsid w:val="00DB6B74"/>
    <w:rsid w:val="00DB6CA7"/>
    <w:rsid w:val="00DB77A6"/>
    <w:rsid w:val="00DC0301"/>
    <w:rsid w:val="00DC1487"/>
    <w:rsid w:val="00DC1730"/>
    <w:rsid w:val="00DC2B6B"/>
    <w:rsid w:val="00DC349D"/>
    <w:rsid w:val="00DC4F72"/>
    <w:rsid w:val="00DD1156"/>
    <w:rsid w:val="00DD2FFD"/>
    <w:rsid w:val="00DD4680"/>
    <w:rsid w:val="00DE0BC8"/>
    <w:rsid w:val="00DE1305"/>
    <w:rsid w:val="00DE48AB"/>
    <w:rsid w:val="00DE5B0E"/>
    <w:rsid w:val="00DE5B54"/>
    <w:rsid w:val="00DE62A8"/>
    <w:rsid w:val="00DE7693"/>
    <w:rsid w:val="00DE7929"/>
    <w:rsid w:val="00DF4D5D"/>
    <w:rsid w:val="00DF5123"/>
    <w:rsid w:val="00DF7B1A"/>
    <w:rsid w:val="00E02D27"/>
    <w:rsid w:val="00E05C7F"/>
    <w:rsid w:val="00E0610E"/>
    <w:rsid w:val="00E10CE4"/>
    <w:rsid w:val="00E1153B"/>
    <w:rsid w:val="00E1621F"/>
    <w:rsid w:val="00E163F1"/>
    <w:rsid w:val="00E1659D"/>
    <w:rsid w:val="00E2582E"/>
    <w:rsid w:val="00E26D12"/>
    <w:rsid w:val="00E317F0"/>
    <w:rsid w:val="00E3523B"/>
    <w:rsid w:val="00E355F7"/>
    <w:rsid w:val="00E35A05"/>
    <w:rsid w:val="00E36BFE"/>
    <w:rsid w:val="00E43B94"/>
    <w:rsid w:val="00E44DF6"/>
    <w:rsid w:val="00E47197"/>
    <w:rsid w:val="00E47854"/>
    <w:rsid w:val="00E47B92"/>
    <w:rsid w:val="00E51FB3"/>
    <w:rsid w:val="00E53B24"/>
    <w:rsid w:val="00E54010"/>
    <w:rsid w:val="00E5487B"/>
    <w:rsid w:val="00E55EBD"/>
    <w:rsid w:val="00E60E70"/>
    <w:rsid w:val="00E622EB"/>
    <w:rsid w:val="00E65007"/>
    <w:rsid w:val="00E665D7"/>
    <w:rsid w:val="00E66729"/>
    <w:rsid w:val="00E6694F"/>
    <w:rsid w:val="00E72CDA"/>
    <w:rsid w:val="00E73ED6"/>
    <w:rsid w:val="00E7535A"/>
    <w:rsid w:val="00E76260"/>
    <w:rsid w:val="00E76E16"/>
    <w:rsid w:val="00E77C60"/>
    <w:rsid w:val="00E80324"/>
    <w:rsid w:val="00E84EE6"/>
    <w:rsid w:val="00E85E7D"/>
    <w:rsid w:val="00E8650A"/>
    <w:rsid w:val="00E902AC"/>
    <w:rsid w:val="00E90EE2"/>
    <w:rsid w:val="00E92606"/>
    <w:rsid w:val="00E92680"/>
    <w:rsid w:val="00E95C3E"/>
    <w:rsid w:val="00E962BA"/>
    <w:rsid w:val="00E96F38"/>
    <w:rsid w:val="00EA0E48"/>
    <w:rsid w:val="00EA1FE1"/>
    <w:rsid w:val="00EA4858"/>
    <w:rsid w:val="00EA4C18"/>
    <w:rsid w:val="00EA5CA9"/>
    <w:rsid w:val="00EA772D"/>
    <w:rsid w:val="00EB02A8"/>
    <w:rsid w:val="00EB44AE"/>
    <w:rsid w:val="00EB7ACF"/>
    <w:rsid w:val="00EB7E7D"/>
    <w:rsid w:val="00EC0193"/>
    <w:rsid w:val="00EC07E4"/>
    <w:rsid w:val="00EC1645"/>
    <w:rsid w:val="00ED0FDE"/>
    <w:rsid w:val="00ED111D"/>
    <w:rsid w:val="00ED1760"/>
    <w:rsid w:val="00ED3FD8"/>
    <w:rsid w:val="00ED4BAB"/>
    <w:rsid w:val="00ED7844"/>
    <w:rsid w:val="00EE0B55"/>
    <w:rsid w:val="00EE3159"/>
    <w:rsid w:val="00EE372E"/>
    <w:rsid w:val="00EE416C"/>
    <w:rsid w:val="00EE689F"/>
    <w:rsid w:val="00EE7938"/>
    <w:rsid w:val="00EE7A0C"/>
    <w:rsid w:val="00EF086B"/>
    <w:rsid w:val="00EF1F03"/>
    <w:rsid w:val="00EF24DD"/>
    <w:rsid w:val="00EF2B0A"/>
    <w:rsid w:val="00EF2D16"/>
    <w:rsid w:val="00EF2ED4"/>
    <w:rsid w:val="00EF491C"/>
    <w:rsid w:val="00EF4DC2"/>
    <w:rsid w:val="00EF6879"/>
    <w:rsid w:val="00F0227C"/>
    <w:rsid w:val="00F05DEE"/>
    <w:rsid w:val="00F0782E"/>
    <w:rsid w:val="00F1072D"/>
    <w:rsid w:val="00F107AD"/>
    <w:rsid w:val="00F14F63"/>
    <w:rsid w:val="00F17B3D"/>
    <w:rsid w:val="00F2033C"/>
    <w:rsid w:val="00F206EA"/>
    <w:rsid w:val="00F20A98"/>
    <w:rsid w:val="00F213C8"/>
    <w:rsid w:val="00F22D5C"/>
    <w:rsid w:val="00F22FA8"/>
    <w:rsid w:val="00F25374"/>
    <w:rsid w:val="00F257A0"/>
    <w:rsid w:val="00F26052"/>
    <w:rsid w:val="00F260FF"/>
    <w:rsid w:val="00F2683E"/>
    <w:rsid w:val="00F26E4E"/>
    <w:rsid w:val="00F26E83"/>
    <w:rsid w:val="00F26F5E"/>
    <w:rsid w:val="00F2779F"/>
    <w:rsid w:val="00F312A9"/>
    <w:rsid w:val="00F317E0"/>
    <w:rsid w:val="00F31AC5"/>
    <w:rsid w:val="00F32EE1"/>
    <w:rsid w:val="00F3410D"/>
    <w:rsid w:val="00F34F1E"/>
    <w:rsid w:val="00F40679"/>
    <w:rsid w:val="00F416FC"/>
    <w:rsid w:val="00F41DAB"/>
    <w:rsid w:val="00F462A8"/>
    <w:rsid w:val="00F56AA7"/>
    <w:rsid w:val="00F56B0D"/>
    <w:rsid w:val="00F578E8"/>
    <w:rsid w:val="00F57A84"/>
    <w:rsid w:val="00F62D25"/>
    <w:rsid w:val="00F63128"/>
    <w:rsid w:val="00F65F93"/>
    <w:rsid w:val="00F6634E"/>
    <w:rsid w:val="00F66C15"/>
    <w:rsid w:val="00F67A00"/>
    <w:rsid w:val="00F70258"/>
    <w:rsid w:val="00F7343A"/>
    <w:rsid w:val="00F73714"/>
    <w:rsid w:val="00F758AB"/>
    <w:rsid w:val="00F77F76"/>
    <w:rsid w:val="00F800AA"/>
    <w:rsid w:val="00F84427"/>
    <w:rsid w:val="00F84537"/>
    <w:rsid w:val="00F8485A"/>
    <w:rsid w:val="00F84CFC"/>
    <w:rsid w:val="00F84F84"/>
    <w:rsid w:val="00F85B6E"/>
    <w:rsid w:val="00F87A0B"/>
    <w:rsid w:val="00F90334"/>
    <w:rsid w:val="00F90A54"/>
    <w:rsid w:val="00F90D9C"/>
    <w:rsid w:val="00F97485"/>
    <w:rsid w:val="00FA0D98"/>
    <w:rsid w:val="00FA3CAE"/>
    <w:rsid w:val="00FA56EF"/>
    <w:rsid w:val="00FA6328"/>
    <w:rsid w:val="00FA6AED"/>
    <w:rsid w:val="00FA74FA"/>
    <w:rsid w:val="00FA76A6"/>
    <w:rsid w:val="00FB0050"/>
    <w:rsid w:val="00FB2A66"/>
    <w:rsid w:val="00FB3B6F"/>
    <w:rsid w:val="00FB5EC0"/>
    <w:rsid w:val="00FB6035"/>
    <w:rsid w:val="00FB6FC5"/>
    <w:rsid w:val="00FB7655"/>
    <w:rsid w:val="00FC04BE"/>
    <w:rsid w:val="00FC4F71"/>
    <w:rsid w:val="00FC6A28"/>
    <w:rsid w:val="00FD170E"/>
    <w:rsid w:val="00FD2795"/>
    <w:rsid w:val="00FD333B"/>
    <w:rsid w:val="00FD5477"/>
    <w:rsid w:val="00FD674D"/>
    <w:rsid w:val="00FD6CB2"/>
    <w:rsid w:val="00FE18F8"/>
    <w:rsid w:val="00FE1A83"/>
    <w:rsid w:val="00FE1E22"/>
    <w:rsid w:val="00FE2D47"/>
    <w:rsid w:val="00FE5209"/>
    <w:rsid w:val="00FE53B5"/>
    <w:rsid w:val="00FF523F"/>
    <w:rsid w:val="00FF74B1"/>
    <w:rsid w:val="00FF7A15"/>
  </w:rsids>
  <m:mathPr>
    <m:mathFont m:val="Cambria Math"/>
    <m:brkBin m:val="before"/>
    <m:brkBinSub m:val="--"/>
    <m:smallFrac m:val="0"/>
    <m:dispDef/>
    <m:lMargin m:val="0"/>
    <m:rMargin m:val="0"/>
    <m:defJc m:val="centerGroup"/>
    <m:wrapIndent m:val="1440"/>
    <m:intLim m:val="subSup"/>
    <m:naryLim m:val="undOvr"/>
  </m:mathPr>
  <w:themeFontLang w:val="cs-CZ"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103D47"/>
  <w15:docId w15:val="{E5970ECF-062D-42BB-BDE5-3887611A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6035"/>
  </w:style>
  <w:style w:type="paragraph" w:styleId="Nadpis1">
    <w:name w:val="heading 1"/>
    <w:basedOn w:val="Normln"/>
    <w:next w:val="Normln"/>
    <w:qFormat/>
    <w:rsid w:val="00EE689F"/>
    <w:pPr>
      <w:keepNext/>
      <w:outlineLvl w:val="0"/>
    </w:pPr>
    <w:rPr>
      <w:b/>
      <w:caps/>
      <w:sz w:val="24"/>
    </w:rPr>
  </w:style>
  <w:style w:type="paragraph" w:styleId="Nadpis5">
    <w:name w:val="heading 5"/>
    <w:basedOn w:val="Normln"/>
    <w:next w:val="Normln"/>
    <w:qFormat/>
    <w:rsid w:val="00EE689F"/>
    <w:pPr>
      <w:keepNext/>
      <w:spacing w:line="360" w:lineRule="auto"/>
      <w:jc w:val="center"/>
      <w:outlineLvl w:val="4"/>
    </w:pPr>
    <w:rPr>
      <w:rFonts w:ascii="Arial" w:hAnsi="Arial"/>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EE689F"/>
    <w:pPr>
      <w:tabs>
        <w:tab w:val="center" w:pos="4536"/>
        <w:tab w:val="right" w:pos="9072"/>
      </w:tabs>
    </w:pPr>
  </w:style>
  <w:style w:type="paragraph" w:styleId="Zpat">
    <w:name w:val="footer"/>
    <w:basedOn w:val="Normln"/>
    <w:rsid w:val="00EE689F"/>
    <w:pPr>
      <w:tabs>
        <w:tab w:val="center" w:pos="4536"/>
        <w:tab w:val="right" w:pos="9072"/>
      </w:tabs>
    </w:pPr>
  </w:style>
  <w:style w:type="paragraph" w:styleId="Normlnweb">
    <w:name w:val="Normal (Web)"/>
    <w:basedOn w:val="Normln"/>
    <w:uiPriority w:val="99"/>
    <w:unhideWhenUsed/>
    <w:rsid w:val="00126557"/>
    <w:pPr>
      <w:spacing w:before="96" w:after="96"/>
    </w:pPr>
    <w:rPr>
      <w:sz w:val="24"/>
      <w:szCs w:val="24"/>
    </w:rPr>
  </w:style>
  <w:style w:type="paragraph" w:styleId="Textkomente">
    <w:name w:val="annotation text"/>
    <w:basedOn w:val="Normln"/>
    <w:link w:val="TextkomenteChar"/>
    <w:rsid w:val="00B7208C"/>
    <w:pPr>
      <w:ind w:left="567" w:hanging="567"/>
    </w:pPr>
    <w:rPr>
      <w:lang w:eastAsia="en-US"/>
    </w:rPr>
  </w:style>
  <w:style w:type="character" w:customStyle="1" w:styleId="TextkomenteChar">
    <w:name w:val="Text komentáře Char"/>
    <w:link w:val="Textkomente"/>
    <w:rsid w:val="00B7208C"/>
    <w:rPr>
      <w:lang w:eastAsia="en-US"/>
    </w:rPr>
  </w:style>
  <w:style w:type="paragraph" w:styleId="Zkladntext">
    <w:name w:val="Body Text"/>
    <w:basedOn w:val="Normln"/>
    <w:link w:val="ZkladntextChar"/>
    <w:rsid w:val="00701A1E"/>
    <w:pPr>
      <w:ind w:left="567" w:hanging="567"/>
      <w:jc w:val="both"/>
    </w:pPr>
    <w:rPr>
      <w:sz w:val="22"/>
      <w:lang w:eastAsia="en-US"/>
    </w:rPr>
  </w:style>
  <w:style w:type="character" w:customStyle="1" w:styleId="ZkladntextChar">
    <w:name w:val="Základní text Char"/>
    <w:link w:val="Zkladntext"/>
    <w:rsid w:val="00701A1E"/>
    <w:rPr>
      <w:sz w:val="22"/>
      <w:lang w:eastAsia="en-US"/>
    </w:rPr>
  </w:style>
  <w:style w:type="paragraph" w:styleId="Bezmezer">
    <w:name w:val="No Spacing"/>
    <w:uiPriority w:val="1"/>
    <w:qFormat/>
    <w:rsid w:val="00701A1E"/>
    <w:rPr>
      <w:rFonts w:ascii="Calibri" w:eastAsia="Calibri" w:hAnsi="Calibri"/>
      <w:sz w:val="22"/>
      <w:szCs w:val="22"/>
      <w:lang w:eastAsia="en-US"/>
    </w:rPr>
  </w:style>
  <w:style w:type="paragraph" w:styleId="Textbubliny">
    <w:name w:val="Balloon Text"/>
    <w:basedOn w:val="Normln"/>
    <w:link w:val="TextbublinyChar"/>
    <w:rsid w:val="00746E22"/>
    <w:rPr>
      <w:rFonts w:ascii="Segoe UI" w:hAnsi="Segoe UI"/>
      <w:sz w:val="18"/>
      <w:szCs w:val="18"/>
    </w:rPr>
  </w:style>
  <w:style w:type="character" w:customStyle="1" w:styleId="TextbublinyChar">
    <w:name w:val="Text bubliny Char"/>
    <w:link w:val="Textbubliny"/>
    <w:rsid w:val="00746E22"/>
    <w:rPr>
      <w:rFonts w:ascii="Segoe UI" w:hAnsi="Segoe UI" w:cs="Segoe UI"/>
      <w:sz w:val="18"/>
      <w:szCs w:val="18"/>
    </w:rPr>
  </w:style>
  <w:style w:type="character" w:customStyle="1" w:styleId="ZhlavChar">
    <w:name w:val="Záhlaví Char"/>
    <w:basedOn w:val="Standardnpsmoodstavce"/>
    <w:link w:val="Zhlav"/>
    <w:uiPriority w:val="99"/>
    <w:rsid w:val="004124B6"/>
  </w:style>
  <w:style w:type="character" w:styleId="Hypertextovodkaz">
    <w:name w:val="Hyperlink"/>
    <w:rsid w:val="00E02D27"/>
    <w:rPr>
      <w:color w:val="0563C1"/>
      <w:u w:val="single"/>
    </w:rPr>
  </w:style>
  <w:style w:type="paragraph" w:styleId="Zkladntextodsazen">
    <w:name w:val="Body Text Indent"/>
    <w:basedOn w:val="Normln"/>
    <w:link w:val="ZkladntextodsazenChar"/>
    <w:rsid w:val="00594301"/>
    <w:pPr>
      <w:spacing w:after="120"/>
      <w:ind w:left="283"/>
    </w:pPr>
  </w:style>
  <w:style w:type="character" w:customStyle="1" w:styleId="ZkladntextodsazenChar">
    <w:name w:val="Základní text odsazený Char"/>
    <w:basedOn w:val="Standardnpsmoodstavce"/>
    <w:link w:val="Zkladntextodsazen"/>
    <w:rsid w:val="00594301"/>
  </w:style>
  <w:style w:type="paragraph" w:styleId="Rozloendokumentu">
    <w:name w:val="Document Map"/>
    <w:basedOn w:val="Normln"/>
    <w:link w:val="RozloendokumentuChar"/>
    <w:rsid w:val="007637DC"/>
    <w:rPr>
      <w:rFonts w:ascii="Tahoma" w:hAnsi="Tahoma" w:cs="Tahoma"/>
      <w:sz w:val="16"/>
      <w:szCs w:val="16"/>
    </w:rPr>
  </w:style>
  <w:style w:type="character" w:customStyle="1" w:styleId="RozloendokumentuChar">
    <w:name w:val="Rozložení dokumentu Char"/>
    <w:basedOn w:val="Standardnpsmoodstavce"/>
    <w:link w:val="Rozloendokumentu"/>
    <w:rsid w:val="007637DC"/>
    <w:rPr>
      <w:rFonts w:ascii="Tahoma" w:hAnsi="Tahoma" w:cs="Tahoma"/>
      <w:sz w:val="16"/>
      <w:szCs w:val="16"/>
    </w:rPr>
  </w:style>
  <w:style w:type="character" w:customStyle="1" w:styleId="hps">
    <w:name w:val="hps"/>
    <w:rsid w:val="00CD1D13"/>
  </w:style>
  <w:style w:type="paragraph" w:styleId="Odstavecseseznamem">
    <w:name w:val="List Paragraph"/>
    <w:basedOn w:val="Normln"/>
    <w:qFormat/>
    <w:rsid w:val="00CD1D13"/>
    <w:pPr>
      <w:suppressAutoHyphens/>
      <w:autoSpaceDN w:val="0"/>
      <w:ind w:left="720"/>
      <w:textAlignment w:val="baseline"/>
    </w:pPr>
    <w:rPr>
      <w:rFonts w:ascii="Calibri" w:hAnsi="Calibri"/>
      <w:sz w:val="22"/>
      <w:szCs w:val="22"/>
      <w:lang w:val="nl-NL" w:eastAsia="nl-NL"/>
    </w:rPr>
  </w:style>
  <w:style w:type="paragraph" w:styleId="Textvbloku">
    <w:name w:val="Block Text"/>
    <w:basedOn w:val="Normln"/>
    <w:rsid w:val="0094619D"/>
    <w:pPr>
      <w:ind w:left="2268" w:right="1711" w:hanging="567"/>
    </w:pPr>
    <w:rPr>
      <w:b/>
      <w:sz w:val="22"/>
      <w:lang w:eastAsia="en-US"/>
    </w:rPr>
  </w:style>
  <w:style w:type="character" w:styleId="Odkaznakoment">
    <w:name w:val="annotation reference"/>
    <w:basedOn w:val="Standardnpsmoodstavce"/>
    <w:semiHidden/>
    <w:unhideWhenUsed/>
    <w:rsid w:val="00E85E7D"/>
    <w:rPr>
      <w:sz w:val="16"/>
      <w:szCs w:val="16"/>
    </w:rPr>
  </w:style>
  <w:style w:type="paragraph" w:styleId="Pedmtkomente">
    <w:name w:val="annotation subject"/>
    <w:basedOn w:val="Textkomente"/>
    <w:next w:val="Textkomente"/>
    <w:link w:val="PedmtkomenteChar"/>
    <w:semiHidden/>
    <w:unhideWhenUsed/>
    <w:rsid w:val="00E85E7D"/>
    <w:pPr>
      <w:ind w:left="0" w:firstLine="0"/>
    </w:pPr>
    <w:rPr>
      <w:b/>
      <w:bCs/>
      <w:lang w:eastAsia="cs-CZ"/>
    </w:rPr>
  </w:style>
  <w:style w:type="character" w:customStyle="1" w:styleId="PedmtkomenteChar">
    <w:name w:val="Předmět komentáře Char"/>
    <w:basedOn w:val="TextkomenteChar"/>
    <w:link w:val="Pedmtkomente"/>
    <w:semiHidden/>
    <w:rsid w:val="00E85E7D"/>
    <w:rPr>
      <w:b/>
      <w:bCs/>
      <w:lang w:eastAsia="en-US"/>
    </w:rPr>
  </w:style>
  <w:style w:type="paragraph" w:styleId="Revize">
    <w:name w:val="Revision"/>
    <w:hidden/>
    <w:uiPriority w:val="99"/>
    <w:semiHidden/>
    <w:rsid w:val="000561D4"/>
  </w:style>
  <w:style w:type="table" w:styleId="Mkatabulky">
    <w:name w:val="Table Grid"/>
    <w:basedOn w:val="Normlntabulka"/>
    <w:rsid w:val="00D73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260506">
      <w:bodyDiv w:val="1"/>
      <w:marLeft w:val="0"/>
      <w:marRight w:val="0"/>
      <w:marTop w:val="0"/>
      <w:marBottom w:val="0"/>
      <w:divBdr>
        <w:top w:val="none" w:sz="0" w:space="0" w:color="auto"/>
        <w:left w:val="none" w:sz="0" w:space="0" w:color="auto"/>
        <w:bottom w:val="none" w:sz="0" w:space="0" w:color="auto"/>
        <w:right w:val="none" w:sz="0" w:space="0" w:color="auto"/>
      </w:divBdr>
    </w:div>
    <w:div w:id="1220552600">
      <w:bodyDiv w:val="1"/>
      <w:marLeft w:val="0"/>
      <w:marRight w:val="0"/>
      <w:marTop w:val="0"/>
      <w:marBottom w:val="0"/>
      <w:divBdr>
        <w:top w:val="none" w:sz="0" w:space="0" w:color="auto"/>
        <w:left w:val="none" w:sz="0" w:space="0" w:color="auto"/>
        <w:bottom w:val="none" w:sz="0" w:space="0" w:color="auto"/>
        <w:right w:val="none" w:sz="0" w:space="0" w:color="auto"/>
      </w:divBdr>
    </w:div>
    <w:div w:id="15642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422D8-3175-4F8A-9B63-A0C5F33C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1880</Words>
  <Characters>11097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ČÁST 1B</vt:lpstr>
    </vt:vector>
  </TitlesOfParts>
  <Company>Bioveta, a.s.</Company>
  <LinksUpToDate>false</LinksUpToDate>
  <CharactersWithSpaces>12952</CharactersWithSpaces>
  <SharedDoc>false</SharedDoc>
  <HLinks>
    <vt:vector size="6" baseType="variant">
      <vt:variant>
        <vt:i4>8257614</vt:i4>
      </vt:variant>
      <vt:variant>
        <vt:i4>0</vt:i4>
      </vt:variant>
      <vt:variant>
        <vt:i4>0</vt:i4>
      </vt:variant>
      <vt:variant>
        <vt:i4>5</vt:i4>
      </vt:variant>
      <vt:variant>
        <vt:lpwstr>mailto:obchod@bioveta.cz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ČÁST 1B</dc:title>
  <dc:creator>kratka.lenka</dc:creator>
  <cp:lastModifiedBy>Nepejchalová Leona</cp:lastModifiedBy>
  <cp:revision>34</cp:revision>
  <cp:lastPrinted>2016-03-31T11:24:00Z</cp:lastPrinted>
  <dcterms:created xsi:type="dcterms:W3CDTF">2021-03-08T13:31:00Z</dcterms:created>
  <dcterms:modified xsi:type="dcterms:W3CDTF">2021-03-25T14:42:00Z</dcterms:modified>
</cp:coreProperties>
</file>