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B69B7" w:rsidRPr="009C67F7" w:rsidTr="0015099E">
        <w:trPr>
          <w:trHeight w:val="432"/>
        </w:trPr>
        <w:tc>
          <w:tcPr>
            <w:tcW w:w="9298" w:type="dxa"/>
            <w:tcBorders>
              <w:bottom w:val="single" w:sz="4" w:space="0" w:color="auto"/>
            </w:tcBorders>
          </w:tcPr>
          <w:p w:rsidR="006B69B7" w:rsidRPr="009C67F7" w:rsidRDefault="006B69B7" w:rsidP="006B69B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</w:rPr>
            </w:pPr>
            <w:r w:rsidRPr="009C67F7">
              <w:rPr>
                <w:rFonts w:ascii="Times New Roman" w:eastAsia="Times New Roman" w:hAnsi="Times New Roman" w:cs="Times New Roman"/>
                <w:b/>
              </w:rPr>
              <w:t>KOMBINOVANÁ ETIKETA (PODROBNÉ ÚDAJE UVÁDĚNÉ NA VNITŘNÍM OBALU) A PŘÍBALOVÁ INFORMACE</w:t>
            </w:r>
            <w:r w:rsidRPr="009C67F7" w:rsidDel="00C936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B69B7" w:rsidRPr="009C67F7" w:rsidRDefault="006B69B7" w:rsidP="006B69B7">
      <w:pPr>
        <w:spacing w:after="0" w:line="240" w:lineRule="auto"/>
        <w:ind w:left="567" w:right="113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1.</w:t>
      </w:r>
      <w:r w:rsidRPr="009C67F7">
        <w:rPr>
          <w:rFonts w:ascii="Times New Roman" w:eastAsia="Times New Roman" w:hAnsi="Times New Roman" w:cs="Times New Roman"/>
          <w:b/>
        </w:rPr>
        <w:tab/>
        <w:t>JMÉNO A ADRESA DRŽITELE ROZHODNUTÍ O REGISTRACI A DRŽITELE POVOLENÍ K VÝROBĚ ODPOVĚDNÉHO ZA UVOLNĚNÍ ŠARŽE, POKUD SE NESHODUJE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r w:rsidRPr="009C67F7">
        <w:rPr>
          <w:rFonts w:ascii="Times New Roman" w:eastAsia="Times New Roman" w:hAnsi="Times New Roman" w:cs="Times New Roman"/>
          <w:iCs/>
          <w:u w:val="single"/>
        </w:rPr>
        <w:t>Držitel rozhodnutí o registraci a výrobce</w:t>
      </w:r>
      <w:r w:rsidRPr="009C67F7">
        <w:rPr>
          <w:rFonts w:ascii="Times New Roman" w:eastAsia="Times New Roman" w:hAnsi="Times New Roman" w:cs="Times New Roman"/>
          <w:szCs w:val="20"/>
        </w:rPr>
        <w:t xml:space="preserve"> </w:t>
      </w:r>
      <w:r w:rsidRPr="009C67F7">
        <w:rPr>
          <w:rFonts w:ascii="Times New Roman" w:eastAsia="Times New Roman" w:hAnsi="Times New Roman" w:cs="Times New Roman"/>
          <w:iCs/>
          <w:u w:val="single"/>
        </w:rPr>
        <w:t>odpovědný za uvolnění šarže</w:t>
      </w:r>
      <w:r w:rsidRPr="009C67F7">
        <w:rPr>
          <w:rFonts w:ascii="Times New Roman" w:eastAsia="Times New Roman" w:hAnsi="Times New Roman" w:cs="Times New Roman"/>
          <w:iCs/>
        </w:rPr>
        <w:t>: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Cymedica s.r.o.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Pod Nádražím 853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268 01 Hořovice, Česká republika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2.</w:t>
      </w:r>
      <w:r w:rsidRPr="009C67F7">
        <w:rPr>
          <w:rFonts w:ascii="Times New Roman" w:eastAsia="Times New Roman" w:hAnsi="Times New Roman" w:cs="Times New Roman"/>
          <w:b/>
        </w:rPr>
        <w:tab/>
        <w:t>NÁZEV VETERINÁRNÍHO LÉČIVÉHO PŘÍPRAVKU</w:t>
      </w:r>
    </w:p>
    <w:p w:rsidR="006B69B7" w:rsidRPr="009C67F7" w:rsidRDefault="006B69B7" w:rsidP="006B69B7">
      <w:pPr>
        <w:spacing w:after="0" w:line="240" w:lineRule="auto"/>
        <w:ind w:left="567" w:right="-318" w:hanging="567"/>
        <w:jc w:val="both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AMIX vet 150 mg/g premix pro medikaci krmiva</w:t>
      </w:r>
    </w:p>
    <w:p w:rsidR="006B69B7" w:rsidRPr="009C67F7" w:rsidRDefault="006B69B7" w:rsidP="006B69B7">
      <w:pPr>
        <w:spacing w:after="0" w:line="240" w:lineRule="auto"/>
        <w:ind w:left="567" w:right="-318" w:hanging="567"/>
        <w:jc w:val="both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</w:rPr>
        <w:t>Chlortetracyclini hydrochloridum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3.</w:t>
      </w:r>
      <w:r w:rsidRPr="009C67F7">
        <w:rPr>
          <w:rFonts w:ascii="Times New Roman" w:eastAsia="Times New Roman" w:hAnsi="Times New Roman" w:cs="Times New Roman"/>
          <w:b/>
        </w:rPr>
        <w:tab/>
        <w:t>OBSAH LÉČIVÝCH A OSTATNÍCH LÁTEK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Každý gram obsahuje: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Léčivá látka:</w:t>
      </w: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Chlortetracyclini hydrochloridum</w:t>
      </w:r>
      <w:r w:rsidRPr="009C67F7">
        <w:rPr>
          <w:rFonts w:ascii="Times New Roman" w:eastAsia="Times New Roman" w:hAnsi="Times New Roman" w:cs="Times New Roman"/>
        </w:rPr>
        <w:tab/>
        <w:t>150 mg</w:t>
      </w:r>
    </w:p>
    <w:p w:rsidR="006B69B7" w:rsidRPr="009C67F7" w:rsidRDefault="006B69B7" w:rsidP="006B69B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Jemný žlutý prášek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4.</w:t>
      </w:r>
      <w:r w:rsidRPr="009C67F7">
        <w:rPr>
          <w:rFonts w:ascii="Times New Roman" w:eastAsia="Times New Roman" w:hAnsi="Times New Roman" w:cs="Times New Roman"/>
          <w:b/>
        </w:rPr>
        <w:tab/>
        <w:t>LÉKOVÁ FORMA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Premix pro medikaci krmiva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5.</w:t>
      </w:r>
      <w:r w:rsidRPr="009C67F7">
        <w:rPr>
          <w:rFonts w:ascii="Times New Roman" w:eastAsia="Times New Roman" w:hAnsi="Times New Roman" w:cs="Times New Roman"/>
          <w:b/>
        </w:rPr>
        <w:tab/>
        <w:t>VELIKOST BALENÍ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7,5 kg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25 kg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6.</w:t>
      </w:r>
      <w:r w:rsidRPr="009C67F7">
        <w:rPr>
          <w:rFonts w:ascii="Times New Roman" w:eastAsia="Times New Roman" w:hAnsi="Times New Roman" w:cs="Times New Roman"/>
          <w:b/>
        </w:rPr>
        <w:tab/>
        <w:t>INDIKACE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Léčba infekcí respiračního aparátu a zažívacího aparátu, vyvolaných původci citlivými k chlortetracyklinu.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 xml:space="preserve">7. </w:t>
      </w:r>
      <w:r w:rsidRPr="009C67F7">
        <w:rPr>
          <w:rFonts w:ascii="Times New Roman" w:eastAsia="Times New Roman" w:hAnsi="Times New Roman" w:cs="Times New Roman"/>
          <w:b/>
        </w:rPr>
        <w:tab/>
        <w:t>KONTRAINDIKACE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Nepoužívat v případech přecitlivělosti na léčivou látku, nebo na některou z pomocných látek.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8.</w:t>
      </w:r>
      <w:r w:rsidRPr="009C67F7">
        <w:rPr>
          <w:rFonts w:ascii="Times New Roman" w:eastAsia="Times New Roman" w:hAnsi="Times New Roman" w:cs="Times New Roman"/>
          <w:b/>
        </w:rPr>
        <w:tab/>
        <w:t>NEŽÁDOUCÍ ÚČINKY</w:t>
      </w:r>
    </w:p>
    <w:p w:rsidR="006B69B7" w:rsidRPr="009C67F7" w:rsidRDefault="006B69B7" w:rsidP="003620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V ojedinělých případech se může vyskytnout erytém kůže, který po přerušení nebo ukončení léčby vymizí.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Pokud se u vašeho zvířete vyskytne kterýkoli z nežádoucích účinků, sdělte to svému veterinárnímu lékaři. 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:rsidR="006B69B7" w:rsidRPr="009C67F7" w:rsidRDefault="006B69B7" w:rsidP="006B69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:rsidR="006B69B7" w:rsidRPr="009C67F7" w:rsidRDefault="006B69B7" w:rsidP="006B69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Hudcova 56a</w:t>
      </w:r>
    </w:p>
    <w:p w:rsidR="006B69B7" w:rsidRPr="009C67F7" w:rsidRDefault="006B69B7" w:rsidP="006B69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621 00 Brno </w:t>
      </w:r>
    </w:p>
    <w:p w:rsidR="006B69B7" w:rsidRPr="009C67F7" w:rsidRDefault="006B69B7" w:rsidP="006B69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Mail: adr@uskvbl.cz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Webové stránky: </w:t>
      </w:r>
      <w:hyperlink r:id="rId4" w:history="1">
        <w:r w:rsidRPr="009C67F7">
          <w:rPr>
            <w:rFonts w:ascii="Times New Roman" w:eastAsia="Times New Roman" w:hAnsi="Times New Roman" w:cs="Times New Roman"/>
            <w:color w:val="0000FF"/>
            <w:u w:val="single"/>
          </w:rPr>
          <w:t>http://www.uskvbl.cz/cs/farmakovigilance</w:t>
        </w:r>
      </w:hyperlink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9.</w:t>
      </w:r>
      <w:r w:rsidRPr="009C67F7">
        <w:rPr>
          <w:rFonts w:ascii="Times New Roman" w:eastAsia="Times New Roman" w:hAnsi="Times New Roman" w:cs="Times New Roman"/>
          <w:b/>
        </w:rPr>
        <w:tab/>
        <w:t>CÍLOVÝ DRUH ZVÍŘAT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Prasata.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10.</w:t>
      </w:r>
      <w:r w:rsidRPr="009C67F7">
        <w:rPr>
          <w:rFonts w:ascii="Times New Roman" w:eastAsia="Times New Roman" w:hAnsi="Times New Roman" w:cs="Times New Roman"/>
          <w:b/>
        </w:rPr>
        <w:tab/>
        <w:t>DÁVKOVÁNÍ PRO KAŽDÝ DRUH, CESTA A ZPŮSOB PODÁNÍ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Perorální podání.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i/>
          <w:u w:val="single"/>
        </w:rPr>
      </w:pPr>
      <w:r w:rsidRPr="009C67F7">
        <w:rPr>
          <w:rFonts w:ascii="Times New Roman" w:eastAsia="Times New Roman" w:hAnsi="Times New Roman" w:cs="Times New Roman"/>
          <w:i/>
          <w:u w:val="single"/>
        </w:rPr>
        <w:lastRenderedPageBreak/>
        <w:t>Léčba a metafylaxe:</w:t>
      </w: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9C67F7">
        <w:rPr>
          <w:rFonts w:ascii="Times New Roman" w:eastAsia="Times New Roman" w:hAnsi="Times New Roman" w:cs="Times New Roman"/>
        </w:rPr>
        <w:t xml:space="preserve">20 mg </w:t>
      </w:r>
      <w:r w:rsidRPr="009C67F7">
        <w:rPr>
          <w:rFonts w:ascii="Times New Roman" w:eastAsia="Times New Roman" w:hAnsi="Times New Roman" w:cs="Times New Roman"/>
          <w:lang w:eastAsia="cs-CZ"/>
        </w:rPr>
        <w:t>chlortetracyklin hydrochloridu/kg ž. hm./</w:t>
      </w:r>
      <w:r w:rsidR="009C67F7" w:rsidRPr="009C67F7">
        <w:rPr>
          <w:rFonts w:ascii="Times New Roman" w:eastAsia="Times New Roman" w:hAnsi="Times New Roman" w:cs="Times New Roman"/>
          <w:lang w:eastAsia="cs-CZ"/>
        </w:rPr>
        <w:t>den</w:t>
      </w:r>
      <w:r w:rsidR="009C67F7" w:rsidRPr="009C67F7">
        <w:rPr>
          <w:rFonts w:ascii="Times New Roman" w:eastAsia="Times New Roman" w:hAnsi="Times New Roman" w:cs="Times New Roman"/>
          <w:lang w:eastAsia="sv-SE"/>
        </w:rPr>
        <w:t>, což</w:t>
      </w:r>
      <w:r w:rsidRPr="009C67F7">
        <w:rPr>
          <w:rFonts w:ascii="Times New Roman" w:eastAsia="Times New Roman" w:hAnsi="Times New Roman" w:cs="Times New Roman"/>
          <w:lang w:eastAsia="sv-SE"/>
        </w:rPr>
        <w:t xml:space="preserve"> odpovídá 0,13 g přípravku/kg ž. hm./den.</w:t>
      </w:r>
    </w:p>
    <w:p w:rsidR="006B69B7" w:rsidRPr="009C67F7" w:rsidRDefault="006B69B7" w:rsidP="006B69B7">
      <w:pPr>
        <w:tabs>
          <w:tab w:val="left" w:pos="467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Přípravek podávat po dobu 5–7 po sobě jdoucích dnů.</w:t>
      </w:r>
    </w:p>
    <w:p w:rsidR="006B69B7" w:rsidRPr="009C67F7" w:rsidRDefault="006B69B7" w:rsidP="006B69B7">
      <w:pPr>
        <w:tabs>
          <w:tab w:val="left" w:pos="467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C67F7">
        <w:rPr>
          <w:rFonts w:ascii="Times New Roman" w:eastAsia="Times New Roman" w:hAnsi="Times New Roman" w:cs="Times New Roman"/>
          <w:color w:val="000000"/>
          <w:lang w:eastAsia="cs-CZ"/>
        </w:rPr>
        <w:t>Pro výpočet denní dávky přípravku lze použít výpočetní vzorec: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2271"/>
        <w:gridCol w:w="3686"/>
      </w:tblGrid>
      <w:tr w:rsidR="006B69B7" w:rsidRPr="009C67F7" w:rsidTr="0015099E">
        <w:trPr>
          <w:cantSplit/>
          <w:trHeight w:hRule="exact" w:val="624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:rsidR="006B69B7" w:rsidRPr="009C67F7" w:rsidRDefault="006B69B7" w:rsidP="006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  <w:r w:rsidRPr="009C67F7">
              <w:rPr>
                <w:rFonts w:ascii="Times New Roman" w:eastAsia="Times New Roman" w:hAnsi="Times New Roman" w:cs="Times New Roman"/>
                <w:iCs/>
                <w:lang w:eastAsia="sv-SE"/>
              </w:rPr>
              <w:t>…g přípravku/kg živé hmotnosti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6B69B7" w:rsidRPr="009C67F7" w:rsidRDefault="006B69B7" w:rsidP="006B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  <w:r w:rsidRPr="009C67F7">
              <w:rPr>
                <w:rFonts w:ascii="Times New Roman" w:eastAsia="Times New Roman" w:hAnsi="Times New Roman" w:cs="Times New Roman"/>
                <w:iCs/>
                <w:lang w:eastAsia="sv-SE"/>
              </w:rPr>
              <w:t>x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  <w:hideMark/>
          </w:tcPr>
          <w:p w:rsidR="006B69B7" w:rsidRPr="009C67F7" w:rsidRDefault="006B69B7" w:rsidP="006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  <w:r w:rsidRPr="009C67F7">
              <w:rPr>
                <w:rFonts w:ascii="Times New Roman" w:eastAsia="Times New Roman" w:hAnsi="Times New Roman" w:cs="Times New Roman"/>
                <w:iCs/>
                <w:lang w:eastAsia="sv-SE"/>
              </w:rPr>
              <w:t>průměrná živá hmotnost (kg) zvířete</w:t>
            </w:r>
          </w:p>
        </w:tc>
        <w:tc>
          <w:tcPr>
            <w:tcW w:w="3686" w:type="dxa"/>
            <w:vMerge w:val="restart"/>
            <w:vAlign w:val="center"/>
          </w:tcPr>
          <w:p w:rsidR="006B69B7" w:rsidRPr="009C67F7" w:rsidRDefault="006B69B7" w:rsidP="006B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</w:p>
          <w:p w:rsidR="006B69B7" w:rsidRPr="009C67F7" w:rsidRDefault="006B69B7" w:rsidP="006B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  <w:r w:rsidRPr="009C67F7">
              <w:rPr>
                <w:rFonts w:ascii="Times New Roman" w:eastAsia="Times New Roman" w:hAnsi="Times New Roman" w:cs="Times New Roman"/>
                <w:iCs/>
                <w:lang w:eastAsia="sv-SE"/>
              </w:rPr>
              <w:t>= ... kg přípravku na 1 tunu krmiva</w:t>
            </w:r>
          </w:p>
        </w:tc>
      </w:tr>
      <w:tr w:rsidR="006B69B7" w:rsidRPr="009C67F7" w:rsidTr="0015099E">
        <w:trPr>
          <w:cantSplit/>
          <w:trHeight w:val="296"/>
        </w:trPr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6B69B7" w:rsidRPr="009C67F7" w:rsidRDefault="006B69B7" w:rsidP="006B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v-SE"/>
              </w:rPr>
            </w:pPr>
            <w:r w:rsidRPr="009C67F7">
              <w:rPr>
                <w:rFonts w:ascii="Times New Roman" w:eastAsia="Times New Roman" w:hAnsi="Times New Roman" w:cs="Times New Roman"/>
                <w:iCs/>
                <w:lang w:eastAsia="sv-SE"/>
              </w:rPr>
              <w:t xml:space="preserve">průměrná denní spotřeba krmiva (kg) </w:t>
            </w:r>
            <w:r w:rsidRPr="009C67F7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na zvíře</w:t>
            </w:r>
          </w:p>
        </w:tc>
        <w:tc>
          <w:tcPr>
            <w:tcW w:w="3686" w:type="dxa"/>
            <w:vMerge/>
            <w:vAlign w:val="center"/>
            <w:hideMark/>
          </w:tcPr>
          <w:p w:rsidR="006B69B7" w:rsidRPr="009C67F7" w:rsidRDefault="006B69B7" w:rsidP="006B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sv-SE"/>
              </w:rPr>
            </w:pPr>
          </w:p>
        </w:tc>
      </w:tr>
    </w:tbl>
    <w:p w:rsidR="006B69B7" w:rsidRPr="009C67F7" w:rsidRDefault="006B69B7" w:rsidP="006B6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11.</w:t>
      </w:r>
      <w:r w:rsidRPr="009C67F7">
        <w:rPr>
          <w:rFonts w:ascii="Times New Roman" w:eastAsia="Times New Roman" w:hAnsi="Times New Roman" w:cs="Times New Roman"/>
          <w:b/>
        </w:rPr>
        <w:tab/>
        <w:t>POKYNY PRO SPRÁVNÉ PODÁNÍ</w:t>
      </w:r>
    </w:p>
    <w:p w:rsidR="006B69B7" w:rsidRPr="009C67F7" w:rsidRDefault="006B69B7" w:rsidP="006B69B7">
      <w:pPr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V krmivu je možné přípravek aplikovat pouze pro hromadnou aplikaci. 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12.</w:t>
      </w:r>
      <w:r w:rsidRPr="009C67F7">
        <w:rPr>
          <w:rFonts w:ascii="Times New Roman" w:eastAsia="Times New Roman" w:hAnsi="Times New Roman" w:cs="Times New Roman"/>
          <w:b/>
        </w:rPr>
        <w:tab/>
        <w:t xml:space="preserve">OCHRANNÁ(É) LHŮTA(Y)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Prasata: maso: 10 dnů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13.</w:t>
      </w:r>
      <w:r w:rsidRPr="009C67F7">
        <w:rPr>
          <w:rFonts w:ascii="Times New Roman" w:eastAsia="Times New Roman" w:hAnsi="Times New Roman" w:cs="Times New Roman"/>
          <w:b/>
        </w:rPr>
        <w:tab/>
        <w:t>ZVLÁŠTNÍ PODMÍNKY PRO UCHOVÁVÁNÍ</w:t>
      </w:r>
    </w:p>
    <w:p w:rsidR="006B69B7" w:rsidRPr="009C67F7" w:rsidRDefault="006B69B7" w:rsidP="006B69B7">
      <w:pPr>
        <w:spacing w:after="0" w:line="240" w:lineRule="auto"/>
        <w:ind w:left="567" w:right="-318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Uchovávejte při teplotě do 25 </w:t>
      </w:r>
      <w:r w:rsidRPr="009C67F7">
        <w:rPr>
          <w:rFonts w:ascii="Times New Roman" w:eastAsia="Times New Roman" w:hAnsi="Times New Roman" w:cs="Times New Roman"/>
        </w:rPr>
        <w:sym w:font="Symbol" w:char="F0B0"/>
      </w:r>
      <w:r w:rsidRPr="009C67F7">
        <w:rPr>
          <w:rFonts w:ascii="Times New Roman" w:eastAsia="Times New Roman" w:hAnsi="Times New Roman" w:cs="Times New Roman"/>
        </w:rPr>
        <w:t>C.</w:t>
      </w:r>
    </w:p>
    <w:p w:rsidR="006B69B7" w:rsidRPr="009C67F7" w:rsidRDefault="006B69B7" w:rsidP="006B69B7">
      <w:pPr>
        <w:spacing w:after="0" w:line="240" w:lineRule="auto"/>
        <w:ind w:left="567" w:right="-318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Chraňte před světlem.</w:t>
      </w:r>
    </w:p>
    <w:p w:rsidR="006B69B7" w:rsidRPr="009C67F7" w:rsidRDefault="006B69B7" w:rsidP="006B69B7">
      <w:pPr>
        <w:spacing w:after="0" w:line="240" w:lineRule="auto"/>
        <w:ind w:left="567" w:right="-318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Uchovávejte v suchu.</w:t>
      </w:r>
    </w:p>
    <w:p w:rsidR="006B69B7" w:rsidRPr="009C67F7" w:rsidRDefault="006B69B7" w:rsidP="006B69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Nepoužívejte tento veterinární léčivý přípravek po uplynutí doby použitelnosti uvedené na etiketě po EXP. Doba použitelnosti končí posledním dnem v uvedeném měsíci.</w:t>
      </w:r>
    </w:p>
    <w:p w:rsidR="006B69B7" w:rsidRPr="009C67F7" w:rsidRDefault="006B69B7" w:rsidP="006B69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Po prvním otevření obalu stanovte datum likvidace zbylého množství přípravku v tomto obalu a to na základě doby použitelnosti po prvním otevření uvedené v této příbalové informaci. Toto datum napište na místo k tomu určené na etiketě.</w:t>
      </w: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14.</w:t>
      </w:r>
      <w:r w:rsidRPr="009C67F7">
        <w:rPr>
          <w:rFonts w:ascii="Times New Roman" w:eastAsia="Times New Roman" w:hAnsi="Times New Roman" w:cs="Times New Roman"/>
          <w:b/>
        </w:rPr>
        <w:tab/>
        <w:t>ZVLÁŠTNÍ OPATŘENÍ</w:t>
      </w:r>
    </w:p>
    <w:p w:rsidR="006B69B7" w:rsidRPr="009C67F7" w:rsidRDefault="006B69B7" w:rsidP="006B69B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9C67F7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z nemocných zvířat v chovu. Pokud to není možné, je nutné založit terapii na místních (regionálních, na úrovni farmy) epizootologických informacích o citlivosti cílové bakterie. 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Byla zaznamenána vysoká prevalence rezistence u </w:t>
      </w:r>
      <w:r w:rsidRPr="009C67F7">
        <w:rPr>
          <w:rFonts w:ascii="Times New Roman" w:eastAsia="Times New Roman" w:hAnsi="Times New Roman" w:cs="Times New Roman"/>
          <w:i/>
        </w:rPr>
        <w:t>E. coli</w:t>
      </w:r>
      <w:r w:rsidRPr="009C67F7">
        <w:rPr>
          <w:rFonts w:ascii="Times New Roman" w:eastAsia="Times New Roman" w:hAnsi="Times New Roman" w:cs="Times New Roman"/>
        </w:rPr>
        <w:t>, izolované z prasat, k tetracyklinům. Rezistence k tetracyklinům byla také hlášena v některých zemích EU u respiračních patogenů prasat (</w:t>
      </w:r>
      <w:r w:rsidRPr="009C67F7">
        <w:rPr>
          <w:rFonts w:ascii="Times New Roman" w:eastAsia="Times New Roman" w:hAnsi="Times New Roman" w:cs="Times New Roman"/>
          <w:i/>
        </w:rPr>
        <w:t>A. pleuropneumoniae, S. suis</w:t>
      </w:r>
      <w:r w:rsidRPr="009C67F7">
        <w:rPr>
          <w:rFonts w:ascii="Times New Roman" w:eastAsia="Times New Roman" w:hAnsi="Times New Roman" w:cs="Times New Roman"/>
        </w:rPr>
        <w:t xml:space="preserve">). Proto by tento přípravek měl být používán až po testování citlivosti. 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Použití přípravku, které je odlišné od pokynů uvedených v této příbalové informaci, může zvýšit prevalenci bakterií rezistentních na chlortetracyklin a snížit účinnost terapie ostatními tetracykliny z důvodu možné zkřížené rezistence/ko-selekce rezistence. 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Použití tohoto přípravku pro metafylaxi pomocí medikaci krmiva jen v případech, kdy riziko šíření infekce nebo infekčního onemocnění je vysoké.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9C67F7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9C67F7">
        <w:rPr>
          <w:rFonts w:ascii="Times New Roman" w:eastAsia="Times New Roman" w:hAnsi="Times New Roman" w:cs="Times New Roman"/>
          <w:lang w:eastAsia="sv-SE"/>
        </w:rPr>
        <w:t>: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Calibri" w:hAnsi="Times New Roman" w:cs="Times New Roman"/>
          <w:szCs w:val="20"/>
        </w:rPr>
        <w:lastRenderedPageBreak/>
        <w:t>Lidé se známou přecitlivělostí na tetracykliny by se měli vyhnout kontaktu s veterinárním léčivým přípravkem.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Calibri" w:hAnsi="Times New Roman" w:cs="Times New Roman"/>
          <w:szCs w:val="20"/>
        </w:rPr>
        <w:t xml:space="preserve">Při míchání přípravku a podávání medikovaného krmiva zabraňte kontaktu přípravku s kůží, </w:t>
      </w:r>
      <w:r w:rsidRPr="009C67F7">
        <w:rPr>
          <w:rFonts w:ascii="Times New Roman" w:eastAsia="Times New Roman" w:hAnsi="Times New Roman" w:cs="Times New Roman"/>
          <w:szCs w:val="20"/>
        </w:rPr>
        <w:t>očima a vdechování</w:t>
      </w:r>
      <w:r w:rsidRPr="009C67F7">
        <w:rPr>
          <w:rFonts w:ascii="Times New Roman" w:eastAsia="Calibri" w:hAnsi="Times New Roman" w:cs="Times New Roman"/>
          <w:szCs w:val="20"/>
        </w:rPr>
        <w:t xml:space="preserve"> prachových částic.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Calibri" w:hAnsi="Times New Roman" w:cs="Times New Roman"/>
          <w:szCs w:val="20"/>
        </w:rPr>
        <w:t>Při manipulaci s přípravkem nebo medikovaným krmivem nejezte, nepijte ani nekuřte.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Times New Roman" w:hAnsi="Times New Roman" w:cs="Times New Roman"/>
          <w:szCs w:val="20"/>
        </w:rPr>
        <w:t xml:space="preserve">Při nakládání s veterinárním léčivým přípravkem by se měly používat osobní ochranné prostředky, skládající se z ochranného oděvu, nepropustných gumových nebo latexových rukavic, ochranných brýlí a buď z jednorázového respirátoru s polomaskou vyhovující evropské normě EN149 nebo z respirátoru na více použití podle evropské normy EN140 s filtrem podle normy EN143. 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Times New Roman" w:hAnsi="Times New Roman" w:cs="Times New Roman"/>
          <w:szCs w:val="20"/>
        </w:rPr>
        <w:t>V případě náhodného kontaktu s kůží nebo očima vypláchněte velkým množstvím vody. Pokud se u 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9C67F7">
        <w:rPr>
          <w:rFonts w:ascii="Times New Roman" w:eastAsia="Calibri" w:hAnsi="Times New Roman" w:cs="Times New Roman"/>
          <w:szCs w:val="20"/>
        </w:rPr>
        <w:t>Po manipulaci s přípravkem nebo medikovaným krmivem si ihned umyjte ruce.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  <w:r w:rsidRPr="009C67F7">
        <w:rPr>
          <w:rFonts w:ascii="Times New Roman" w:eastAsia="Times New Roman" w:hAnsi="Times New Roman" w:cs="Times New Roman"/>
          <w:u w:val="single"/>
          <w:lang w:eastAsia="sv-SE"/>
        </w:rPr>
        <w:t>Březost a laktace: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U březích a laktujících zvířat podávat jen se zvýšenou opatrností. Použít pouze po zvážení poměru terapeutického prospěchu a rizika příslušným veterinárním lékařem.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  <w:r w:rsidRPr="009C67F7">
        <w:rPr>
          <w:rFonts w:ascii="Times New Roman" w:eastAsia="Times New Roman" w:hAnsi="Times New Roman" w:cs="Times New Roman"/>
          <w:u w:val="single"/>
          <w:lang w:eastAsia="sv-SE"/>
        </w:rPr>
        <w:t>Interakce s dalšími léčivými přípravky a další formy interakce: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:rsidR="006B69B7" w:rsidRPr="009C67F7" w:rsidRDefault="006B69B7" w:rsidP="006B69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Nepodávat současně s úzkospektrými a/nebo baktericidními antibiotiky (např. s amoxicilinem a dalšími beta-laktamovými antibiotiky či aminoglykosidy).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Je známo potencování účinku tiamulinem a valnemulinem.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  <w:r w:rsidRPr="009C67F7">
        <w:rPr>
          <w:rFonts w:ascii="Times New Roman" w:eastAsia="Times New Roman" w:hAnsi="Times New Roman" w:cs="Times New Roman"/>
          <w:u w:val="single"/>
          <w:lang w:eastAsia="sv-SE"/>
        </w:rPr>
        <w:t>Předávkování (symptomy, první pomoc, antidota):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sv-SE"/>
        </w:rPr>
      </w:pPr>
      <w:r w:rsidRPr="009C67F7">
        <w:rPr>
          <w:rFonts w:ascii="Times New Roman" w:eastAsia="Times New Roman" w:hAnsi="Times New Roman" w:cs="Times New Roman"/>
          <w:lang w:eastAsia="sv-SE"/>
        </w:rPr>
        <w:t>Případné předávkování přípravkem je zvířaty dobře snášeno.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  <w:lang w:eastAsia="sv-SE"/>
        </w:rPr>
      </w:pPr>
      <w:r w:rsidRPr="009C67F7">
        <w:rPr>
          <w:rFonts w:ascii="Times New Roman" w:eastAsia="Times New Roman" w:hAnsi="Times New Roman" w:cs="Times New Roman"/>
          <w:u w:val="single"/>
          <w:lang w:eastAsia="sv-SE"/>
        </w:rPr>
        <w:t>Inkompatibility: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sv-SE"/>
        </w:rPr>
      </w:pPr>
      <w:r w:rsidRPr="009C67F7">
        <w:rPr>
          <w:rFonts w:ascii="Times New Roman" w:eastAsia="Times New Roman" w:hAnsi="Times New Roman" w:cs="Times New Roman"/>
          <w:lang w:eastAsia="sv-SE"/>
        </w:rPr>
        <w:t>Nejsou známy.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15.</w:t>
      </w:r>
      <w:r w:rsidRPr="009C67F7">
        <w:rPr>
          <w:rFonts w:ascii="Times New Roman" w:eastAsia="Times New Roman" w:hAnsi="Times New Roman" w:cs="Times New Roman"/>
          <w:b/>
        </w:rPr>
        <w:tab/>
        <w:t>ZVLÁŠTNÍ OPATŘENÍ PRO ZNEŠKODŇOVÁNÍ NEPOUŽITÝCH PŘÍPRAVKŮ NEBO ODPADU, POKUD JE JICH TŘEBA</w:t>
      </w:r>
    </w:p>
    <w:p w:rsidR="006B69B7" w:rsidRPr="009C67F7" w:rsidRDefault="006B69B7" w:rsidP="006B69B7">
      <w:pPr>
        <w:spacing w:after="0" w:line="240" w:lineRule="auto"/>
        <w:ind w:right="-318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Léčivé přípravky se nesmí likvidovat prostřednictvím odpadní vody či domovního odpadu.</w:t>
      </w:r>
    </w:p>
    <w:p w:rsidR="006B69B7" w:rsidRPr="009C67F7" w:rsidRDefault="006B69B7" w:rsidP="006B69B7">
      <w:pPr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i/>
        </w:rPr>
      </w:pPr>
      <w:r w:rsidRPr="009C67F7">
        <w:rPr>
          <w:rFonts w:ascii="Times New Roman" w:eastAsia="Times New Roman" w:hAnsi="Times New Roman" w:cs="Times New Roman"/>
        </w:rPr>
        <w:t xml:space="preserve">Všechen nepoužitý veterinární léčivý přípravek nebo odpad, který pochází z tohoto přípravku, musí být likvidován podle místních právních předpisů. </w:t>
      </w: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16.</w:t>
      </w:r>
      <w:r w:rsidRPr="009C67F7">
        <w:rPr>
          <w:rFonts w:ascii="Times New Roman" w:eastAsia="Times New Roman" w:hAnsi="Times New Roman" w:cs="Times New Roman"/>
          <w:b/>
        </w:rPr>
        <w:tab/>
        <w:t>DATUM POSLEDNÍ REVIZE PŘÍBALOVÉ INFORMACE</w:t>
      </w:r>
    </w:p>
    <w:p w:rsidR="006B69B7" w:rsidRPr="009C67F7" w:rsidRDefault="006B77A6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Březen</w:t>
      </w:r>
      <w:r w:rsidR="006B69B7" w:rsidRPr="009C67F7">
        <w:rPr>
          <w:rFonts w:ascii="Times New Roman" w:eastAsia="Times New Roman" w:hAnsi="Times New Roman" w:cs="Times New Roman"/>
        </w:rPr>
        <w:t xml:space="preserve"> 2021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17.</w:t>
      </w:r>
      <w:r w:rsidRPr="009C67F7">
        <w:rPr>
          <w:rFonts w:ascii="Times New Roman" w:eastAsia="Times New Roman" w:hAnsi="Times New Roman" w:cs="Times New Roman"/>
          <w:b/>
        </w:rPr>
        <w:tab/>
        <w:t>DALŠÍ INFORMACE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Velikosti balení: 7,5 kg a 25 kg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Na trhu nemusí být všechny velikosti balení.</w:t>
      </w:r>
    </w:p>
    <w:p w:rsidR="006B69B7" w:rsidRPr="009C67F7" w:rsidRDefault="006B69B7" w:rsidP="006B69B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18.</w:t>
      </w:r>
      <w:r w:rsidRPr="009C67F7">
        <w:rPr>
          <w:rFonts w:ascii="Times New Roman" w:eastAsia="Times New Roman" w:hAnsi="Times New Roman" w:cs="Times New Roman"/>
          <w:b/>
        </w:rPr>
        <w:tab/>
        <w:t>OZNAČENÍ “POUZE PRO ZVÍŘATA” A PODMÍNKY NEBO OMEZENÍ TÝKAJÍCÍ SE VÝDEJE A POUŽITÍ, POKUD JE JICH TŘEBA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Pouze pro zvířata.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Veterinární </w:t>
      </w:r>
      <w:r w:rsidR="00726FBD" w:rsidRPr="009C67F7">
        <w:rPr>
          <w:rFonts w:ascii="Times New Roman" w:eastAsia="Times New Roman" w:hAnsi="Times New Roman" w:cs="Times New Roman"/>
        </w:rPr>
        <w:t xml:space="preserve">léčivý </w:t>
      </w:r>
      <w:r w:rsidRPr="009C67F7">
        <w:rPr>
          <w:rFonts w:ascii="Times New Roman" w:eastAsia="Times New Roman" w:hAnsi="Times New Roman" w:cs="Times New Roman"/>
        </w:rPr>
        <w:t>přípravek je vydáván pouze na předpis.</w:t>
      </w:r>
    </w:p>
    <w:p w:rsidR="006B69B7" w:rsidRPr="009C67F7" w:rsidRDefault="006B69B7" w:rsidP="006B69B7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Musí být respektována úřední pravidla pro míchání medikovaných premixů do konečných krmiv.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19.</w:t>
      </w:r>
      <w:r w:rsidRPr="009C67F7">
        <w:rPr>
          <w:rFonts w:ascii="Times New Roman" w:eastAsia="Times New Roman" w:hAnsi="Times New Roman" w:cs="Times New Roman"/>
          <w:b/>
        </w:rPr>
        <w:tab/>
        <w:t>OZNAČENÍ “UCHOVÁVAT MIMO DOHLED A DOSAH DĚTÍ”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Uchovávat mimo dohled a dosah dětí.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20.</w:t>
      </w:r>
      <w:r w:rsidRPr="009C67F7">
        <w:rPr>
          <w:rFonts w:ascii="Times New Roman" w:eastAsia="Times New Roman" w:hAnsi="Times New Roman" w:cs="Times New Roman"/>
          <w:b/>
        </w:rPr>
        <w:tab/>
        <w:t>DATUM EXSPIRACE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lastRenderedPageBreak/>
        <w:t>EXP:</w:t>
      </w:r>
      <w:r w:rsidRPr="009C67F7">
        <w:rPr>
          <w:rFonts w:ascii="Times New Roman" w:eastAsia="Times New Roman" w:hAnsi="Times New Roman" w:cs="Times New Roman"/>
          <w:szCs w:val="20"/>
        </w:rPr>
        <w:t xml:space="preserve"> </w:t>
      </w:r>
      <w:r w:rsidRPr="009C67F7">
        <w:rPr>
          <w:rFonts w:ascii="Times New Roman" w:eastAsia="Times New Roman" w:hAnsi="Times New Roman" w:cs="Times New Roman"/>
        </w:rPr>
        <w:t>{měsíc/rok}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Po 1. otevření spotřebujte do:…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Doba použitelnosti veterinárního léčivého přípravku v neporušeném obalu: 2 roky.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Doba použitelnosti po prvním otevření vnitřního obalu: 30 dní.</w:t>
      </w:r>
    </w:p>
    <w:p w:rsidR="006B69B7" w:rsidRPr="009C67F7" w:rsidRDefault="006B69B7" w:rsidP="006B69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 xml:space="preserve">Doba použitelnosti po zamíchání do krmiva: 3 měsíce.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 w:rsidDel="00C936D0">
        <w:rPr>
          <w:rFonts w:ascii="Times New Roman" w:eastAsia="Times New Roman" w:hAnsi="Times New Roman" w:cs="Times New Roman"/>
        </w:rPr>
        <w:t xml:space="preserve"> 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9C67F7">
        <w:rPr>
          <w:rFonts w:ascii="Times New Roman" w:eastAsia="Times New Roman" w:hAnsi="Times New Roman" w:cs="Times New Roman"/>
          <w:b/>
        </w:rPr>
        <w:t>21.</w:t>
      </w:r>
      <w:r w:rsidRPr="009C67F7">
        <w:rPr>
          <w:rFonts w:ascii="Times New Roman" w:eastAsia="Times New Roman" w:hAnsi="Times New Roman" w:cs="Times New Roman"/>
          <w:b/>
        </w:rPr>
        <w:tab/>
        <w:t>REGISTRAČNÍ ČÍSLO</w:t>
      </w:r>
    </w:p>
    <w:p w:rsidR="006B69B7" w:rsidRPr="009C67F7" w:rsidRDefault="006B69B7" w:rsidP="006B69B7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98/147/04-C</w:t>
      </w:r>
    </w:p>
    <w:p w:rsidR="006B69B7" w:rsidRPr="009C67F7" w:rsidRDefault="006B69B7" w:rsidP="006B69B7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6B69B7" w:rsidRPr="009C67F7" w:rsidRDefault="006B69B7" w:rsidP="006B69B7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  <w:b/>
        </w:rPr>
        <w:t>22.</w:t>
      </w:r>
      <w:r w:rsidRPr="009C67F7">
        <w:rPr>
          <w:rFonts w:ascii="Times New Roman" w:eastAsia="Times New Roman" w:hAnsi="Times New Roman" w:cs="Times New Roman"/>
          <w:b/>
        </w:rPr>
        <w:tab/>
        <w:t>ČÍSLO ŠARŽE OD VÝROBCE</w:t>
      </w:r>
    </w:p>
    <w:p w:rsidR="006B69B7" w:rsidRPr="009C67F7" w:rsidRDefault="006B69B7" w:rsidP="006B6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9C67F7">
        <w:rPr>
          <w:rFonts w:ascii="Times New Roman" w:eastAsia="Times New Roman" w:hAnsi="Times New Roman" w:cs="Times New Roman"/>
        </w:rPr>
        <w:t>Č.š.: {číslo}</w:t>
      </w:r>
    </w:p>
    <w:p w:rsidR="00635334" w:rsidRPr="009C67F7" w:rsidRDefault="00635334">
      <w:bookmarkStart w:id="0" w:name="_GoBack"/>
      <w:bookmarkEnd w:id="0"/>
    </w:p>
    <w:sectPr w:rsidR="00635334" w:rsidRPr="009C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7"/>
    <w:rsid w:val="003620D3"/>
    <w:rsid w:val="00635334"/>
    <w:rsid w:val="006B69B7"/>
    <w:rsid w:val="006B77A6"/>
    <w:rsid w:val="00726FBD"/>
    <w:rsid w:val="008F286B"/>
    <w:rsid w:val="009C67F7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3EE92-30A8-4B4F-8A59-5A68A43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Nepejchalová Leona</cp:lastModifiedBy>
  <cp:revision>6</cp:revision>
  <dcterms:created xsi:type="dcterms:W3CDTF">2021-03-17T18:16:00Z</dcterms:created>
  <dcterms:modified xsi:type="dcterms:W3CDTF">2021-03-22T14:32:00Z</dcterms:modified>
</cp:coreProperties>
</file>