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ECD3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bookmarkStart w:id="0" w:name="_GoBack"/>
      <w:bookmarkEnd w:id="0"/>
      <w:r w:rsidRPr="00EF5381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EF5381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EF5381">
        <w:rPr>
          <w:rFonts w:ascii="Times New Roman" w:eastAsia="Times New Roman" w:hAnsi="Times New Roman" w:cs="Times New Roman"/>
          <w:b/>
          <w:lang w:eastAsia="sv-SE"/>
        </w:rPr>
        <w:t>)</w:t>
      </w:r>
      <w:r w:rsidRPr="00EF5381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48882D26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2B38E41F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EF5381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40944085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127BFE31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9D36967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7E7F78D2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B4AF969" w14:textId="0914DC52" w:rsidR="005C5B19" w:rsidRPr="00B92533" w:rsidRDefault="005C5B19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Držitel rozhodnutí o registraci a výrobce odpovědný za uvolnění šarže:</w:t>
      </w:r>
    </w:p>
    <w:p w14:paraId="5AD66EE7" w14:textId="721783EE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B92533">
        <w:rPr>
          <w:rFonts w:ascii="Times New Roman" w:eastAsia="Times New Roman" w:hAnsi="Times New Roman" w:cs="Times New Roman"/>
          <w:color w:val="000000"/>
          <w:lang w:eastAsia="sv-SE"/>
        </w:rPr>
        <w:t xml:space="preserve">UNIVIT s.r.o., Na </w:t>
      </w:r>
      <w:r w:rsidR="00EC4F3B">
        <w:rPr>
          <w:rFonts w:ascii="Times New Roman" w:eastAsia="Times New Roman" w:hAnsi="Times New Roman" w:cs="Times New Roman"/>
          <w:color w:val="000000"/>
          <w:lang w:eastAsia="sv-SE"/>
        </w:rPr>
        <w:t>v</w:t>
      </w:r>
      <w:r w:rsidRPr="00B92533">
        <w:rPr>
          <w:rFonts w:ascii="Times New Roman" w:eastAsia="Times New Roman" w:hAnsi="Times New Roman" w:cs="Times New Roman"/>
          <w:color w:val="000000"/>
          <w:lang w:eastAsia="sv-SE"/>
        </w:rPr>
        <w:t>lčinci 16/3, 779 00 Olomouc</w:t>
      </w:r>
    </w:p>
    <w:p w14:paraId="6F698B80" w14:textId="0B2D3454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B92533">
        <w:rPr>
          <w:rFonts w:ascii="Times New Roman" w:eastAsia="Times New Roman" w:hAnsi="Times New Roman" w:cs="Times New Roman"/>
          <w:color w:val="000000"/>
          <w:lang w:eastAsia="sv-SE"/>
        </w:rPr>
        <w:t>585</w:t>
      </w:r>
      <w:r w:rsidR="00EC4F3B">
        <w:rPr>
          <w:rFonts w:ascii="Times New Roman" w:eastAsia="Times New Roman" w:hAnsi="Times New Roman" w:cs="Times New Roman"/>
          <w:color w:val="000000"/>
          <w:lang w:eastAsia="sv-SE"/>
        </w:rPr>
        <w:t>547587</w:t>
      </w:r>
    </w:p>
    <w:p w14:paraId="139D62DC" w14:textId="56942ADC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B92533">
        <w:rPr>
          <w:rFonts w:ascii="Times New Roman" w:eastAsia="Times New Roman" w:hAnsi="Times New Roman" w:cs="Times New Roman"/>
          <w:color w:val="000000"/>
          <w:lang w:eastAsia="sv-SE"/>
        </w:rPr>
        <w:t>univit@univit.cz</w:t>
      </w:r>
    </w:p>
    <w:p w14:paraId="064F2B5B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47F6A0B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EF5381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EF5381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6713EF40" w14:textId="77777777" w:rsidR="005C5B19" w:rsidRPr="00B9253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496DF9F" w14:textId="65B01478" w:rsidR="00316E7D" w:rsidRPr="00B92533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>UNI-CTC 100 mg/g prášek pro perorální roztok</w:t>
      </w:r>
    </w:p>
    <w:p w14:paraId="2F0E2905" w14:textId="506342FB" w:rsidR="00316E7D" w:rsidRPr="00B92533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92533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B9253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92533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</w:p>
    <w:p w14:paraId="7B0D99F8" w14:textId="77777777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2CE607E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42586703" w14:textId="77777777" w:rsidR="005C5B19" w:rsidRPr="00B9253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F2A3875" w14:textId="77777777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>Každý gram obsahuje</w:t>
      </w:r>
    </w:p>
    <w:p w14:paraId="21C4BC4B" w14:textId="77777777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3785048" w14:textId="77777777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>Léčivá látka:</w:t>
      </w:r>
    </w:p>
    <w:p w14:paraId="36BCCC27" w14:textId="09AC9521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92533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B9253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92533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  <w:r w:rsidRPr="00B92533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92533">
        <w:rPr>
          <w:rFonts w:ascii="Times New Roman" w:eastAsia="Times New Roman" w:hAnsi="Times New Roman" w:cs="Times New Roman"/>
          <w:lang w:eastAsia="sv-SE"/>
        </w:rPr>
        <w:tab/>
      </w:r>
      <w:r w:rsidRPr="00B92533">
        <w:rPr>
          <w:rFonts w:ascii="Times New Roman" w:eastAsia="Times New Roman" w:hAnsi="Times New Roman" w:cs="Times New Roman"/>
          <w:lang w:eastAsia="sv-SE"/>
        </w:rPr>
        <w:tab/>
      </w:r>
      <w:r w:rsidRPr="00B92533">
        <w:rPr>
          <w:rFonts w:ascii="Times New Roman" w:eastAsia="Times New Roman" w:hAnsi="Times New Roman" w:cs="Times New Roman"/>
          <w:lang w:eastAsia="sv-SE"/>
        </w:rPr>
        <w:tab/>
        <w:t>100 mg</w:t>
      </w:r>
    </w:p>
    <w:p w14:paraId="12086C63" w14:textId="335C9585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 xml:space="preserve">(odpovídá 92,93 mg </w:t>
      </w:r>
      <w:proofErr w:type="spellStart"/>
      <w:r w:rsidRPr="00EF5381">
        <w:rPr>
          <w:rFonts w:ascii="Times New Roman" w:eastAsia="Times New Roman" w:hAnsi="Times New Roman" w:cs="Times New Roman"/>
          <w:lang w:eastAsia="sv-SE"/>
        </w:rPr>
        <w:t>chlortetracyclinum</w:t>
      </w:r>
      <w:proofErr w:type="spellEnd"/>
      <w:r w:rsidRPr="00EF5381">
        <w:rPr>
          <w:rFonts w:ascii="Times New Roman" w:eastAsia="Times New Roman" w:hAnsi="Times New Roman" w:cs="Times New Roman"/>
          <w:lang w:eastAsia="sv-SE"/>
        </w:rPr>
        <w:t>)</w:t>
      </w:r>
    </w:p>
    <w:p w14:paraId="01A17817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A88C241" w14:textId="647D4D29" w:rsidR="00316E7D" w:rsidRPr="00B92533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Světle žlutý homogenní prášek</w:t>
      </w:r>
    </w:p>
    <w:p w14:paraId="3CE1C497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E565BE7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7210779E" w14:textId="77777777" w:rsidR="005C5B19" w:rsidRPr="00B9253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1C0ADA6" w14:textId="43DA07DF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Prášek pro perorální roztok</w:t>
      </w:r>
    </w:p>
    <w:p w14:paraId="77D26CDA" w14:textId="77777777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CC9EC45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697A0747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762482" w14:textId="1BF4420D" w:rsidR="005C5B19" w:rsidRPr="00B92533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>150 g</w:t>
      </w:r>
    </w:p>
    <w:p w14:paraId="0D83FFAD" w14:textId="25075D30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500 g</w:t>
      </w:r>
    </w:p>
    <w:p w14:paraId="5FE310C6" w14:textId="4F1F48BA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3 kg</w:t>
      </w:r>
    </w:p>
    <w:p w14:paraId="3D5FBF4D" w14:textId="7A21949A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5 kg</w:t>
      </w:r>
    </w:p>
    <w:p w14:paraId="1D3AC1A5" w14:textId="270DC749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15 kg</w:t>
      </w:r>
    </w:p>
    <w:p w14:paraId="03532060" w14:textId="4888BDD5" w:rsidR="00316E7D" w:rsidRPr="00B92533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highlight w:val="lightGray"/>
          <w:lang w:eastAsia="sv-SE"/>
        </w:rPr>
        <w:t>20 kg</w:t>
      </w:r>
    </w:p>
    <w:p w14:paraId="72239428" w14:textId="77777777" w:rsidR="00316E7D" w:rsidRPr="00EF5381" w:rsidRDefault="00316E7D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463506B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4110CD65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CA48232" w14:textId="77777777" w:rsidR="00FF2391" w:rsidRPr="00B92533" w:rsidRDefault="00FF2391" w:rsidP="00FF23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Léčba a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metafylaxe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 infekcí gastrointestinálního traktu, respiračního aparátu a septikémie vyvolaných mikroorganismy citlivými k chlortetracyklinu.</w:t>
      </w:r>
    </w:p>
    <w:p w14:paraId="0E237E3A" w14:textId="77777777" w:rsidR="00FF2391" w:rsidRPr="00B92533" w:rsidRDefault="00FF2391" w:rsidP="00FF23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AE242E" w14:textId="77777777" w:rsidR="005C5B19" w:rsidRPr="00EF5381" w:rsidRDefault="00FF2391" w:rsidP="00FF2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Před zahájením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metafylaxe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 je nutno prokázat výskyt onemocnění ve stádě.</w:t>
      </w:r>
    </w:p>
    <w:p w14:paraId="6DAEB985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63102817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7DDEE62D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B3134CC" w14:textId="77777777" w:rsidR="007F00CD" w:rsidRPr="00B92533" w:rsidRDefault="007F00CD" w:rsidP="007F00C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Nepoužívat v případech přecitlivělosti na léčivou látku nebo jakoukoliv z pomocných látek.</w:t>
      </w:r>
    </w:p>
    <w:p w14:paraId="59C3580A" w14:textId="77777777" w:rsidR="007F00CD" w:rsidRPr="00B92533" w:rsidRDefault="007F00CD" w:rsidP="007F00C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Nepodávat přežvýkavcům s rozvinutou funkcí předžaludků.</w:t>
      </w:r>
    </w:p>
    <w:p w14:paraId="3615610F" w14:textId="77777777" w:rsidR="007F00CD" w:rsidRPr="00B92533" w:rsidRDefault="007F00CD" w:rsidP="007F00C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lastRenderedPageBreak/>
        <w:t>Nepodávat zvířatům se závažným poškozením jater nebo nedostatečnou funkcí ledvin.</w:t>
      </w:r>
    </w:p>
    <w:p w14:paraId="6D3945BA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934E323" w14:textId="77777777" w:rsidR="005C5B19" w:rsidRPr="00EF5381" w:rsidRDefault="005C5B19" w:rsidP="005C5B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EF538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0CFA8538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1D55E1C" w14:textId="77777777" w:rsidR="008D1AA0" w:rsidRPr="00B92533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U citlivých zvířat se mohou vyskytnout hypersenzitivní reakce (včetně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fotosenzitivity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) jako je svědění kůže a podráždění spojivek. </w:t>
      </w:r>
    </w:p>
    <w:p w14:paraId="71880474" w14:textId="77777777" w:rsidR="00187D41" w:rsidRPr="00B92533" w:rsidRDefault="00187D41" w:rsidP="008D1AA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A2BAAB8" w14:textId="64BF9838" w:rsidR="008D1AA0" w:rsidRPr="00EF5381" w:rsidRDefault="005C5B19" w:rsidP="008D1A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8D1AA0" w:rsidRPr="00EF5381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  <w:r w:rsidR="00187D41" w:rsidRPr="00B92533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8D1AA0"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Nežádoucí účinky můžete hlásit prostřednictvím formuláře na webových stránkách ÚSKVBL elektronicky, nebo také přímo na adresu: </w:t>
      </w:r>
    </w:p>
    <w:p w14:paraId="784149BB" w14:textId="77777777" w:rsidR="008D1AA0" w:rsidRPr="00EF5381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14:paraId="7BB6728E" w14:textId="77777777" w:rsidR="008D1AA0" w:rsidRPr="00EF5381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14:paraId="2155B9E2" w14:textId="77777777" w:rsidR="008D1AA0" w:rsidRPr="00EF5381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621 00 Brno </w:t>
      </w:r>
    </w:p>
    <w:p w14:paraId="70C8D629" w14:textId="77777777" w:rsidR="008D1AA0" w:rsidRPr="00EF5381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Mail: </w:t>
      </w:r>
      <w:hyperlink r:id="rId8" w:history="1">
        <w:r w:rsidRPr="00EF5381">
          <w:rPr>
            <w:rFonts w:ascii="Times New Roman" w:eastAsia="Times New Roman" w:hAnsi="Times New Roman" w:cs="Times New Roman"/>
            <w:color w:val="000000"/>
            <w:lang w:eastAsia="sv-SE"/>
          </w:rPr>
          <w:t>adr@uskvbl.cz</w:t>
        </w:r>
      </w:hyperlink>
    </w:p>
    <w:p w14:paraId="63CCD289" w14:textId="77777777" w:rsidR="005C5B19" w:rsidRPr="00EF5381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Webové stránky: </w:t>
      </w:r>
      <w:hyperlink r:id="rId9" w:history="1">
        <w:r w:rsidRPr="00EF5381">
          <w:rPr>
            <w:rFonts w:ascii="Times New Roman" w:eastAsia="Times New Roman" w:hAnsi="Times New Roman" w:cs="Times New Roman"/>
            <w:color w:val="000000"/>
            <w:lang w:eastAsia="sv-SE"/>
          </w:rPr>
          <w:t>http://www.uskvbl.cz/cs/farmakovigilance</w:t>
        </w:r>
      </w:hyperlink>
    </w:p>
    <w:p w14:paraId="43B5C47C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F3FA669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37DFCA0F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F5778F8" w14:textId="77777777" w:rsidR="005C5B19" w:rsidRPr="00EF5381" w:rsidRDefault="00146AF3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5381">
        <w:rPr>
          <w:rFonts w:ascii="Times New Roman" w:eastAsia="Times New Roman" w:hAnsi="Times New Roman" w:cs="Times New Roman"/>
          <w:lang w:eastAsia="cs-CZ"/>
        </w:rPr>
        <w:t>Skot (telata), prasata, drůbež.</w:t>
      </w:r>
    </w:p>
    <w:p w14:paraId="79C87B90" w14:textId="77777777" w:rsidR="00146AF3" w:rsidRPr="00EF5381" w:rsidRDefault="00146AF3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B39295E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Dávkování pro každý druh, </w:t>
      </w:r>
      <w:proofErr w:type="gramStart"/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cesta(y) a způsob</w:t>
      </w:r>
      <w:proofErr w:type="gramEnd"/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podání</w:t>
      </w:r>
    </w:p>
    <w:p w14:paraId="7AF4BDE8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A26676B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>Perorální podání.</w:t>
      </w:r>
    </w:p>
    <w:p w14:paraId="4E5A2A58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</w:p>
    <w:p w14:paraId="74174DD4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B9253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Léčba:</w:t>
      </w:r>
    </w:p>
    <w:p w14:paraId="3D11B261" w14:textId="77777777" w:rsidR="00146AF3" w:rsidRPr="00B92533" w:rsidRDefault="00146AF3" w:rsidP="00146AF3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 xml:space="preserve">Telata a prasata:                          56 mg </w:t>
      </w:r>
      <w:r w:rsidRPr="00B92533">
        <w:rPr>
          <w:rFonts w:ascii="Times New Roman" w:eastAsia="Times New Roman" w:hAnsi="Times New Roman" w:cs="Times New Roman"/>
          <w:lang w:eastAsia="cs-CZ"/>
        </w:rPr>
        <w:t xml:space="preserve">chlortetracyklin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hydrochloridu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/kg ž. </w:t>
      </w:r>
      <w:proofErr w:type="gramStart"/>
      <w:r w:rsidRPr="00B92533">
        <w:rPr>
          <w:rFonts w:ascii="Times New Roman" w:eastAsia="Times New Roman" w:hAnsi="Times New Roman" w:cs="Times New Roman"/>
          <w:lang w:eastAsia="cs-CZ"/>
        </w:rPr>
        <w:t>hm./den</w:t>
      </w:r>
      <w:proofErr w:type="gramEnd"/>
      <w:r w:rsidRPr="00B92533">
        <w:rPr>
          <w:rFonts w:ascii="Times New Roman" w:eastAsia="Times New Roman" w:hAnsi="Times New Roman" w:cs="Times New Roman"/>
          <w:lang w:eastAsia="sv-SE"/>
        </w:rPr>
        <w:t xml:space="preserve">, </w:t>
      </w:r>
    </w:p>
    <w:p w14:paraId="6AF51086" w14:textId="77777777" w:rsidR="00146AF3" w:rsidRPr="00B92533" w:rsidRDefault="00146AF3" w:rsidP="00146AF3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 xml:space="preserve">     což odpovídá 0,56 g přípravku/kg ž. </w:t>
      </w:r>
      <w:proofErr w:type="gramStart"/>
      <w:r w:rsidRPr="00B92533">
        <w:rPr>
          <w:rFonts w:ascii="Times New Roman" w:eastAsia="Times New Roman" w:hAnsi="Times New Roman" w:cs="Times New Roman"/>
          <w:lang w:eastAsia="sv-SE"/>
        </w:rPr>
        <w:t>hm./den</w:t>
      </w:r>
      <w:proofErr w:type="gramEnd"/>
      <w:r w:rsidRPr="00B92533">
        <w:rPr>
          <w:rFonts w:ascii="Times New Roman" w:eastAsia="Times New Roman" w:hAnsi="Times New Roman" w:cs="Times New Roman"/>
          <w:lang w:eastAsia="sv-SE"/>
        </w:rPr>
        <w:t>.</w:t>
      </w:r>
    </w:p>
    <w:p w14:paraId="5687C3FD" w14:textId="77777777" w:rsidR="00146AF3" w:rsidRPr="00B92533" w:rsidRDefault="00146AF3" w:rsidP="00146AF3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</w:p>
    <w:p w14:paraId="31769C8C" w14:textId="5204576A" w:rsidR="00146AF3" w:rsidRPr="00B92533" w:rsidRDefault="00146AF3" w:rsidP="00146AF3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>Drůbež:</w:t>
      </w:r>
      <w:r w:rsidRPr="00B92533">
        <w:rPr>
          <w:rFonts w:ascii="Times New Roman" w:eastAsia="Times New Roman" w:hAnsi="Times New Roman" w:cs="Times New Roman"/>
          <w:b/>
          <w:bCs/>
          <w:lang w:eastAsia="sv-SE"/>
        </w:rPr>
        <w:t>                                       </w:t>
      </w:r>
      <w:r w:rsidRPr="00B92533" w:rsidDel="00686B3C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92533">
        <w:rPr>
          <w:rFonts w:ascii="Times New Roman" w:eastAsia="Times New Roman" w:hAnsi="Times New Roman" w:cs="Times New Roman"/>
          <w:lang w:eastAsia="sv-SE"/>
        </w:rPr>
        <w:t>25</w:t>
      </w:r>
      <w:r w:rsidR="007416EC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92533">
        <w:rPr>
          <w:rFonts w:ascii="Times New Roman" w:eastAsia="Times New Roman" w:hAnsi="Times New Roman" w:cs="Times New Roman"/>
          <w:lang w:eastAsia="sv-SE"/>
        </w:rPr>
        <w:t xml:space="preserve">mg </w:t>
      </w:r>
      <w:r w:rsidRPr="00B92533">
        <w:rPr>
          <w:rFonts w:ascii="Times New Roman" w:eastAsia="Times New Roman" w:hAnsi="Times New Roman" w:cs="Times New Roman"/>
          <w:lang w:eastAsia="cs-CZ"/>
        </w:rPr>
        <w:t xml:space="preserve">chlortetracyklin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hydrochloridu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/kg ž. </w:t>
      </w:r>
      <w:proofErr w:type="gramStart"/>
      <w:r w:rsidRPr="00B92533">
        <w:rPr>
          <w:rFonts w:ascii="Times New Roman" w:eastAsia="Times New Roman" w:hAnsi="Times New Roman" w:cs="Times New Roman"/>
          <w:lang w:eastAsia="cs-CZ"/>
        </w:rPr>
        <w:t>hm./den</w:t>
      </w:r>
      <w:proofErr w:type="gramEnd"/>
      <w:r w:rsidRPr="00B92533">
        <w:rPr>
          <w:rFonts w:ascii="Times New Roman" w:eastAsia="Times New Roman" w:hAnsi="Times New Roman" w:cs="Times New Roman"/>
          <w:lang w:eastAsia="sv-SE"/>
        </w:rPr>
        <w:t xml:space="preserve">, </w:t>
      </w:r>
    </w:p>
    <w:p w14:paraId="2E608652" w14:textId="77777777" w:rsidR="00146AF3" w:rsidRPr="00B92533" w:rsidRDefault="00146AF3" w:rsidP="00146AF3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  <w:r w:rsidRPr="00B92533">
        <w:rPr>
          <w:rFonts w:ascii="Times New Roman" w:eastAsia="Times New Roman" w:hAnsi="Times New Roman" w:cs="Times New Roman"/>
          <w:lang w:eastAsia="sv-SE"/>
        </w:rPr>
        <w:t xml:space="preserve">     což odpovídá 0,25 g přípravku/kg ž. </w:t>
      </w:r>
      <w:proofErr w:type="gramStart"/>
      <w:r w:rsidRPr="00B92533">
        <w:rPr>
          <w:rFonts w:ascii="Times New Roman" w:eastAsia="Times New Roman" w:hAnsi="Times New Roman" w:cs="Times New Roman"/>
          <w:lang w:eastAsia="sv-SE"/>
        </w:rPr>
        <w:t>hm./den</w:t>
      </w:r>
      <w:proofErr w:type="gramEnd"/>
      <w:r w:rsidRPr="00B92533">
        <w:rPr>
          <w:rFonts w:ascii="Times New Roman" w:eastAsia="Times New Roman" w:hAnsi="Times New Roman" w:cs="Times New Roman"/>
          <w:lang w:eastAsia="sv-SE"/>
        </w:rPr>
        <w:t>.</w:t>
      </w:r>
    </w:p>
    <w:p w14:paraId="480DBB00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1CBC637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B9253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Metafylaxe</w:t>
      </w:r>
      <w:proofErr w:type="spellEnd"/>
      <w:r w:rsidRPr="00B9253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:</w:t>
      </w:r>
    </w:p>
    <w:p w14:paraId="1180164F" w14:textId="77777777" w:rsidR="00146AF3" w:rsidRPr="00B92533" w:rsidRDefault="00146AF3" w:rsidP="00146AF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eastAsia="sv-SE"/>
        </w:rPr>
      </w:pPr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>Telata a prasata:</w:t>
      </w:r>
      <w:r w:rsidRPr="00B9253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                          </w:t>
      </w:r>
      <w:r w:rsidRPr="00B92533">
        <w:rPr>
          <w:rFonts w:ascii="Times New Roman" w:eastAsia="Times New Roman" w:hAnsi="Times New Roman" w:cs="Times New Roman"/>
          <w:lang w:eastAsia="sv-SE"/>
        </w:rPr>
        <w:t xml:space="preserve">28 mg </w:t>
      </w:r>
      <w:r w:rsidRPr="00B92533">
        <w:rPr>
          <w:rFonts w:ascii="Times New Roman" w:eastAsia="Times New Roman" w:hAnsi="Times New Roman" w:cs="Times New Roman"/>
          <w:lang w:eastAsia="cs-CZ"/>
        </w:rPr>
        <w:t xml:space="preserve">chlortetracyklin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hydrochloridu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/kg ž. </w:t>
      </w:r>
      <w:proofErr w:type="gramStart"/>
      <w:r w:rsidRPr="00B92533">
        <w:rPr>
          <w:rFonts w:ascii="Times New Roman" w:eastAsia="Times New Roman" w:hAnsi="Times New Roman" w:cs="Times New Roman"/>
          <w:lang w:eastAsia="cs-CZ"/>
        </w:rPr>
        <w:t>hm./den</w:t>
      </w:r>
      <w:proofErr w:type="gramEnd"/>
      <w:r w:rsidRPr="00B92533">
        <w:rPr>
          <w:rFonts w:ascii="Times New Roman" w:eastAsia="Times New Roman" w:hAnsi="Times New Roman" w:cs="Times New Roman"/>
          <w:lang w:eastAsia="sv-SE"/>
        </w:rPr>
        <w:t xml:space="preserve">, </w:t>
      </w:r>
      <w:r w:rsidRPr="00B92533">
        <w:rPr>
          <w:rFonts w:ascii="Times New Roman" w:eastAsia="Times New Roman" w:hAnsi="Times New Roman" w:cs="Times New Roman"/>
          <w:lang w:eastAsia="sv-SE"/>
        </w:rPr>
        <w:br/>
        <w:t xml:space="preserve">     což odpovídá 0,28 g přípravku/kg ž. hm./den.</w:t>
      </w:r>
    </w:p>
    <w:p w14:paraId="79E47E82" w14:textId="77777777" w:rsidR="00146AF3" w:rsidRPr="00B92533" w:rsidRDefault="00146AF3" w:rsidP="00146AF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eastAsia="sv-SE"/>
        </w:rPr>
      </w:pPr>
    </w:p>
    <w:p w14:paraId="4DD628B4" w14:textId="77777777" w:rsidR="00146AF3" w:rsidRPr="00B92533" w:rsidRDefault="00146AF3" w:rsidP="00146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BE45563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 xml:space="preserve">Přípravek léčebně i </w:t>
      </w:r>
      <w:proofErr w:type="spellStart"/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>metafylakticky</w:t>
      </w:r>
      <w:proofErr w:type="spellEnd"/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 xml:space="preserve"> podávat po dobu 5–7 po sobě jdoucích dnů. </w:t>
      </w:r>
    </w:p>
    <w:p w14:paraId="71AC8231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20B79BB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92533">
        <w:rPr>
          <w:rFonts w:ascii="Times New Roman" w:eastAsia="Times New Roman" w:hAnsi="Times New Roman" w:cs="Times New Roman"/>
          <w:color w:val="000000"/>
          <w:lang w:eastAsia="cs-CZ"/>
        </w:rPr>
        <w:t>Pro výpočet denní dávky přípravku lze použít výpočetní vzorec:</w:t>
      </w:r>
    </w:p>
    <w:p w14:paraId="0D49AC04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146AF3" w:rsidRPr="00B92533" w14:paraId="5C86A895" w14:textId="77777777" w:rsidTr="0015099E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5E58C7F5" w14:textId="77777777" w:rsidR="00146AF3" w:rsidRPr="00B92533" w:rsidRDefault="00146AF3" w:rsidP="0014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>…g přípravku/kg živé hmotnosti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14:paraId="0EFBDCD0" w14:textId="77777777" w:rsidR="00146AF3" w:rsidRPr="00B92533" w:rsidRDefault="00146AF3" w:rsidP="0014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14:paraId="6F52C172" w14:textId="77777777" w:rsidR="00146AF3" w:rsidRPr="00B92533" w:rsidRDefault="00146AF3" w:rsidP="0014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14:paraId="54D420DC" w14:textId="77777777" w:rsidR="00146AF3" w:rsidRPr="00B92533" w:rsidRDefault="00146AF3" w:rsidP="0014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</w:p>
          <w:p w14:paraId="68FD67DE" w14:textId="77777777" w:rsidR="00146AF3" w:rsidRPr="00B92533" w:rsidRDefault="00146AF3" w:rsidP="0014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proofErr w:type="gramStart"/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>= ... g přípravku</w:t>
            </w:r>
            <w:proofErr w:type="gramEnd"/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 xml:space="preserve"> na 1 l vody</w:t>
            </w:r>
          </w:p>
        </w:tc>
      </w:tr>
      <w:tr w:rsidR="00146AF3" w:rsidRPr="00B92533" w14:paraId="46F49731" w14:textId="77777777" w:rsidTr="0015099E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4FE3C6A" w14:textId="77777777" w:rsidR="00146AF3" w:rsidRPr="00B92533" w:rsidRDefault="00146AF3" w:rsidP="0014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B92533">
              <w:rPr>
                <w:rFonts w:ascii="Times New Roman" w:eastAsia="Times New Roman" w:hAnsi="Times New Roman" w:cs="Times New Roman"/>
                <w:iCs/>
                <w:lang w:eastAsia="sv-SE"/>
              </w:rPr>
              <w:t xml:space="preserve">průměrná denní spotřeba vody (litry) </w:t>
            </w:r>
            <w:r w:rsidRPr="00B92533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14:paraId="186071A5" w14:textId="77777777" w:rsidR="00146AF3" w:rsidRPr="00B92533" w:rsidRDefault="00146AF3" w:rsidP="0014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sv-SE"/>
              </w:rPr>
            </w:pPr>
          </w:p>
        </w:tc>
      </w:tr>
    </w:tbl>
    <w:p w14:paraId="3058FAE2" w14:textId="77777777" w:rsidR="00146AF3" w:rsidRPr="00EF5381" w:rsidRDefault="00146AF3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09D7FE6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540858E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67505ABF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10B63A24" w14:textId="77777777" w:rsidR="00146AF3" w:rsidRPr="00B92533" w:rsidRDefault="00146AF3" w:rsidP="00146A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Pro zajištění podání správné dávky by měla být co možná nejpřesněji stanovena živá hmotnost zvířat, aby se předešlo poddávkování.</w:t>
      </w:r>
    </w:p>
    <w:p w14:paraId="39E12802" w14:textId="77777777" w:rsidR="00146AF3" w:rsidRPr="00B92533" w:rsidRDefault="00146AF3" w:rsidP="0014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DC89FA9" w14:textId="77777777" w:rsidR="00146AF3" w:rsidRPr="00B92533" w:rsidRDefault="00146AF3" w:rsidP="00146A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Denní dávky podávat rozdělené na polovinu v intervalu 12 hodin. Roztok připravte s čerstvou pitnou vodou bezprostředně před použitím. Před použitím rozpusťte v menším množství vody a tento roztok dále nařeďte na požadovanou koncentraci. Před aplikací omezte zvířatům 2 hodiny před podáním </w:t>
      </w:r>
      <w:r w:rsidRPr="00B92533">
        <w:rPr>
          <w:rFonts w:ascii="Times New Roman" w:eastAsia="Times New Roman" w:hAnsi="Times New Roman" w:cs="Times New Roman"/>
          <w:lang w:eastAsia="cs-CZ"/>
        </w:rPr>
        <w:lastRenderedPageBreak/>
        <w:t xml:space="preserve">léčiva přívod vody. Po vypití medikované vody by zvířata měla mít k dispozici dostatečné množství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nemedikované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 vody pro zbytek dne.</w:t>
      </w:r>
    </w:p>
    <w:p w14:paraId="5AF5C210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122CDFF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Ochranná(é) </w:t>
      </w:r>
      <w:proofErr w:type="gramStart"/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lhůta(y):</w:t>
      </w:r>
      <w:proofErr w:type="gramEnd"/>
    </w:p>
    <w:p w14:paraId="4F457A44" w14:textId="77777777" w:rsidR="003D71C1" w:rsidRPr="00B92533" w:rsidRDefault="003D71C1" w:rsidP="003D71C1">
      <w:pPr>
        <w:pStyle w:val="Bezmezer"/>
        <w:rPr>
          <w:rFonts w:ascii="Times New Roman" w:hAnsi="Times New Roman" w:cs="Times New Roman"/>
        </w:rPr>
      </w:pPr>
    </w:p>
    <w:p w14:paraId="3770593F" w14:textId="77777777" w:rsidR="003D71C1" w:rsidRPr="00EF5381" w:rsidRDefault="003D71C1" w:rsidP="003D71C1">
      <w:pPr>
        <w:pStyle w:val="Bezmezer"/>
        <w:rPr>
          <w:rFonts w:ascii="Times New Roman" w:hAnsi="Times New Roman" w:cs="Times New Roman"/>
          <w:b/>
        </w:rPr>
      </w:pPr>
      <w:r w:rsidRPr="00EF5381">
        <w:rPr>
          <w:rFonts w:ascii="Times New Roman" w:hAnsi="Times New Roman" w:cs="Times New Roman"/>
          <w:b/>
        </w:rPr>
        <w:t xml:space="preserve">Ochranné lhůty: </w:t>
      </w:r>
    </w:p>
    <w:p w14:paraId="6C1C97DB" w14:textId="77777777" w:rsidR="003D71C1" w:rsidRPr="00B92533" w:rsidRDefault="003D71C1" w:rsidP="003D71C1">
      <w:pPr>
        <w:pStyle w:val="Bezmezer"/>
        <w:rPr>
          <w:rFonts w:ascii="Times New Roman" w:hAnsi="Times New Roman" w:cs="Times New Roman"/>
        </w:rPr>
      </w:pPr>
      <w:r w:rsidRPr="00B92533">
        <w:rPr>
          <w:rFonts w:ascii="Times New Roman" w:hAnsi="Times New Roman" w:cs="Times New Roman"/>
        </w:rPr>
        <w:t xml:space="preserve">Telata: maso: 30 dní </w:t>
      </w:r>
    </w:p>
    <w:p w14:paraId="1FFAA1D3" w14:textId="77777777" w:rsidR="003D71C1" w:rsidRPr="00B92533" w:rsidRDefault="003D71C1" w:rsidP="003D71C1">
      <w:pPr>
        <w:pStyle w:val="Bezmezer"/>
        <w:rPr>
          <w:rFonts w:ascii="Times New Roman" w:hAnsi="Times New Roman" w:cs="Times New Roman"/>
        </w:rPr>
      </w:pPr>
      <w:r w:rsidRPr="00B92533">
        <w:rPr>
          <w:rFonts w:ascii="Times New Roman" w:hAnsi="Times New Roman" w:cs="Times New Roman"/>
        </w:rPr>
        <w:t xml:space="preserve">Prasata: maso: 10 dní </w:t>
      </w:r>
    </w:p>
    <w:p w14:paraId="5389A4D0" w14:textId="77777777" w:rsidR="003D71C1" w:rsidRPr="00B92533" w:rsidRDefault="003D71C1" w:rsidP="003D71C1">
      <w:pPr>
        <w:pStyle w:val="Bezmezer"/>
        <w:rPr>
          <w:rFonts w:ascii="Times New Roman" w:hAnsi="Times New Roman" w:cs="Times New Roman"/>
        </w:rPr>
      </w:pPr>
      <w:r w:rsidRPr="00B92533">
        <w:rPr>
          <w:rFonts w:ascii="Times New Roman" w:hAnsi="Times New Roman" w:cs="Times New Roman"/>
        </w:rPr>
        <w:t xml:space="preserve">Drůbež: maso: 4 dny </w:t>
      </w:r>
    </w:p>
    <w:p w14:paraId="62849FB2" w14:textId="77777777" w:rsidR="003D71C1" w:rsidRPr="00B92533" w:rsidRDefault="003D71C1" w:rsidP="003D71C1">
      <w:pPr>
        <w:pStyle w:val="Bezmezer"/>
        <w:rPr>
          <w:rFonts w:ascii="Times New Roman" w:hAnsi="Times New Roman" w:cs="Times New Roman"/>
        </w:rPr>
      </w:pPr>
      <w:r w:rsidRPr="00B92533">
        <w:rPr>
          <w:rFonts w:ascii="Times New Roman" w:hAnsi="Times New Roman" w:cs="Times New Roman"/>
        </w:rPr>
        <w:t xml:space="preserve">              vejce: 7 dní </w:t>
      </w:r>
    </w:p>
    <w:p w14:paraId="14EF4B3B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B25C890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338C03A5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34AB175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Uchovávejte při teplotě do 25 °C.</w:t>
      </w:r>
    </w:p>
    <w:p w14:paraId="5386AB25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Uchovávejte v původním vnitřním obalu.</w:t>
      </w:r>
    </w:p>
    <w:p w14:paraId="70609BE1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Uchovávejte v suchu.</w:t>
      </w:r>
    </w:p>
    <w:p w14:paraId="45490717" w14:textId="77777777" w:rsidR="00316E7D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Nepoužívejte tento veterinární léčivý přípravek po uplynutí doby použitelnosti uvedené na etiketě po EXP.</w:t>
      </w:r>
    </w:p>
    <w:p w14:paraId="1D74A7C9" w14:textId="1DA1DD0B" w:rsidR="005C5B19" w:rsidRPr="00EF5381" w:rsidRDefault="00316E7D" w:rsidP="00316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Doba použitelnosti končí posledním dnem v uvedeném měsíci.</w:t>
      </w:r>
    </w:p>
    <w:p w14:paraId="1F559181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1288D39" w14:textId="6F3075B4" w:rsidR="005C5B19" w:rsidRPr="00EF5381" w:rsidRDefault="005C5B19" w:rsidP="00EF53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5BBE7BE7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35A42F99" w14:textId="46622716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Zvláštní opatření pro použití u zvířat:</w:t>
      </w:r>
    </w:p>
    <w:p w14:paraId="76C2E2E3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cs-CZ"/>
        </w:rPr>
      </w:pPr>
    </w:p>
    <w:p w14:paraId="2D87044B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z nemocných zvířat v chovu. Pokud to není možné, je nutné založit terapii na místních (regionálních, na úrovni farmy)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epizootologických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 informacích o citlivosti cílové bakterie. </w:t>
      </w:r>
    </w:p>
    <w:p w14:paraId="2FBC8564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Byla zaznamenána vysoká prevalence rezistence u </w:t>
      </w:r>
      <w:r w:rsidRPr="00B92533">
        <w:rPr>
          <w:rFonts w:ascii="Times New Roman" w:eastAsia="Times New Roman" w:hAnsi="Times New Roman" w:cs="Times New Roman"/>
          <w:i/>
          <w:lang w:eastAsia="cs-CZ"/>
        </w:rPr>
        <w:t xml:space="preserve">E. </w:t>
      </w:r>
      <w:proofErr w:type="gramStart"/>
      <w:r w:rsidRPr="00B92533">
        <w:rPr>
          <w:rFonts w:ascii="Times New Roman" w:eastAsia="Times New Roman" w:hAnsi="Times New Roman" w:cs="Times New Roman"/>
          <w:i/>
          <w:lang w:eastAsia="cs-CZ"/>
        </w:rPr>
        <w:t>coli</w:t>
      </w:r>
      <w:proofErr w:type="gramEnd"/>
      <w:r w:rsidRPr="00B92533">
        <w:rPr>
          <w:rFonts w:ascii="Times New Roman" w:eastAsia="Times New Roman" w:hAnsi="Times New Roman" w:cs="Times New Roman"/>
          <w:lang w:eastAsia="cs-CZ"/>
        </w:rPr>
        <w:t>, izolované ze skotu, prasat a kura domácího, k tetracyklinům. Rezistence k tetracyklinům byla také hlášena v některých zemích EU u respiračních patogenů prasat (</w:t>
      </w:r>
      <w:r w:rsidRPr="00B92533">
        <w:rPr>
          <w:rFonts w:ascii="Times New Roman" w:eastAsia="Times New Roman" w:hAnsi="Times New Roman" w:cs="Times New Roman"/>
          <w:i/>
          <w:lang w:eastAsia="cs-CZ"/>
        </w:rPr>
        <w:t xml:space="preserve">A. </w:t>
      </w:r>
      <w:proofErr w:type="spellStart"/>
      <w:r w:rsidRPr="00B92533">
        <w:rPr>
          <w:rFonts w:ascii="Times New Roman" w:eastAsia="Times New Roman" w:hAnsi="Times New Roman" w:cs="Times New Roman"/>
          <w:i/>
          <w:lang w:eastAsia="cs-CZ"/>
        </w:rPr>
        <w:t>pleuropneumoniae</w:t>
      </w:r>
      <w:proofErr w:type="spellEnd"/>
      <w:r w:rsidRPr="00B92533">
        <w:rPr>
          <w:rFonts w:ascii="Times New Roman" w:eastAsia="Times New Roman" w:hAnsi="Times New Roman" w:cs="Times New Roman"/>
          <w:i/>
          <w:lang w:eastAsia="cs-CZ"/>
        </w:rPr>
        <w:t xml:space="preserve">, S. </w:t>
      </w:r>
      <w:proofErr w:type="spellStart"/>
      <w:r w:rsidRPr="00B92533">
        <w:rPr>
          <w:rFonts w:ascii="Times New Roman" w:eastAsia="Times New Roman" w:hAnsi="Times New Roman" w:cs="Times New Roman"/>
          <w:i/>
          <w:lang w:eastAsia="cs-CZ"/>
        </w:rPr>
        <w:t>suis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>) a patogenů drůbeže (</w:t>
      </w:r>
      <w:proofErr w:type="spellStart"/>
      <w:r w:rsidRPr="00B92533">
        <w:rPr>
          <w:rFonts w:ascii="Times New Roman" w:eastAsia="Times New Roman" w:hAnsi="Times New Roman" w:cs="Times New Roman"/>
          <w:i/>
          <w:lang w:eastAsia="cs-CZ"/>
        </w:rPr>
        <w:t>Ornithobacterium</w:t>
      </w:r>
      <w:proofErr w:type="spellEnd"/>
      <w:r w:rsidRPr="00B9253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92533">
        <w:rPr>
          <w:rFonts w:ascii="Times New Roman" w:eastAsia="Times New Roman" w:hAnsi="Times New Roman" w:cs="Times New Roman"/>
          <w:i/>
          <w:lang w:eastAsia="cs-CZ"/>
        </w:rPr>
        <w:t>rhinotracheale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). Proto by tento přípravek měl být používán až po testování citlivosti. </w:t>
      </w:r>
    </w:p>
    <w:p w14:paraId="6E56267E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A0F8F74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Podání přípravku by nemělo sloužit jako metoda kontroly 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neklinických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 salmonelových infekcí v chovech. Striktně se doporučuje nepoužívat přípravek jako nástroj programů pro tlumení salmonelových infekcí a dodržet v tomto ohledu platnou legislativu.</w:t>
      </w:r>
    </w:p>
    <w:p w14:paraId="41FF53B2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B3AA58F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 xml:space="preserve">Použití přípravku, které </w:t>
      </w:r>
      <w:r w:rsidR="00187D41" w:rsidRPr="00B92533">
        <w:rPr>
          <w:rFonts w:ascii="Times New Roman" w:eastAsia="Times New Roman" w:hAnsi="Times New Roman" w:cs="Times New Roman"/>
          <w:lang w:eastAsia="cs-CZ"/>
        </w:rPr>
        <w:t>je odlišné od pokynů uvedených na této etiketě</w:t>
      </w:r>
      <w:r w:rsidRPr="00B92533">
        <w:rPr>
          <w:rFonts w:ascii="Times New Roman" w:eastAsia="Times New Roman" w:hAnsi="Times New Roman" w:cs="Times New Roman"/>
          <w:lang w:eastAsia="cs-CZ"/>
        </w:rPr>
        <w:t>, může zvýšit prevalenci bakterií rezistentních na chlortetracyklin a snížit účinnost terapie ostatními tetracykliny z důvodu možné zkřížené rezistence/</w:t>
      </w:r>
      <w:proofErr w:type="spellStart"/>
      <w:r w:rsidRPr="00B92533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B92533">
        <w:rPr>
          <w:rFonts w:ascii="Times New Roman" w:eastAsia="Times New Roman" w:hAnsi="Times New Roman" w:cs="Times New Roman"/>
          <w:lang w:eastAsia="cs-CZ"/>
        </w:rPr>
        <w:t xml:space="preserve">-selekce rezistence. </w:t>
      </w:r>
    </w:p>
    <w:p w14:paraId="13EE4D3F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8162BC0" w14:textId="77777777" w:rsidR="00AD47A5" w:rsidRPr="00B92533" w:rsidRDefault="00AD47A5" w:rsidP="00AD4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2BC749DF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769BD0B" w14:textId="77777777" w:rsidR="005C5B19" w:rsidRPr="00EF5381" w:rsidRDefault="005C5B19" w:rsidP="00EF538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EF5381">
        <w:rPr>
          <w:rFonts w:ascii="Times New Roman" w:eastAsia="Times New Roman" w:hAnsi="Times New Roman" w:cs="Times New Roman"/>
          <w:b/>
          <w:u w:val="single"/>
          <w:lang w:eastAsia="sv-SE"/>
        </w:rPr>
        <w:t>Zvláštní opatření určené osobám, které podávají veterinární léčivý přípravek zvířatům</w:t>
      </w:r>
      <w:r w:rsidR="00A82688" w:rsidRPr="00EF5381">
        <w:rPr>
          <w:rFonts w:ascii="Times New Roman" w:eastAsia="Times New Roman" w:hAnsi="Times New Roman" w:cs="Times New Roman"/>
          <w:b/>
          <w:lang w:eastAsia="sv-SE"/>
        </w:rPr>
        <w:t>:</w:t>
      </w:r>
    </w:p>
    <w:p w14:paraId="4E8605CE" w14:textId="77777777" w:rsidR="001B46B4" w:rsidRPr="00EF5381" w:rsidRDefault="001B46B4" w:rsidP="00A8268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</w:p>
    <w:p w14:paraId="706D06F2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 xml:space="preserve">Lidé se známou přecitlivělostí na tetracykliny by se měli vyhnout kontaktu s veterinárním léčivým přípravkem. </w:t>
      </w:r>
    </w:p>
    <w:p w14:paraId="21B0623C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 xml:space="preserve">Přípravek používejte v dobře větraných prostorách a zamezte vytváření prachu a vdechování prachových částic. </w:t>
      </w:r>
    </w:p>
    <w:p w14:paraId="06B55611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>Při manipulaci s přípravkem nejezte, nepijte a nekuřte.</w:t>
      </w:r>
    </w:p>
    <w:p w14:paraId="75B37B7A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>Zabraňte kontaktu přípravku s kůží, očima a sliznicemi.</w:t>
      </w:r>
    </w:p>
    <w:p w14:paraId="0194E518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lastRenderedPageBreak/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14:paraId="4825813E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 xml:space="preserve">V případě náhodného potřísnění kůže nebo kontaktu se sliznicemi opláchněte ihned zasažené místo velkým množstvím vody. </w:t>
      </w:r>
    </w:p>
    <w:p w14:paraId="61DBF1DA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 xml:space="preserve">V případě náhodného kontaktu s očima je ihned vypláchněte velkým množstvím čisté vody a dojde-li k podráždění, vyhledejte lékařskou pomoc a ukažte lékaři toto upozornění. </w:t>
      </w:r>
    </w:p>
    <w:p w14:paraId="4DDA24B1" w14:textId="77777777" w:rsidR="00657184" w:rsidRPr="00EF5381" w:rsidRDefault="00657184" w:rsidP="00EF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F5381">
        <w:rPr>
          <w:rFonts w:ascii="Times New Roman" w:eastAsia="Times New Roman" w:hAnsi="Times New Roman" w:cs="Times New Roman"/>
          <w:lang w:eastAsia="fr-FR"/>
        </w:rPr>
        <w:t>V případě náhodného pozření, nebo pokud se u vás projeví příznaky jako například kožní vyrážka, vyhledejte lékařskou pomoc a ukažte lékaři toto upozornění.</w:t>
      </w:r>
    </w:p>
    <w:p w14:paraId="5F354360" w14:textId="1B8FD794" w:rsidR="00A82688" w:rsidRPr="00EF5381" w:rsidRDefault="0065718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EF5381">
        <w:rPr>
          <w:rFonts w:ascii="Times New Roman" w:eastAsia="Times New Roman" w:hAnsi="Times New Roman" w:cs="Times New Roman"/>
          <w:lang w:eastAsia="fr-FR"/>
        </w:rPr>
        <w:t>Po použití si umyjte ruce.</w:t>
      </w:r>
    </w:p>
    <w:p w14:paraId="19669524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BFD1F2" w14:textId="5F90B1D3" w:rsidR="00D05286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Březost a laktace</w:t>
      </w:r>
      <w:r w:rsidRPr="00EF5381">
        <w:rPr>
          <w:rFonts w:ascii="Times New Roman" w:eastAsia="Times New Roman" w:hAnsi="Times New Roman" w:cs="Times New Roman"/>
          <w:b/>
          <w:color w:val="000000"/>
          <w:lang w:eastAsia="sv-SE"/>
        </w:rPr>
        <w:t>:</w:t>
      </w:r>
    </w:p>
    <w:p w14:paraId="4D57D7E9" w14:textId="77777777" w:rsidR="005C5B19" w:rsidRPr="00EF5381" w:rsidRDefault="00D05286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Chlortetracyklin přestupuje placentární bariérou a ukládá se v místech aktivní osifikace a přechází do mléka. Použít pouze po zvážení poměru terapeutického prospěchu a rizika příslušným veterinárním lékařem.</w:t>
      </w:r>
    </w:p>
    <w:p w14:paraId="3E02F6DD" w14:textId="77777777" w:rsidR="00D05286" w:rsidRPr="00EF5381" w:rsidRDefault="00D05286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2C5415F" w14:textId="00E3277B" w:rsidR="00D05286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Snáška:</w:t>
      </w:r>
    </w:p>
    <w:p w14:paraId="530A3849" w14:textId="77777777" w:rsidR="005C5B19" w:rsidRPr="00EF5381" w:rsidRDefault="00D05286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Použít pouze po zvážení poměru terapeutického prospěchu a rizika příslušným veterinárním lékařem.</w:t>
      </w:r>
    </w:p>
    <w:p w14:paraId="4A1E220F" w14:textId="77777777" w:rsidR="00D05286" w:rsidRPr="00EF5381" w:rsidRDefault="00D05286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83E8696" w14:textId="4565525E" w:rsidR="00D05286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Interakce s dalšími léčivými přípravky a další formy interakce:</w:t>
      </w:r>
    </w:p>
    <w:p w14:paraId="3326F4A3" w14:textId="77777777" w:rsidR="00D05286" w:rsidRPr="00EF5381" w:rsidRDefault="00D05286" w:rsidP="00D0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Absorbce</w:t>
      </w:r>
      <w:proofErr w:type="spellEnd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 a účinnost je (podobně jako u ostatních tetracyklinů) snižována </w:t>
      </w:r>
      <w:proofErr w:type="spellStart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chelací</w:t>
      </w:r>
      <w:proofErr w:type="spellEnd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 s kationty např. vápníku, hořčíku a železa. Vzniklé komplexy se ze střeva nevstřebávají a jsou proto neúčinné.</w:t>
      </w:r>
    </w:p>
    <w:p w14:paraId="1F2C8C4A" w14:textId="77777777" w:rsidR="00FA5E0E" w:rsidRPr="00B92533" w:rsidRDefault="00D05286" w:rsidP="00D0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Tetracykliny mohou působit antagonisticky s baktericidními antibiotiky (např. beta-</w:t>
      </w:r>
      <w:proofErr w:type="spellStart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laktamovými</w:t>
      </w:r>
      <w:proofErr w:type="spellEnd"/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 antibiotiky či aminoglykosidy).</w:t>
      </w:r>
    </w:p>
    <w:p w14:paraId="74ACEE7C" w14:textId="77777777" w:rsidR="00DD3AA6" w:rsidRPr="00EF5381" w:rsidRDefault="00DD3AA6" w:rsidP="00D0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C4A891A" w14:textId="68F4EE74" w:rsidR="000F6B6F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 xml:space="preserve">Předávkování (symptomy, první pomoc, </w:t>
      </w:r>
      <w:proofErr w:type="spellStart"/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antidota</w:t>
      </w:r>
      <w:proofErr w:type="spellEnd"/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)</w:t>
      </w:r>
      <w:r w:rsidRPr="00EF5381">
        <w:rPr>
          <w:rFonts w:ascii="Times New Roman" w:eastAsia="Times New Roman" w:hAnsi="Times New Roman" w:cs="Times New Roman"/>
          <w:b/>
          <w:color w:val="000000"/>
          <w:lang w:eastAsia="sv-SE"/>
        </w:rPr>
        <w:t>:</w:t>
      </w:r>
    </w:p>
    <w:p w14:paraId="450BA9FC" w14:textId="176CD0C7" w:rsidR="005C5B19" w:rsidRPr="00EF5381" w:rsidRDefault="001E5DE8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 xml:space="preserve">Dodržujte doporučené dávkování.  Případné předávkování je zvířaty dobře snášeno. </w:t>
      </w:r>
    </w:p>
    <w:p w14:paraId="6B84EF6D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5E2225B" w14:textId="35E39B03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color w:val="000000"/>
          <w:u w:val="single"/>
          <w:lang w:eastAsia="sv-SE"/>
        </w:rPr>
        <w:t>Inkompatibility</w:t>
      </w:r>
      <w:r w:rsidRPr="00EF5381">
        <w:rPr>
          <w:rFonts w:ascii="Times New Roman" w:eastAsia="Times New Roman" w:hAnsi="Times New Roman" w:cs="Times New Roman"/>
          <w:b/>
          <w:color w:val="000000"/>
          <w:lang w:eastAsia="sv-SE"/>
        </w:rPr>
        <w:t>:</w:t>
      </w:r>
    </w:p>
    <w:p w14:paraId="2F4CDD58" w14:textId="48B08380" w:rsidR="005C5B19" w:rsidRPr="00EF5381" w:rsidRDefault="00945B3C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Nejsou známy</w:t>
      </w:r>
    </w:p>
    <w:p w14:paraId="32D43C1B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312A80F" w14:textId="77777777" w:rsidR="005C5B19" w:rsidRPr="00B92533" w:rsidRDefault="005C5B19" w:rsidP="00EF5381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4A601471" w14:textId="77777777" w:rsidR="00FA5E0E" w:rsidRPr="00B92533" w:rsidRDefault="00FA5E0E" w:rsidP="00EF5381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v-SE"/>
        </w:rPr>
      </w:pPr>
    </w:p>
    <w:p w14:paraId="08629E50" w14:textId="77777777" w:rsidR="00FA5E0E" w:rsidRPr="00B92533" w:rsidRDefault="00FA5E0E" w:rsidP="00FA5E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B92533">
        <w:rPr>
          <w:rFonts w:ascii="Times New Roman" w:eastAsia="Times New Roman" w:hAnsi="Times New Roman" w:cs="Times New Roman"/>
          <w:bCs/>
          <w:lang w:eastAsia="sv-SE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14:paraId="75FCB5D2" w14:textId="77777777" w:rsidR="00FA5E0E" w:rsidRPr="00EF5381" w:rsidRDefault="00FA5E0E" w:rsidP="005C5B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DC60F88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24EA434" w14:textId="77777777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5DFE49E3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1DB2DD6" w14:textId="132D5373" w:rsidR="005C5B19" w:rsidRPr="00EF5381" w:rsidRDefault="00434C9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Duben</w:t>
      </w:r>
      <w:r w:rsidR="00FF69B1" w:rsidRPr="00EF5381">
        <w:rPr>
          <w:rFonts w:ascii="Times New Roman" w:eastAsia="Times New Roman" w:hAnsi="Times New Roman" w:cs="Times New Roman"/>
          <w:lang w:eastAsia="cs-CZ"/>
        </w:rPr>
        <w:t xml:space="preserve"> 2021</w:t>
      </w:r>
    </w:p>
    <w:p w14:paraId="107A43AF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D835B5A" w14:textId="5FFEAF2C" w:rsidR="005C5B19" w:rsidRPr="00EF5381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7354702C" w14:textId="77777777" w:rsidR="005C5B19" w:rsidRPr="00EF5381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7B21A0D" w14:textId="77777777" w:rsidR="00945B3C" w:rsidRPr="00EF5381" w:rsidRDefault="00945B3C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5381">
        <w:rPr>
          <w:rFonts w:ascii="Times New Roman" w:eastAsia="Times New Roman" w:hAnsi="Times New Roman" w:cs="Times New Roman"/>
          <w:lang w:eastAsia="cs-CZ"/>
        </w:rPr>
        <w:t>Velikosti balení:</w:t>
      </w:r>
    </w:p>
    <w:p w14:paraId="2DED8A0B" w14:textId="77777777" w:rsidR="00945B3C" w:rsidRPr="00B92533" w:rsidRDefault="00945B3C" w:rsidP="00945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150 g, 500 g – PE-HD dóza s víkem a pojistkou</w:t>
      </w:r>
    </w:p>
    <w:p w14:paraId="0CD59733" w14:textId="77777777" w:rsidR="00945B3C" w:rsidRPr="00B92533" w:rsidRDefault="00945B3C" w:rsidP="00945B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3 kg, 5 kg – PP kbelík s víkem a pojistkou</w:t>
      </w:r>
    </w:p>
    <w:p w14:paraId="7665BC11" w14:textId="262E8024" w:rsidR="005C5B19" w:rsidRPr="00EF5381" w:rsidRDefault="00945B3C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lang w:eastAsia="cs-CZ"/>
        </w:rPr>
      </w:pPr>
      <w:r w:rsidRPr="00B92533">
        <w:rPr>
          <w:rFonts w:ascii="Times New Roman" w:eastAsia="Times New Roman" w:hAnsi="Times New Roman" w:cs="Times New Roman"/>
          <w:lang w:eastAsia="cs-CZ"/>
        </w:rPr>
        <w:t>15 kg, 20 kg – vícevrstvé papírové vaky (papír/ PE/ papír)</w:t>
      </w:r>
    </w:p>
    <w:p w14:paraId="37ECC8F2" w14:textId="74B3B2CA" w:rsidR="005C5B19" w:rsidRPr="00EF5381" w:rsidRDefault="005C5B19" w:rsidP="0094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14:paraId="21AA1D9E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CC8374" w14:textId="00327850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EF5381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2B456193" w14:textId="77777777" w:rsidR="007068BE" w:rsidRPr="00EF5381" w:rsidRDefault="007068BE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9987400" w14:textId="77777777" w:rsidR="005C5B19" w:rsidRPr="00EF5381" w:rsidRDefault="005C5B19" w:rsidP="005C5B1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1" w:name="_Toc488408228"/>
      <w:bookmarkStart w:id="2" w:name="_Toc490657313"/>
      <w:r w:rsidRPr="00EF5381">
        <w:rPr>
          <w:rFonts w:ascii="Times New Roman" w:eastAsia="Times New Roman" w:hAnsi="Times New Roman" w:cs="Times New Roman"/>
          <w:b/>
          <w:lang w:eastAsia="cs-CZ"/>
        </w:rPr>
        <w:lastRenderedPageBreak/>
        <w:t>Česká republika</w:t>
      </w:r>
      <w:bookmarkEnd w:id="1"/>
      <w:bookmarkEnd w:id="2"/>
    </w:p>
    <w:p w14:paraId="54A08D0A" w14:textId="77777777" w:rsidR="007068BE" w:rsidRPr="007068BE" w:rsidRDefault="007068BE" w:rsidP="007068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068BE">
        <w:rPr>
          <w:rFonts w:ascii="Times New Roman" w:eastAsia="Times New Roman" w:hAnsi="Times New Roman" w:cs="Times New Roman"/>
          <w:lang w:eastAsia="cs-CZ"/>
        </w:rPr>
        <w:t>UNIVIT s.r.o.</w:t>
      </w:r>
    </w:p>
    <w:p w14:paraId="2E4FAD86" w14:textId="28BADCAF" w:rsidR="007068BE" w:rsidRPr="007068BE" w:rsidRDefault="007B58A8" w:rsidP="007068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</w:t>
      </w:r>
      <w:r w:rsidR="00EC4F3B">
        <w:rPr>
          <w:rFonts w:ascii="Times New Roman" w:eastAsia="Times New Roman" w:hAnsi="Times New Roman" w:cs="Times New Roman"/>
          <w:lang w:eastAsia="cs-CZ"/>
        </w:rPr>
        <w:t>v</w:t>
      </w:r>
      <w:r w:rsidR="007068BE" w:rsidRPr="007068BE">
        <w:rPr>
          <w:rFonts w:ascii="Times New Roman" w:eastAsia="Times New Roman" w:hAnsi="Times New Roman" w:cs="Times New Roman"/>
          <w:lang w:eastAsia="cs-CZ"/>
        </w:rPr>
        <w:t>lčinci 16/3</w:t>
      </w:r>
    </w:p>
    <w:p w14:paraId="41C0AEF1" w14:textId="77777777" w:rsidR="007068BE" w:rsidRPr="007068BE" w:rsidRDefault="007068BE" w:rsidP="007068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068BE">
        <w:rPr>
          <w:rFonts w:ascii="Times New Roman" w:eastAsia="Times New Roman" w:hAnsi="Times New Roman" w:cs="Times New Roman"/>
          <w:lang w:eastAsia="cs-CZ"/>
        </w:rPr>
        <w:t>CZ 779 00 Olomouc</w:t>
      </w:r>
    </w:p>
    <w:p w14:paraId="18043569" w14:textId="23B0F9B9" w:rsidR="007068BE" w:rsidRPr="007068BE" w:rsidRDefault="007068BE" w:rsidP="007068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068BE">
        <w:rPr>
          <w:rFonts w:ascii="Times New Roman" w:eastAsia="Times New Roman" w:hAnsi="Times New Roman" w:cs="Times New Roman"/>
          <w:lang w:eastAsia="cs-CZ"/>
        </w:rPr>
        <w:t xml:space="preserve">Tel: +420 585 547 </w:t>
      </w:r>
      <w:r w:rsidR="00EC4F3B">
        <w:rPr>
          <w:rFonts w:ascii="Times New Roman" w:eastAsia="Times New Roman" w:hAnsi="Times New Roman" w:cs="Times New Roman"/>
          <w:lang w:eastAsia="cs-CZ"/>
        </w:rPr>
        <w:t>587</w:t>
      </w:r>
    </w:p>
    <w:p w14:paraId="7481B929" w14:textId="77777777" w:rsidR="007068BE" w:rsidRPr="007068BE" w:rsidRDefault="007068BE" w:rsidP="007068B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068BE">
        <w:rPr>
          <w:rFonts w:ascii="Times New Roman" w:eastAsia="Times New Roman" w:hAnsi="Times New Roman" w:cs="Times New Roman"/>
          <w:lang w:eastAsia="cs-CZ"/>
        </w:rPr>
        <w:t>univit@univit.cz</w:t>
      </w:r>
    </w:p>
    <w:p w14:paraId="07343C74" w14:textId="77777777" w:rsidR="005C5B19" w:rsidRPr="00EF5381" w:rsidRDefault="005C5B19" w:rsidP="005C5B1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9FFE582" w14:textId="77777777" w:rsidR="005C5B19" w:rsidRPr="00B9253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914B558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EF5381">
        <w:rPr>
          <w:rFonts w:ascii="Times New Roman" w:eastAsia="Times New Roman" w:hAnsi="Times New Roman" w:cs="Times New Roman"/>
          <w:b/>
          <w:lang w:eastAsia="sv-SE"/>
        </w:rPr>
        <w:t>18.</w:t>
      </w:r>
      <w:r w:rsidRPr="00EF5381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5A7DDA64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9301DF9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14:paraId="35FAA5A9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9AF2772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F891742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lang w:eastAsia="sv-SE"/>
        </w:rPr>
        <w:t>19.</w:t>
      </w:r>
      <w:r w:rsidRPr="00EF5381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094E0676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15A9B49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5C03FEC2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0513E02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7C48AEC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7A126269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E565ED1" w14:textId="39691BE5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EXP: {měsíc/rok}</w:t>
      </w:r>
    </w:p>
    <w:p w14:paraId="7DF8B71B" w14:textId="77777777" w:rsidR="00945B3C" w:rsidRPr="00EF5381" w:rsidRDefault="00945B3C" w:rsidP="00945B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Doba použitelnosti po prvním otevření vnitřního obalu: 30 dní.</w:t>
      </w:r>
    </w:p>
    <w:p w14:paraId="42803764" w14:textId="499583CA" w:rsidR="005C5B19" w:rsidRPr="00EF5381" w:rsidRDefault="00945B3C" w:rsidP="00945B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Určeno k individuálnímu použití, k okamžité spotřebě.</w:t>
      </w:r>
    </w:p>
    <w:p w14:paraId="4BD9CB66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D5CDA3F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ab/>
        <w:t xml:space="preserve">Registrační </w:t>
      </w:r>
      <w:proofErr w:type="gramStart"/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číslo(a)</w:t>
      </w:r>
      <w:proofErr w:type="gramEnd"/>
    </w:p>
    <w:p w14:paraId="6E2DAD0D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954C9D3" w14:textId="31DF3DBE" w:rsidR="005C5B19" w:rsidRPr="00EF5381" w:rsidRDefault="007B58A8" w:rsidP="00EF5381">
      <w:pPr>
        <w:spacing w:after="0" w:line="240" w:lineRule="auto"/>
        <w:ind w:right="-318"/>
        <w:rPr>
          <w:rFonts w:ascii="Times New Roman" w:eastAsia="Times New Roman" w:hAnsi="Times New Roman" w:cs="Times New Roman"/>
          <w:lang w:eastAsia="cs-CZ"/>
        </w:rPr>
      </w:pPr>
      <w:r w:rsidRPr="007B58A8">
        <w:rPr>
          <w:rFonts w:ascii="Times New Roman" w:eastAsia="Times New Roman" w:hAnsi="Times New Roman" w:cs="Times New Roman"/>
          <w:lang w:eastAsia="cs-CZ"/>
        </w:rPr>
        <w:t>96/145/98-C</w:t>
      </w:r>
    </w:p>
    <w:p w14:paraId="74CF9876" w14:textId="77777777" w:rsidR="005C5B19" w:rsidRPr="00EF5381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B18EDE3" w14:textId="77777777" w:rsidR="005C5B19" w:rsidRPr="00EF5381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666B0397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275A7CD" w14:textId="786EFD14" w:rsidR="005C5B19" w:rsidRPr="00EF5381" w:rsidRDefault="005C5B19" w:rsidP="00945B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F5381">
        <w:rPr>
          <w:rFonts w:ascii="Times New Roman" w:eastAsia="Times New Roman" w:hAnsi="Times New Roman" w:cs="Times New Roman"/>
          <w:lang w:eastAsia="sv-SE"/>
        </w:rPr>
        <w:t>Šarže: {číslo}</w:t>
      </w:r>
    </w:p>
    <w:p w14:paraId="66B3252F" w14:textId="77777777" w:rsidR="005C5B19" w:rsidRPr="00EF5381" w:rsidRDefault="005C5B19" w:rsidP="005C5B1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A66162" w14:textId="77777777" w:rsidR="005C5B19" w:rsidRPr="00EF5381" w:rsidRDefault="005C5B19" w:rsidP="005C5B19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</w:rPr>
      </w:pPr>
    </w:p>
    <w:p w14:paraId="66F28FE4" w14:textId="77777777" w:rsidR="00D33658" w:rsidRPr="00EF5381" w:rsidRDefault="00D33658">
      <w:pPr>
        <w:rPr>
          <w:rFonts w:ascii="Times New Roman" w:hAnsi="Times New Roman" w:cs="Times New Roman"/>
        </w:rPr>
      </w:pPr>
    </w:p>
    <w:sectPr w:rsidR="00D33658" w:rsidRPr="00EF5381" w:rsidSect="004F4C53">
      <w:headerReference w:type="default" r:id="rId10"/>
      <w:foot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EC287B" w15:done="0"/>
  <w15:commentEx w15:paraId="6DD9DA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6371" w14:textId="77777777" w:rsidR="00FE4C5E" w:rsidRDefault="00FE4C5E" w:rsidP="005C5B19">
      <w:pPr>
        <w:spacing w:after="0" w:line="240" w:lineRule="auto"/>
      </w:pPr>
      <w:r>
        <w:separator/>
      </w:r>
    </w:p>
  </w:endnote>
  <w:endnote w:type="continuationSeparator" w:id="0">
    <w:p w14:paraId="7AEC9961" w14:textId="77777777" w:rsidR="00FE4C5E" w:rsidRDefault="00FE4C5E" w:rsidP="005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1C59" w14:textId="77777777" w:rsidR="00EB2851" w:rsidRDefault="005C5B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4B1D0" wp14:editId="07E62E37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7A98E" w14:textId="77777777" w:rsidR="00EB2851" w:rsidRPr="00AA27C1" w:rsidRDefault="00FE4C5E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2487A98E" w14:textId="77777777" w:rsidR="00EB2851" w:rsidRPr="00AA27C1" w:rsidRDefault="00AD165E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D78E" w14:textId="77777777" w:rsidR="00FE4C5E" w:rsidRDefault="00FE4C5E" w:rsidP="005C5B19">
      <w:pPr>
        <w:spacing w:after="0" w:line="240" w:lineRule="auto"/>
      </w:pPr>
      <w:r>
        <w:separator/>
      </w:r>
    </w:p>
  </w:footnote>
  <w:footnote w:type="continuationSeparator" w:id="0">
    <w:p w14:paraId="47D6B121" w14:textId="77777777" w:rsidR="00FE4C5E" w:rsidRDefault="00FE4C5E" w:rsidP="005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8B70" w14:textId="7E16EA83" w:rsidR="00EB2851" w:rsidRPr="00FA388A" w:rsidRDefault="00246371" w:rsidP="00FA388A">
    <w:r>
      <w:t xml:space="preserve"> </w:t>
    </w:r>
  </w:p>
  <w:p w14:paraId="250219A9" w14:textId="77777777" w:rsidR="00EB2851" w:rsidRDefault="00FE4C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9"/>
    <w:rsid w:val="00086BB4"/>
    <w:rsid w:val="000F6B6F"/>
    <w:rsid w:val="00146AF3"/>
    <w:rsid w:val="00147201"/>
    <w:rsid w:val="00187D41"/>
    <w:rsid w:val="001B46B4"/>
    <w:rsid w:val="001E5DE8"/>
    <w:rsid w:val="00246371"/>
    <w:rsid w:val="00316E7D"/>
    <w:rsid w:val="003223E0"/>
    <w:rsid w:val="00380BFC"/>
    <w:rsid w:val="003A2F7C"/>
    <w:rsid w:val="003D39E5"/>
    <w:rsid w:val="003D71C1"/>
    <w:rsid w:val="00434C99"/>
    <w:rsid w:val="0044053A"/>
    <w:rsid w:val="005012B5"/>
    <w:rsid w:val="005C5B19"/>
    <w:rsid w:val="00617F54"/>
    <w:rsid w:val="00657184"/>
    <w:rsid w:val="00701DD3"/>
    <w:rsid w:val="007068BE"/>
    <w:rsid w:val="007416EC"/>
    <w:rsid w:val="007B58A8"/>
    <w:rsid w:val="007F00CD"/>
    <w:rsid w:val="008D1AA0"/>
    <w:rsid w:val="00945B3C"/>
    <w:rsid w:val="0099764F"/>
    <w:rsid w:val="00A12608"/>
    <w:rsid w:val="00A82688"/>
    <w:rsid w:val="00AD165E"/>
    <w:rsid w:val="00AD47A5"/>
    <w:rsid w:val="00B47E48"/>
    <w:rsid w:val="00B904C3"/>
    <w:rsid w:val="00B92533"/>
    <w:rsid w:val="00B9593E"/>
    <w:rsid w:val="00C54D66"/>
    <w:rsid w:val="00C67A18"/>
    <w:rsid w:val="00D05286"/>
    <w:rsid w:val="00D33658"/>
    <w:rsid w:val="00DD3AA6"/>
    <w:rsid w:val="00E94D38"/>
    <w:rsid w:val="00EC4F3B"/>
    <w:rsid w:val="00EF5381"/>
    <w:rsid w:val="00FA5E0E"/>
    <w:rsid w:val="00FE4C5E"/>
    <w:rsid w:val="00FF2391"/>
    <w:rsid w:val="00FF429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BA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B19"/>
  </w:style>
  <w:style w:type="paragraph" w:styleId="Zpat">
    <w:name w:val="footer"/>
    <w:basedOn w:val="Normln"/>
    <w:link w:val="Zpat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B19"/>
  </w:style>
  <w:style w:type="paragraph" w:styleId="Textbubliny">
    <w:name w:val="Balloon Text"/>
    <w:basedOn w:val="Normln"/>
    <w:link w:val="TextbublinyChar"/>
    <w:uiPriority w:val="99"/>
    <w:semiHidden/>
    <w:unhideWhenUsed/>
    <w:rsid w:val="005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19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FF23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F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F23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7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B19"/>
  </w:style>
  <w:style w:type="paragraph" w:styleId="Zpat">
    <w:name w:val="footer"/>
    <w:basedOn w:val="Normln"/>
    <w:link w:val="Zpat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B19"/>
  </w:style>
  <w:style w:type="paragraph" w:styleId="Textbubliny">
    <w:name w:val="Balloon Text"/>
    <w:basedOn w:val="Normln"/>
    <w:link w:val="TextbublinyChar"/>
    <w:uiPriority w:val="99"/>
    <w:semiHidden/>
    <w:unhideWhenUsed/>
    <w:rsid w:val="005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19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FF23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F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F23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6</cp:revision>
  <cp:lastPrinted>2021-04-20T06:38:00Z</cp:lastPrinted>
  <dcterms:created xsi:type="dcterms:W3CDTF">2021-03-25T08:16:00Z</dcterms:created>
  <dcterms:modified xsi:type="dcterms:W3CDTF">2021-04-20T06:38:00Z</dcterms:modified>
</cp:coreProperties>
</file>