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44F96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bookmarkStart w:id="0" w:name="_GoBack"/>
      <w:bookmarkEnd w:id="0"/>
      <w:r w:rsidRPr="003E4BC1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3E4BC1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3E4BC1">
        <w:rPr>
          <w:rFonts w:ascii="Times New Roman" w:eastAsia="Times New Roman" w:hAnsi="Times New Roman" w:cs="Times New Roman"/>
          <w:b/>
          <w:lang w:eastAsia="sv-SE"/>
        </w:rPr>
        <w:t>)</w:t>
      </w:r>
      <w:r w:rsidRPr="003E4BC1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5BEE1EC8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591FD112" w14:textId="4230EC08" w:rsidR="00746332" w:rsidRPr="003E4BC1" w:rsidRDefault="00203D88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3E4BC1">
        <w:rPr>
          <w:rFonts w:ascii="Times New Roman" w:eastAsia="Times New Roman" w:hAnsi="Times New Roman" w:cs="Times New Roman"/>
          <w:b/>
          <w:lang w:eastAsia="sv-SE"/>
        </w:rPr>
        <w:t>100g sáček, 1kg PE nádoba</w:t>
      </w:r>
    </w:p>
    <w:p w14:paraId="34A48764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26EAD7B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A62D097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5BE8F869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38EBFE5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Držitel rozhodnutí o registraci:</w:t>
      </w:r>
    </w:p>
    <w:p w14:paraId="66646F4F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 xml:space="preserve">CEVA ANIMAL HEALTH SLOVAKIA, s.r.o., Prievozská 5434/6A, </w:t>
      </w:r>
    </w:p>
    <w:p w14:paraId="360F0F9A" w14:textId="77777777" w:rsidR="00746332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821 09 Bratislava - mestská časť Ružinov, Slovenská republika</w:t>
      </w:r>
    </w:p>
    <w:p w14:paraId="7AD661FB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D79CEA0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Výrobce odpovědný za uvolnění šarže:</w:t>
      </w:r>
    </w:p>
    <w:p w14:paraId="14F88E18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 xml:space="preserve">Ceva Santé Animale, ZI </w:t>
      </w:r>
      <w:r w:rsidR="004E55C0" w:rsidRPr="003E4BC1">
        <w:rPr>
          <w:rFonts w:ascii="Times New Roman" w:eastAsia="Times New Roman" w:hAnsi="Times New Roman" w:cs="Times New Roman"/>
          <w:lang w:eastAsia="sv-SE"/>
        </w:rPr>
        <w:t>T</w:t>
      </w:r>
      <w:r w:rsidRPr="003E4BC1">
        <w:rPr>
          <w:rFonts w:ascii="Times New Roman" w:eastAsia="Times New Roman" w:hAnsi="Times New Roman" w:cs="Times New Roman"/>
          <w:lang w:eastAsia="sv-SE"/>
        </w:rPr>
        <w:t xml:space="preserve">res le </w:t>
      </w:r>
      <w:r w:rsidR="004E55C0" w:rsidRPr="003E4BC1">
        <w:rPr>
          <w:rFonts w:ascii="Times New Roman" w:eastAsia="Times New Roman" w:hAnsi="Times New Roman" w:cs="Times New Roman"/>
          <w:lang w:eastAsia="sv-SE"/>
        </w:rPr>
        <w:t>B</w:t>
      </w:r>
      <w:r w:rsidRPr="003E4BC1">
        <w:rPr>
          <w:rFonts w:ascii="Times New Roman" w:eastAsia="Times New Roman" w:hAnsi="Times New Roman" w:cs="Times New Roman"/>
          <w:lang w:eastAsia="sv-SE"/>
        </w:rPr>
        <w:t>ois - Loudeac, Francie</w:t>
      </w:r>
    </w:p>
    <w:p w14:paraId="1E6FEA84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6847B7B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3E4BC1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3E4BC1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6381F9F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C607D16" w14:textId="77777777" w:rsidR="00203D88" w:rsidRPr="003E4BC1" w:rsidRDefault="00203D88" w:rsidP="003E4BC1">
      <w:pPr>
        <w:pStyle w:val="Nadpis2"/>
        <w:spacing w:before="0"/>
        <w:rPr>
          <w:rFonts w:ascii="Times New Roman" w:hAnsi="Times New Roman"/>
          <w:i w:val="0"/>
          <w:sz w:val="22"/>
          <w:szCs w:val="22"/>
        </w:rPr>
      </w:pPr>
      <w:r w:rsidRPr="003E4BC1">
        <w:rPr>
          <w:rFonts w:ascii="Times New Roman" w:hAnsi="Times New Roman"/>
          <w:i w:val="0"/>
          <w:sz w:val="22"/>
          <w:szCs w:val="22"/>
        </w:rPr>
        <w:t xml:space="preserve">VETRIMOXIN </w:t>
      </w:r>
      <w:r w:rsidRPr="003E4BC1">
        <w:rPr>
          <w:rFonts w:ascii="Times New Roman" w:hAnsi="Times New Roman"/>
          <w:b w:val="0"/>
          <w:i w:val="0"/>
          <w:sz w:val="22"/>
          <w:szCs w:val="22"/>
        </w:rPr>
        <w:t>500 mg/g prášek pro perorální roztok</w:t>
      </w:r>
    </w:p>
    <w:p w14:paraId="6CAB7979" w14:textId="77777777" w:rsidR="00746332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Amoxicillinum</w:t>
      </w:r>
    </w:p>
    <w:p w14:paraId="096017E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6821059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06BA03D9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9324352" w14:textId="77777777" w:rsidR="00203D88" w:rsidRPr="003E4BC1" w:rsidRDefault="00203D88" w:rsidP="003E4BC1">
      <w:pPr>
        <w:spacing w:after="0"/>
        <w:rPr>
          <w:rFonts w:ascii="Times New Roman" w:hAnsi="Times New Roman" w:cs="Times New Roman"/>
        </w:rPr>
      </w:pPr>
      <w:r w:rsidRPr="003E4BC1">
        <w:rPr>
          <w:rFonts w:ascii="Times New Roman" w:hAnsi="Times New Roman" w:cs="Times New Roman"/>
        </w:rPr>
        <w:t>1 g obsahuje:</w:t>
      </w:r>
    </w:p>
    <w:p w14:paraId="084D7011" w14:textId="77777777" w:rsidR="00203D88" w:rsidRPr="003E4BC1" w:rsidRDefault="00203D88" w:rsidP="003E4BC1">
      <w:pPr>
        <w:spacing w:after="0"/>
        <w:rPr>
          <w:rFonts w:ascii="Times New Roman" w:hAnsi="Times New Roman" w:cs="Times New Roman"/>
        </w:rPr>
      </w:pPr>
    </w:p>
    <w:p w14:paraId="1DD0F666" w14:textId="77777777" w:rsidR="00203D88" w:rsidRPr="003E4BC1" w:rsidRDefault="00203D88" w:rsidP="003E4BC1">
      <w:pPr>
        <w:spacing w:after="0"/>
        <w:rPr>
          <w:rFonts w:ascii="Times New Roman" w:hAnsi="Times New Roman" w:cs="Times New Roman"/>
          <w:b/>
        </w:rPr>
      </w:pPr>
      <w:r w:rsidRPr="003E4BC1">
        <w:rPr>
          <w:rFonts w:ascii="Times New Roman" w:hAnsi="Times New Roman" w:cs="Times New Roman"/>
          <w:b/>
        </w:rPr>
        <w:t xml:space="preserve">Léčivá látka: </w:t>
      </w:r>
    </w:p>
    <w:p w14:paraId="74895FB3" w14:textId="77777777" w:rsidR="00203D88" w:rsidRPr="003E4BC1" w:rsidRDefault="00203D88" w:rsidP="003E4BC1">
      <w:pPr>
        <w:spacing w:after="0"/>
        <w:rPr>
          <w:rFonts w:ascii="Times New Roman" w:hAnsi="Times New Roman" w:cs="Times New Roman"/>
        </w:rPr>
      </w:pPr>
      <w:r w:rsidRPr="003E4BC1">
        <w:rPr>
          <w:rFonts w:ascii="Times New Roman" w:hAnsi="Times New Roman" w:cs="Times New Roman"/>
        </w:rPr>
        <w:t>Amoxicillinum (jako amoxycillinum trihydricum) 500 mg</w:t>
      </w:r>
    </w:p>
    <w:p w14:paraId="55293C27" w14:textId="77777777" w:rsidR="00203D88" w:rsidRPr="003E4BC1" w:rsidRDefault="00203D88" w:rsidP="003E4BC1">
      <w:pPr>
        <w:spacing w:after="0"/>
        <w:rPr>
          <w:rFonts w:ascii="Times New Roman" w:hAnsi="Times New Roman" w:cs="Times New Roman"/>
        </w:rPr>
      </w:pPr>
    </w:p>
    <w:p w14:paraId="29F59430" w14:textId="77777777" w:rsidR="00203D88" w:rsidRPr="003E4BC1" w:rsidRDefault="00203D88" w:rsidP="003E4BC1">
      <w:pPr>
        <w:spacing w:after="0"/>
        <w:rPr>
          <w:rFonts w:ascii="Times New Roman" w:hAnsi="Times New Roman" w:cs="Times New Roman"/>
        </w:rPr>
      </w:pPr>
      <w:r w:rsidRPr="003E4BC1">
        <w:rPr>
          <w:rFonts w:ascii="Times New Roman" w:hAnsi="Times New Roman" w:cs="Times New Roman"/>
        </w:rPr>
        <w:t>Bílý až světlešedý prášek</w:t>
      </w:r>
    </w:p>
    <w:p w14:paraId="4D42BE1E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64CFDA9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42AC018E" w14:textId="77777777" w:rsidR="00203D88" w:rsidRPr="003E4BC1" w:rsidRDefault="00203D88" w:rsidP="003E4BC1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E4BC1">
        <w:rPr>
          <w:rFonts w:ascii="Times New Roman" w:hAnsi="Times New Roman"/>
          <w:b w:val="0"/>
          <w:i w:val="0"/>
          <w:sz w:val="22"/>
          <w:szCs w:val="22"/>
          <w:highlight w:val="lightGray"/>
        </w:rPr>
        <w:t>Prášek pro perorální roztok</w:t>
      </w:r>
    </w:p>
    <w:p w14:paraId="5BC47129" w14:textId="77777777" w:rsidR="00203D88" w:rsidRPr="003E4BC1" w:rsidRDefault="00203D88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2A1612CF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2BDC67D7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887860" w14:textId="77777777" w:rsidR="004E55C0" w:rsidRPr="003E4BC1" w:rsidRDefault="004E55C0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100 g</w:t>
      </w:r>
    </w:p>
    <w:p w14:paraId="2B7EC97A" w14:textId="77777777" w:rsidR="004E55C0" w:rsidRPr="003E4BC1" w:rsidRDefault="004E55C0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highlight w:val="lightGray"/>
          <w:lang w:eastAsia="cs-CZ"/>
        </w:rPr>
        <w:t>1 kg</w:t>
      </w:r>
    </w:p>
    <w:p w14:paraId="3A04158D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9BB9FF5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14:paraId="3DF45CC3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948AC06" w14:textId="7E6789B6" w:rsidR="00096B24" w:rsidRPr="003E4BC1" w:rsidRDefault="00096B24" w:rsidP="003E4B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 xml:space="preserve">Léčba infekcí vyvolaných </w:t>
      </w:r>
      <w:r w:rsidRPr="003E4BC1">
        <w:rPr>
          <w:rFonts w:ascii="Times New Roman" w:eastAsia="Times New Roman" w:hAnsi="Times New Roman" w:cs="Times New Roman"/>
          <w:i/>
        </w:rPr>
        <w:t>Escherichia coli</w:t>
      </w:r>
      <w:r w:rsidRPr="003E4BC1">
        <w:rPr>
          <w:rFonts w:ascii="Times New Roman" w:eastAsia="Times New Roman" w:hAnsi="Times New Roman" w:cs="Times New Roman"/>
        </w:rPr>
        <w:t xml:space="preserve">, </w:t>
      </w:r>
      <w:r w:rsidRPr="003E4BC1">
        <w:rPr>
          <w:rFonts w:ascii="Times New Roman" w:eastAsia="Times New Roman" w:hAnsi="Times New Roman" w:cs="Times New Roman"/>
          <w:i/>
        </w:rPr>
        <w:t>Salmonella</w:t>
      </w:r>
      <w:r w:rsidRPr="003E4BC1">
        <w:rPr>
          <w:rFonts w:ascii="Times New Roman" w:eastAsia="Times New Roman" w:hAnsi="Times New Roman" w:cs="Times New Roman"/>
        </w:rPr>
        <w:t xml:space="preserve"> spp., </w:t>
      </w:r>
      <w:r w:rsidRPr="003E4BC1">
        <w:rPr>
          <w:rFonts w:ascii="Times New Roman" w:eastAsia="Times New Roman" w:hAnsi="Times New Roman" w:cs="Times New Roman"/>
          <w:i/>
        </w:rPr>
        <w:t>Staphylococcus</w:t>
      </w:r>
      <w:r w:rsidRPr="003E4BC1">
        <w:rPr>
          <w:rFonts w:ascii="Times New Roman" w:eastAsia="Times New Roman" w:hAnsi="Times New Roman" w:cs="Times New Roman"/>
        </w:rPr>
        <w:t xml:space="preserve"> spp., </w:t>
      </w:r>
      <w:r w:rsidRPr="003E4BC1">
        <w:rPr>
          <w:rFonts w:ascii="Times New Roman" w:eastAsia="Times New Roman" w:hAnsi="Times New Roman" w:cs="Times New Roman"/>
          <w:i/>
        </w:rPr>
        <w:t>Clostridium</w:t>
      </w:r>
      <w:r w:rsidRPr="003E4BC1">
        <w:rPr>
          <w:rFonts w:ascii="Times New Roman" w:eastAsia="Times New Roman" w:hAnsi="Times New Roman" w:cs="Times New Roman"/>
        </w:rPr>
        <w:t xml:space="preserve"> spp., </w:t>
      </w:r>
      <w:r w:rsidRPr="003E4BC1">
        <w:rPr>
          <w:rFonts w:ascii="Times New Roman" w:eastAsia="Times New Roman" w:hAnsi="Times New Roman" w:cs="Times New Roman"/>
          <w:i/>
        </w:rPr>
        <w:t xml:space="preserve">Streptococcus </w:t>
      </w:r>
      <w:r w:rsidRPr="003E4BC1">
        <w:rPr>
          <w:rFonts w:ascii="Times New Roman" w:eastAsia="Times New Roman" w:hAnsi="Times New Roman" w:cs="Times New Roman"/>
        </w:rPr>
        <w:t>spp. citlivými k amoxicilinu.</w:t>
      </w:r>
    </w:p>
    <w:p w14:paraId="651B0480" w14:textId="77777777" w:rsidR="001E0C71" w:rsidRPr="003E4BC1" w:rsidRDefault="001E0C71" w:rsidP="003E4B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14:paraId="30F4E6F3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3E4CC6F4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25EA791" w14:textId="77777777" w:rsidR="00180D43" w:rsidRPr="003E4BC1" w:rsidRDefault="00180D4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 xml:space="preserve">Nepoužívat v případě přecitlivělosti na amoxicilin nebo jiná </w:t>
      </w:r>
      <w:r w:rsidRPr="003E4BC1">
        <w:rPr>
          <w:rFonts w:ascii="Times New Roman" w:eastAsia="Times New Roman" w:hAnsi="Times New Roman" w:cs="Times New Roman"/>
          <w:lang w:eastAsia="cs-CZ"/>
        </w:rPr>
        <w:sym w:font="Symbol" w:char="0062"/>
      </w:r>
      <w:r w:rsidRPr="003E4BC1">
        <w:rPr>
          <w:rFonts w:ascii="Times New Roman" w:eastAsia="Times New Roman" w:hAnsi="Times New Roman" w:cs="Times New Roman"/>
          <w:lang w:eastAsia="cs-CZ"/>
        </w:rPr>
        <w:t>-laktamová antibiotika.</w:t>
      </w:r>
    </w:p>
    <w:p w14:paraId="044F1350" w14:textId="77777777" w:rsidR="00180D43" w:rsidRPr="003E4BC1" w:rsidRDefault="00180D4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Nepodávat nosnicím, jejichž vejce jsou určena pro lidský konzum.</w:t>
      </w:r>
    </w:p>
    <w:p w14:paraId="68A488ED" w14:textId="77777777" w:rsidR="00180D43" w:rsidRPr="003E4BC1" w:rsidRDefault="00180D4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Nepodávat perorálně králíkům, morčatům, křečkům a koním, protože amoxicilin, podobně jako ostatní aminopeniciliny, má nepříznivý vliv</w:t>
      </w:r>
      <w:r w:rsidRPr="003E4BC1" w:rsidDel="003F2F9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E4BC1">
        <w:rPr>
          <w:rFonts w:ascii="Times New Roman" w:eastAsia="Times New Roman" w:hAnsi="Times New Roman" w:cs="Times New Roman"/>
          <w:lang w:eastAsia="cs-CZ"/>
        </w:rPr>
        <w:t>na mikroflóru slepého střeva.</w:t>
      </w:r>
    </w:p>
    <w:p w14:paraId="0B25EB06" w14:textId="77777777" w:rsidR="00180D43" w:rsidRPr="003E4BC1" w:rsidRDefault="00180D4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Nepoužívat v případě přítomnosti β-laktamázu produkujících bakterií.</w:t>
      </w:r>
    </w:p>
    <w:p w14:paraId="2803ED46" w14:textId="77777777" w:rsidR="00180D43" w:rsidRPr="003E4BC1" w:rsidRDefault="00180D4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2794DD8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2AC0AB9" w14:textId="77777777" w:rsidR="00746332" w:rsidRPr="003E4BC1" w:rsidRDefault="00746332" w:rsidP="003E4B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3E4BC1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3D2417F9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917AE99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Ve velmi vzácných případech se mohou vyskytnout následující nežádoucí účinky:</w:t>
      </w:r>
    </w:p>
    <w:p w14:paraId="3C91D509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- Hypersenzitivní reakce, závažnost výskytu je od kožní vyrážky po anafylaktický šok.</w:t>
      </w:r>
    </w:p>
    <w:p w14:paraId="41A68F9D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- Gastrointestinální příznaky (zvracení, průjem).</w:t>
      </w:r>
    </w:p>
    <w:p w14:paraId="2DE04F9B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- Hematologické poruchy a kolitida.</w:t>
      </w:r>
    </w:p>
    <w:p w14:paraId="115AB16C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5533FB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V případě závažných alergických reakcí přerušte léčbu a podejte kortikosteroidy a adrenalin.</w:t>
      </w:r>
    </w:p>
    <w:p w14:paraId="62B8036A" w14:textId="77777777" w:rsidR="00E015E7" w:rsidRPr="003E4BC1" w:rsidRDefault="00E015E7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V ostatních případech se doporučuje symptomatická léčba.</w:t>
      </w:r>
    </w:p>
    <w:p w14:paraId="6ABBD5E2" w14:textId="2D7512CC" w:rsidR="00E015E7" w:rsidRPr="003E4BC1" w:rsidRDefault="00E015E7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CB89136" w14:textId="43093BC8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Četnost nežádoucích účinků je charakterizována podle následujících pravidel:</w:t>
      </w:r>
    </w:p>
    <w:p w14:paraId="3FA791B8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- velmi časté (nežádoucí účinek(nky) se projevil(y) u více než 1 z 10 ošetřených zvířat)</w:t>
      </w:r>
    </w:p>
    <w:p w14:paraId="1A8E162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- časté (u více než 1, ale méně než 10 ze 100 ošetřených zvířat)</w:t>
      </w:r>
    </w:p>
    <w:p w14:paraId="57F50653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- neobvyklé (u více než 1, ale méně než 10 z 1000 ošetřených zvířat)</w:t>
      </w:r>
    </w:p>
    <w:p w14:paraId="6E00796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- vzácné (u více než 1, ale méně než 10 z  10000 ošetřených zvířat)</w:t>
      </w:r>
    </w:p>
    <w:p w14:paraId="233EBA7D" w14:textId="7F5EDD98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- velmi vzácné (u méně než 1 z 10000 ošetřených zvířat, včetně ojedinělých hlášení).</w:t>
      </w:r>
    </w:p>
    <w:p w14:paraId="3885254D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DEE1134" w14:textId="756806FA" w:rsidR="0054187C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 xml:space="preserve">Jestliže zaznamenáte kterýkoliv z nežádoucích účinků a to i takové, které nejsou uvedeny v této příbalové informaci, nebo si myslíte, že léčivo </w:t>
      </w:r>
      <w:r w:rsidR="0054187C" w:rsidRPr="003E4BC1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  <w:r w:rsidR="0054187C" w:rsidRPr="003E4BC1">
        <w:rPr>
          <w:rFonts w:ascii="Times New Roman" w:eastAsia="Times New Roman" w:hAnsi="Times New Roman" w:cs="Times New Roman"/>
          <w:color w:val="000000"/>
          <w:lang w:eastAsia="sv-SE"/>
        </w:rPr>
        <w:t xml:space="preserve"> Nežádoucí účinky můžete hlásit prostřednictvím formuláře na webových stránkách ÚSKVBL elektronicky, nebo také přímo na adresu: </w:t>
      </w:r>
    </w:p>
    <w:p w14:paraId="3116EA4F" w14:textId="77777777" w:rsidR="0054187C" w:rsidRPr="003E4BC1" w:rsidRDefault="0054187C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 xml:space="preserve">Ústav pro státní kontrolu veterinárních biopreparátů a léčiv </w:t>
      </w:r>
    </w:p>
    <w:p w14:paraId="57279A43" w14:textId="77777777" w:rsidR="0054187C" w:rsidRPr="003E4BC1" w:rsidRDefault="0054187C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Hudcova 56a</w:t>
      </w:r>
    </w:p>
    <w:p w14:paraId="2555D3B5" w14:textId="77777777" w:rsidR="0054187C" w:rsidRPr="003E4BC1" w:rsidRDefault="0054187C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 xml:space="preserve">621 00 Brno </w:t>
      </w:r>
    </w:p>
    <w:p w14:paraId="68A798A6" w14:textId="77777777" w:rsidR="0054187C" w:rsidRPr="003E4BC1" w:rsidRDefault="0054187C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Mail: adr@uskvbl.cz</w:t>
      </w:r>
    </w:p>
    <w:p w14:paraId="66F4D748" w14:textId="0098069A" w:rsidR="00746332" w:rsidRPr="003E4BC1" w:rsidRDefault="0054187C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Webové stránky: http://www.uskvbl.cz/cs/farmakovigilance</w:t>
      </w:r>
    </w:p>
    <w:p w14:paraId="337E3A5B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0C917FC4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44DF395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61D3322" w14:textId="77777777" w:rsidR="00573683" w:rsidRPr="003E4BC1" w:rsidRDefault="00573683" w:rsidP="003E4BC1">
      <w:pPr>
        <w:keepNext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 xml:space="preserve">Prasata (ve výkrmu), kur domácí (brojleři), skot (neruminující telata). </w:t>
      </w:r>
    </w:p>
    <w:p w14:paraId="42A7FF8C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2036D22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Dávkování pro každý druh, cesta(y) a způsob podání</w:t>
      </w:r>
    </w:p>
    <w:p w14:paraId="187E91F0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09879D6" w14:textId="77777777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 xml:space="preserve">Perorální podání v pitné vodě nebo v mléku. </w:t>
      </w:r>
    </w:p>
    <w:p w14:paraId="250C49AF" w14:textId="46DBFB38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20 mg amoxicilinu/kg živé hmotnosti/den, což odpovídá 0,</w:t>
      </w:r>
      <w:r w:rsidR="00C30A70">
        <w:rPr>
          <w:rFonts w:ascii="Times New Roman" w:eastAsia="Times New Roman" w:hAnsi="Times New Roman" w:cs="Times New Roman"/>
          <w:lang w:eastAsia="cs-CZ"/>
        </w:rPr>
        <w:t>0</w:t>
      </w:r>
      <w:r w:rsidRPr="003E4BC1">
        <w:rPr>
          <w:rFonts w:ascii="Times New Roman" w:eastAsia="Times New Roman" w:hAnsi="Times New Roman" w:cs="Times New Roman"/>
          <w:lang w:eastAsia="cs-CZ"/>
        </w:rPr>
        <w:t xml:space="preserve">4 g přípravku/ </w:t>
      </w:r>
      <w:proofErr w:type="gramStart"/>
      <w:r w:rsidRPr="003E4BC1">
        <w:rPr>
          <w:rFonts w:ascii="Times New Roman" w:eastAsia="Times New Roman" w:hAnsi="Times New Roman" w:cs="Times New Roman"/>
          <w:lang w:eastAsia="cs-CZ"/>
        </w:rPr>
        <w:t>kg ž.hm</w:t>
      </w:r>
      <w:proofErr w:type="gramEnd"/>
      <w:r w:rsidRPr="003E4BC1">
        <w:rPr>
          <w:rFonts w:ascii="Times New Roman" w:eastAsia="Times New Roman" w:hAnsi="Times New Roman" w:cs="Times New Roman"/>
          <w:lang w:eastAsia="cs-CZ"/>
        </w:rPr>
        <w:t>. a den po dobu 5</w:t>
      </w:r>
      <w:r w:rsidR="003E4BC1">
        <w:rPr>
          <w:rFonts w:ascii="Times New Roman" w:eastAsia="Times New Roman" w:hAnsi="Times New Roman" w:cs="Times New Roman"/>
          <w:lang w:eastAsia="cs-CZ"/>
        </w:rPr>
        <w:t> </w:t>
      </w:r>
      <w:r w:rsidRPr="003E4BC1">
        <w:rPr>
          <w:rFonts w:ascii="Times New Roman" w:eastAsia="Times New Roman" w:hAnsi="Times New Roman" w:cs="Times New Roman"/>
          <w:lang w:eastAsia="cs-CZ"/>
        </w:rPr>
        <w:t>dní.</w:t>
      </w:r>
    </w:p>
    <w:p w14:paraId="63737A24" w14:textId="77777777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5145E47" w14:textId="1C0C05DA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Na základě doporučené dávky, počtu a hmotnosti zvířat, které mají být ošetřeny, se vypočítá přesná denní dávka léčivého přípravku, který má být zamíchán do pitné vody nebo mléka, pomocí tohoto vzorce:</w:t>
      </w:r>
    </w:p>
    <w:p w14:paraId="797173C0" w14:textId="77777777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1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40"/>
        <w:gridCol w:w="307"/>
        <w:gridCol w:w="2619"/>
        <w:gridCol w:w="463"/>
        <w:gridCol w:w="3388"/>
      </w:tblGrid>
      <w:tr w:rsidR="00573683" w:rsidRPr="003E4BC1" w14:paraId="5D1884A6" w14:textId="77777777" w:rsidTr="00E74EF8">
        <w:trPr>
          <w:trHeight w:val="462"/>
        </w:trPr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72822A" w14:textId="6D5EC42C" w:rsidR="00573683" w:rsidRPr="003E4BC1" w:rsidRDefault="00C30A70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0,04</w:t>
            </w:r>
            <w:r w:rsidR="00573683"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 přípravku/kg živé hmotnosti/den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F85103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48AC11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průměrná živá hmotnost (kg) léčených zvířat</w:t>
            </w:r>
          </w:p>
        </w:tc>
        <w:tc>
          <w:tcPr>
            <w:tcW w:w="463" w:type="dxa"/>
            <w:vMerge w:val="restart"/>
            <w:shd w:val="clear" w:color="auto" w:fill="FFFFFF"/>
          </w:tcPr>
          <w:p w14:paraId="56FDE90F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E2B8F7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=</w:t>
            </w:r>
          </w:p>
        </w:tc>
        <w:tc>
          <w:tcPr>
            <w:tcW w:w="3388" w:type="dxa"/>
            <w:vMerge w:val="restart"/>
            <w:shd w:val="clear" w:color="auto" w:fill="FFFFFF"/>
            <w:vAlign w:val="center"/>
          </w:tcPr>
          <w:p w14:paraId="45DED7BD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0738BE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…g přípravku na litr pitné vody/mléka</w:t>
            </w:r>
          </w:p>
        </w:tc>
      </w:tr>
      <w:tr w:rsidR="00573683" w:rsidRPr="003E4BC1" w14:paraId="5BE9A9EF" w14:textId="77777777" w:rsidTr="00E74EF8">
        <w:trPr>
          <w:trHeight w:val="293"/>
        </w:trPr>
        <w:tc>
          <w:tcPr>
            <w:tcW w:w="5266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0A5B3EB" w14:textId="257E1210" w:rsidR="00573683" w:rsidRPr="003E4BC1" w:rsidRDefault="00573683" w:rsidP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E4B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průměrná denní spotřeba vody (l) </w:t>
            </w:r>
            <w:r w:rsidR="00F93FE3" w:rsidRPr="003E4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na zvíře</w:t>
            </w:r>
          </w:p>
        </w:tc>
        <w:tc>
          <w:tcPr>
            <w:tcW w:w="463" w:type="dxa"/>
            <w:vMerge/>
            <w:shd w:val="clear" w:color="auto" w:fill="FFFFFF"/>
          </w:tcPr>
          <w:p w14:paraId="3FF3E928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vMerge/>
            <w:shd w:val="clear" w:color="auto" w:fill="FFFFFF"/>
          </w:tcPr>
          <w:p w14:paraId="0B447282" w14:textId="77777777" w:rsidR="00573683" w:rsidRPr="003E4BC1" w:rsidRDefault="00573683" w:rsidP="003E4BC1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E292552" w14:textId="77777777" w:rsidR="00573683" w:rsidRPr="003E4BC1" w:rsidRDefault="00573683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B89790D" w14:textId="4E913D52" w:rsidR="00573683" w:rsidRPr="003E4BC1" w:rsidRDefault="0057368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Vypočítanou dávku rozdělte a podávejte 2x denně ve 12hodinových intervalech.</w:t>
      </w:r>
    </w:p>
    <w:p w14:paraId="63F5E5C0" w14:textId="77777777" w:rsidR="00573683" w:rsidRPr="003E4BC1" w:rsidRDefault="00573683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B15CD5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1433D82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11.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14:paraId="5B9B6DC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8E60B4" w14:textId="32E0A147" w:rsidR="006120A1" w:rsidRPr="003E4BC1" w:rsidRDefault="006120A1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Pro dosažení správné dávky musí být stanovena co možná nejpřesněji živá hmotnost zvířat, aby se předešlo poddávkování.</w:t>
      </w:r>
      <w:r w:rsidR="003E3AB6" w:rsidRPr="003E4B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E4BC1">
        <w:rPr>
          <w:rFonts w:ascii="Times New Roman" w:eastAsia="Times New Roman" w:hAnsi="Times New Roman" w:cs="Times New Roman"/>
          <w:lang w:eastAsia="cs-CZ"/>
        </w:rPr>
        <w:t>Příjem medikované vody závisí na klinickém stavu zvířat. K zajištění správného dávkování může být nutné upravit koncentraci přípravku v pitné vodě.</w:t>
      </w:r>
    </w:p>
    <w:p w14:paraId="3E6F6ECA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53FA18F8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2C30F8AA" w14:textId="77777777" w:rsidR="006120A1" w:rsidRPr="003E4BC1" w:rsidRDefault="006120A1" w:rsidP="003E4BC1">
      <w:pPr>
        <w:pStyle w:val="Bezmezer"/>
        <w:rPr>
          <w:b/>
        </w:rPr>
      </w:pPr>
    </w:p>
    <w:p w14:paraId="3C9CC261" w14:textId="77777777" w:rsidR="005843D3" w:rsidRPr="003E4BC1" w:rsidRDefault="005843D3" w:rsidP="003E4BC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 xml:space="preserve">Ochranné lhůty: </w:t>
      </w:r>
    </w:p>
    <w:p w14:paraId="64D9C65F" w14:textId="77777777" w:rsidR="005843D3" w:rsidRPr="003E4BC1" w:rsidRDefault="005843D3" w:rsidP="003E4BC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Prasata: maso: 9 dní</w:t>
      </w:r>
    </w:p>
    <w:p w14:paraId="119C2120" w14:textId="77777777" w:rsidR="005843D3" w:rsidRPr="003E4BC1" w:rsidRDefault="005843D3" w:rsidP="003E4BC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Kur domácí - brojleři: maso: 3 dny</w:t>
      </w:r>
    </w:p>
    <w:p w14:paraId="2DAF90B5" w14:textId="77777777" w:rsidR="005843D3" w:rsidRPr="003E4BC1" w:rsidRDefault="005843D3" w:rsidP="003E4BC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Neruminující telata: maso:  2 dny</w:t>
      </w:r>
    </w:p>
    <w:p w14:paraId="434F3F8D" w14:textId="77777777" w:rsidR="005843D3" w:rsidRPr="003E4BC1" w:rsidRDefault="005843D3" w:rsidP="003E4BC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Nepoužívat u nosnic, jejichž vejce jsou určená pro lidskou spotřebu.</w:t>
      </w:r>
    </w:p>
    <w:p w14:paraId="5FF71FD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268E7066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417AD059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F97B143" w14:textId="77777777" w:rsidR="00746332" w:rsidRPr="003E4BC1" w:rsidRDefault="004E55C0" w:rsidP="003E4BC1">
      <w:pPr>
        <w:tabs>
          <w:tab w:val="left" w:pos="354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Uchovávejte při teplotě do 25 °C.</w:t>
      </w:r>
      <w:r w:rsidR="00CC6CBF" w:rsidRPr="003E4BC1">
        <w:rPr>
          <w:rFonts w:ascii="Times New Roman" w:eastAsia="Times New Roman" w:hAnsi="Times New Roman" w:cs="Times New Roman"/>
          <w:iCs/>
          <w:lang w:eastAsia="sv-SE"/>
        </w:rPr>
        <w:tab/>
      </w:r>
    </w:p>
    <w:p w14:paraId="19782365" w14:textId="274ADCE4" w:rsidR="00CC6CBF" w:rsidRPr="003E4BC1" w:rsidRDefault="00CC6CBF" w:rsidP="003E4BC1">
      <w:pPr>
        <w:tabs>
          <w:tab w:val="left" w:pos="354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Nepoužívejte tento veterinární léčivý přípravek po uplynutí doby použitelnosti uvedené na obalu po</w:t>
      </w:r>
      <w:r w:rsidR="003E4BC1">
        <w:rPr>
          <w:rFonts w:ascii="Times New Roman" w:eastAsia="Times New Roman" w:hAnsi="Times New Roman" w:cs="Times New Roman"/>
          <w:iCs/>
          <w:lang w:eastAsia="sv-SE"/>
        </w:rPr>
        <w:t> </w:t>
      </w:r>
      <w:r w:rsidRPr="003E4BC1">
        <w:rPr>
          <w:rFonts w:ascii="Times New Roman" w:eastAsia="Times New Roman" w:hAnsi="Times New Roman" w:cs="Times New Roman"/>
          <w:iCs/>
          <w:lang w:eastAsia="sv-SE"/>
        </w:rPr>
        <w:t>EXP. Doba použitelnosti končí posledním dnem v uvedeném měsíci.</w:t>
      </w:r>
    </w:p>
    <w:p w14:paraId="30F29B2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6638041B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14:paraId="0E027C31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7F5CF46" w14:textId="6E97EF64" w:rsidR="00EB7D05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upozornění pro každý cílový dru</w:t>
      </w:r>
      <w:r w:rsidR="00EB7D05"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h:</w:t>
      </w:r>
    </w:p>
    <w:p w14:paraId="00D6E38C" w14:textId="77777777" w:rsidR="00C6758F" w:rsidRPr="003E4BC1" w:rsidRDefault="00C6758F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</w:p>
    <w:p w14:paraId="6F00817F" w14:textId="77777777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Zvířatům trpícím renální insuficiencí podávat se zvýšenou opatrností.</w:t>
      </w:r>
    </w:p>
    <w:p w14:paraId="47832DC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E811952" w14:textId="0340E99C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09B51E55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4E0A547" w14:textId="348A89E3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Při použití přípravku je nutno vzít v úvahu oficiální a místní pravidla antibiotické politiky. Kvůli pravděpodobné variabilitě (čas, zeměpisné faktory) v citlivosti bakterií k amoxicilinu se důrazně doporučuje provést odběr bakteriologických vzorků a testování citlivosti mikroorganismů získaných z</w:t>
      </w:r>
      <w:r w:rsidR="003E4BC1">
        <w:rPr>
          <w:rFonts w:ascii="Times New Roman" w:eastAsia="Times New Roman" w:hAnsi="Times New Roman" w:cs="Times New Roman"/>
          <w:lang w:eastAsia="cs-CZ"/>
        </w:rPr>
        <w:t> </w:t>
      </w:r>
      <w:r w:rsidRPr="003E4BC1">
        <w:rPr>
          <w:rFonts w:ascii="Times New Roman" w:eastAsia="Times New Roman" w:hAnsi="Times New Roman" w:cs="Times New Roman"/>
          <w:lang w:eastAsia="cs-CZ"/>
        </w:rPr>
        <w:t>nemocných zvířat v chovu. Pokud to není možné, je nutné založit terapii na místních (regionálních, na úrovni farmy) epizootologických informacích o citlivosti cílové bakterie.</w:t>
      </w:r>
    </w:p>
    <w:p w14:paraId="69317872" w14:textId="77777777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E69D95" w14:textId="2AE76816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 xml:space="preserve">Byla zaznamenána vysoká prevalence rezistence u </w:t>
      </w:r>
      <w:r w:rsidRPr="003E4BC1">
        <w:rPr>
          <w:rFonts w:ascii="Times New Roman" w:eastAsia="Times New Roman" w:hAnsi="Times New Roman" w:cs="Times New Roman"/>
          <w:i/>
          <w:lang w:eastAsia="cs-CZ"/>
        </w:rPr>
        <w:t xml:space="preserve">E. </w:t>
      </w:r>
      <w:proofErr w:type="gramStart"/>
      <w:r w:rsidRPr="003E4BC1">
        <w:rPr>
          <w:rFonts w:ascii="Times New Roman" w:eastAsia="Times New Roman" w:hAnsi="Times New Roman" w:cs="Times New Roman"/>
          <w:i/>
          <w:lang w:eastAsia="cs-CZ"/>
        </w:rPr>
        <w:t>coli</w:t>
      </w:r>
      <w:proofErr w:type="gramEnd"/>
      <w:r w:rsidRPr="003E4BC1">
        <w:rPr>
          <w:rFonts w:ascii="Times New Roman" w:eastAsia="Times New Roman" w:hAnsi="Times New Roman" w:cs="Times New Roman"/>
          <w:lang w:eastAsia="cs-CZ"/>
        </w:rPr>
        <w:t>, izolované z prasat a kura domácího, k</w:t>
      </w:r>
      <w:r w:rsidR="003E4BC1">
        <w:rPr>
          <w:rFonts w:ascii="Times New Roman" w:eastAsia="Times New Roman" w:hAnsi="Times New Roman" w:cs="Times New Roman"/>
          <w:lang w:eastAsia="cs-CZ"/>
        </w:rPr>
        <w:t> </w:t>
      </w:r>
      <w:r w:rsidRPr="003E4BC1">
        <w:rPr>
          <w:rFonts w:ascii="Times New Roman" w:eastAsia="Times New Roman" w:hAnsi="Times New Roman" w:cs="Times New Roman"/>
          <w:lang w:eastAsia="cs-CZ"/>
        </w:rPr>
        <w:t xml:space="preserve">ampicilinu. Rezistence k ampicilinu byla také hlášena v některých zemích EU u respiračních patogenů prasat </w:t>
      </w:r>
      <w:r w:rsidRPr="003E4BC1">
        <w:rPr>
          <w:rFonts w:ascii="Times New Roman" w:eastAsia="Times New Roman" w:hAnsi="Times New Roman" w:cs="Times New Roman"/>
          <w:i/>
          <w:lang w:eastAsia="cs-CZ"/>
        </w:rPr>
        <w:t>A. pleuropneumoniae</w:t>
      </w:r>
      <w:r w:rsidRPr="003E4BC1">
        <w:rPr>
          <w:rFonts w:ascii="Times New Roman" w:eastAsia="Times New Roman" w:hAnsi="Times New Roman" w:cs="Times New Roman"/>
          <w:lang w:eastAsia="cs-CZ"/>
        </w:rPr>
        <w:t xml:space="preserve">. Proto by tento přípravek měl být používán až po testování citlivosti. </w:t>
      </w:r>
    </w:p>
    <w:p w14:paraId="0F3833C0" w14:textId="77777777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A25FF53" w14:textId="21525025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 xml:space="preserve">Použití přípravku, které je odlišné od pokynů uvedených </w:t>
      </w:r>
      <w:r w:rsidR="009C40D3" w:rsidRPr="003E4BC1">
        <w:rPr>
          <w:rFonts w:ascii="Times New Roman" w:eastAsia="Times New Roman" w:hAnsi="Times New Roman" w:cs="Times New Roman"/>
          <w:lang w:eastAsia="cs-CZ"/>
        </w:rPr>
        <w:t>na této etiketě</w:t>
      </w:r>
      <w:r w:rsidRPr="003E4BC1">
        <w:rPr>
          <w:rFonts w:ascii="Times New Roman" w:eastAsia="Times New Roman" w:hAnsi="Times New Roman" w:cs="Times New Roman"/>
          <w:lang w:eastAsia="cs-CZ"/>
        </w:rPr>
        <w:t>, může zvýšit prevalenci bakterií rezistentních na amoxicilin a snížit účinnost terapie ostatními peniciliny z důvodu možné zkřížené rezistence/ko-selekce rezistence.</w:t>
      </w:r>
    </w:p>
    <w:p w14:paraId="1EC1044C" w14:textId="77777777" w:rsidR="00EB7D05" w:rsidRPr="003E4BC1" w:rsidRDefault="00EB7D05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DCE95B9" w14:textId="77777777" w:rsidR="00EB7D05" w:rsidRPr="003E4BC1" w:rsidRDefault="00EB7D05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0459578F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FE35A60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00F03C5" w14:textId="24526AC6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3E4BC1">
        <w:rPr>
          <w:rFonts w:ascii="Times New Roman" w:eastAsia="Times New Roman" w:hAnsi="Times New Roman" w:cs="Times New Roman"/>
          <w:lang w:eastAsia="sv-SE"/>
        </w:rPr>
        <w:t>:</w:t>
      </w:r>
    </w:p>
    <w:p w14:paraId="4B106FD0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E6641C" w14:textId="6FC55250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3E4BC1">
        <w:rPr>
          <w:rFonts w:ascii="Times New Roman" w:eastAsia="Times New Roman" w:hAnsi="Times New Roman" w:cs="Times New Roman"/>
        </w:rPr>
        <w:t> </w:t>
      </w:r>
      <w:r w:rsidRPr="003E4BC1">
        <w:rPr>
          <w:rFonts w:ascii="Times New Roman" w:eastAsia="Times New Roman" w:hAnsi="Times New Roman" w:cs="Times New Roman"/>
        </w:rPr>
        <w:t>naopak. Alergické reakce na tyto látky mohou být v některých případech vážné.</w:t>
      </w:r>
    </w:p>
    <w:p w14:paraId="309B6EEC" w14:textId="38200A3C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>Lidé se známou přecitlivělostí na peniciliny, cefalosporiny nebo některou z pomocných látek by se měli vyhnout kontaktu s veterinárním léčivým přípravkem.</w:t>
      </w:r>
    </w:p>
    <w:p w14:paraId="55FB2B06" w14:textId="77777777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14:paraId="1FAE7679" w14:textId="46754A59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t>S přípravkem zacházejte s mimořádnou opatrností, aby nedošlo k vdechnutí prachu, požití nebo</w:t>
      </w:r>
      <w:r w:rsidR="003E4BC1">
        <w:rPr>
          <w:rFonts w:ascii="Times New Roman" w:eastAsia="Times New Roman" w:hAnsi="Times New Roman" w:cs="Times New Roman"/>
        </w:rPr>
        <w:t> </w:t>
      </w:r>
      <w:r w:rsidRPr="003E4BC1">
        <w:rPr>
          <w:rFonts w:ascii="Times New Roman" w:eastAsia="Times New Roman" w:hAnsi="Times New Roman" w:cs="Times New Roman"/>
        </w:rPr>
        <w:t>kontaktu s pokožkou a očima.</w:t>
      </w:r>
    </w:p>
    <w:p w14:paraId="509E50D5" w14:textId="741A0E8E" w:rsidR="00746332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4BC1">
        <w:rPr>
          <w:rFonts w:ascii="Times New Roman" w:eastAsia="Times New Roman" w:hAnsi="Times New Roman" w:cs="Times New Roman"/>
        </w:rPr>
        <w:lastRenderedPageBreak/>
        <w:t>Při nakládání s veterinárním léčivým přípravkem by se měly používat osobní ochranné prostředky, skládající se z ochranného oděvu, nepropustných gumových nebo latexových rukavic, ochranných brýlí a buď z jednorázového respirátoru s polomaskou vyhovující evropské normě EN149 nebo</w:t>
      </w:r>
      <w:r w:rsidR="003E4BC1">
        <w:rPr>
          <w:rFonts w:ascii="Times New Roman" w:eastAsia="Times New Roman" w:hAnsi="Times New Roman" w:cs="Times New Roman"/>
        </w:rPr>
        <w:t> </w:t>
      </w:r>
      <w:r w:rsidRPr="003E4BC1">
        <w:rPr>
          <w:rFonts w:ascii="Times New Roman" w:eastAsia="Times New Roman" w:hAnsi="Times New Roman" w:cs="Times New Roman"/>
        </w:rPr>
        <w:t>z respirátoru na více použití podle evropské normy EN140 s filtrem podle normy EN143.</w:t>
      </w:r>
    </w:p>
    <w:p w14:paraId="758BEAAE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14:paraId="03AF9542" w14:textId="3617254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5F0B89E2" w14:textId="77777777" w:rsidR="001E14E6" w:rsidRPr="003E4BC1" w:rsidRDefault="001E14E6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Nepodávejte současně s neomycinem, který blokuje absorpci orálně podávaných penicilinů.</w:t>
      </w:r>
    </w:p>
    <w:p w14:paraId="58B57BAA" w14:textId="77777777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Nepodávejte společně s antibiotiky, která inhibují syntézu bílkovin bakterií, protože mohou působit jako antagonisté baktericidního účinku penicilinů.</w:t>
      </w:r>
    </w:p>
    <w:p w14:paraId="2C4BC6E3" w14:textId="77777777" w:rsidR="001E14E6" w:rsidRPr="003E4BC1" w:rsidRDefault="001E14E6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5561D6C" w14:textId="30FDD42F" w:rsidR="001E14E6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37D7507C" w14:textId="14C1DC2E" w:rsidR="001E14E6" w:rsidRPr="003E4BC1" w:rsidRDefault="001E14E6" w:rsidP="003E4BC1">
      <w:pPr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Amoxicilin má nízkou toxicitu a předávkování nepředpokládá toxické účinky.</w:t>
      </w:r>
    </w:p>
    <w:p w14:paraId="1C94CE83" w14:textId="68DCDD2F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Inkompatibility</w:t>
      </w: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13C34226" w14:textId="77777777" w:rsidR="00EB76CE" w:rsidRPr="003E4BC1" w:rsidRDefault="00EB76CE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Nejsou známy.</w:t>
      </w:r>
    </w:p>
    <w:p w14:paraId="44CD5504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443508C" w14:textId="77777777" w:rsidR="00746332" w:rsidRPr="003E4BC1" w:rsidRDefault="00746332" w:rsidP="003E4BC1">
      <w:pPr>
        <w:keepNext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14:paraId="7575D962" w14:textId="77777777" w:rsidR="00CA66CE" w:rsidRPr="003E4BC1" w:rsidRDefault="00CA66CE" w:rsidP="003E4BC1">
      <w:pPr>
        <w:keepNext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</w:p>
    <w:p w14:paraId="45216C3A" w14:textId="77777777" w:rsidR="00CA66CE" w:rsidRPr="003E4BC1" w:rsidRDefault="00CA66CE" w:rsidP="003E4BC1">
      <w:pPr>
        <w:tabs>
          <w:tab w:val="left" w:pos="-311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Léčivé přípravky se nesmí likvidovat prostřednictvím odpadní vody či domovního odpadu.</w:t>
      </w:r>
    </w:p>
    <w:p w14:paraId="2E41CF01" w14:textId="77777777" w:rsidR="00CA66CE" w:rsidRPr="003E4BC1" w:rsidRDefault="00CA66CE" w:rsidP="003E4BC1">
      <w:pPr>
        <w:tabs>
          <w:tab w:val="left" w:pos="-311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O možnostech likvidace nepotřebných léčivých přípravků se poraďte s vaším veterinárním lékařem nebo lékárníkem. Tato opatření napomáhají chránit životní prostředí.</w:t>
      </w:r>
    </w:p>
    <w:p w14:paraId="31DF6B02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6318FC0C" w14:textId="77777777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508A4DC5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860D52D" w14:textId="767E2962" w:rsidR="009A0FFC" w:rsidRPr="003E4BC1" w:rsidRDefault="00F93CBA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Duben</w:t>
      </w:r>
      <w:r w:rsidR="009A0FFC" w:rsidRPr="003E4BC1">
        <w:rPr>
          <w:rFonts w:ascii="Times New Roman" w:eastAsia="Times New Roman" w:hAnsi="Times New Roman" w:cs="Times New Roman"/>
          <w:lang w:eastAsia="sv-SE"/>
        </w:rPr>
        <w:t xml:space="preserve"> 2021</w:t>
      </w:r>
    </w:p>
    <w:p w14:paraId="64D6709B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1AAD5AF" w14:textId="32CD76E1" w:rsidR="00746332" w:rsidRPr="003E4BC1" w:rsidRDefault="00746332" w:rsidP="003E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61D45936" w14:textId="77777777" w:rsidR="00746332" w:rsidRPr="003E4BC1" w:rsidRDefault="00746332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6F6720" w14:textId="69C501C4" w:rsidR="00746332" w:rsidRPr="003E4BC1" w:rsidRDefault="00684009" w:rsidP="003E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R</w:t>
      </w:r>
      <w:r w:rsidR="00746332" w:rsidRPr="003E4BC1">
        <w:rPr>
          <w:rFonts w:ascii="Times New Roman" w:eastAsia="Times New Roman" w:hAnsi="Times New Roman" w:cs="Times New Roman"/>
          <w:lang w:eastAsia="cs-CZ"/>
        </w:rPr>
        <w:t>egistrovan</w:t>
      </w:r>
      <w:r w:rsidRPr="003E4BC1">
        <w:rPr>
          <w:rFonts w:ascii="Times New Roman" w:eastAsia="Times New Roman" w:hAnsi="Times New Roman" w:cs="Times New Roman"/>
          <w:lang w:eastAsia="cs-CZ"/>
        </w:rPr>
        <w:t>é</w:t>
      </w:r>
      <w:r w:rsidR="00746332" w:rsidRPr="003E4BC1">
        <w:rPr>
          <w:rFonts w:ascii="Times New Roman" w:eastAsia="Times New Roman" w:hAnsi="Times New Roman" w:cs="Times New Roman"/>
          <w:lang w:eastAsia="cs-CZ"/>
        </w:rPr>
        <w:t xml:space="preserve"> velikost</w:t>
      </w:r>
      <w:r w:rsidRPr="003E4BC1">
        <w:rPr>
          <w:rFonts w:ascii="Times New Roman" w:eastAsia="Times New Roman" w:hAnsi="Times New Roman" w:cs="Times New Roman"/>
          <w:lang w:eastAsia="cs-CZ"/>
        </w:rPr>
        <w:t>i</w:t>
      </w:r>
      <w:r w:rsidR="00746332" w:rsidRPr="003E4BC1">
        <w:rPr>
          <w:rFonts w:ascii="Times New Roman" w:eastAsia="Times New Roman" w:hAnsi="Times New Roman" w:cs="Times New Roman"/>
          <w:lang w:eastAsia="cs-CZ"/>
        </w:rPr>
        <w:t xml:space="preserve"> balení</w:t>
      </w:r>
      <w:r w:rsidR="004E55C0" w:rsidRPr="003E4BC1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3E4BC1">
        <w:rPr>
          <w:rFonts w:ascii="Times New Roman" w:eastAsia="Times New Roman" w:hAnsi="Times New Roman" w:cs="Times New Roman"/>
          <w:lang w:eastAsia="cs-CZ"/>
        </w:rPr>
        <w:t>1 x 100 g, 1 x 1 kg</w:t>
      </w:r>
    </w:p>
    <w:p w14:paraId="33FECE6B" w14:textId="45E1A7D9" w:rsidR="001F145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Na trhu nemusí být všechny velikosti balení.</w:t>
      </w:r>
    </w:p>
    <w:p w14:paraId="45CC9C4B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95D2BDD" w14:textId="766099B5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76687328" w14:textId="5F75DDEC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5822562" w14:textId="77777777" w:rsidR="001F1452" w:rsidRPr="003E4BC1" w:rsidRDefault="001F1452" w:rsidP="003E4BC1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sv-SE"/>
        </w:rPr>
      </w:pPr>
      <w:bookmarkStart w:id="1" w:name="_Toc488408228"/>
      <w:bookmarkStart w:id="2" w:name="_Toc490657313"/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CEVA ANIMAL HEALTH SLOVAKIA, s.r.o.</w:t>
      </w:r>
    </w:p>
    <w:p w14:paraId="0CE0DBF3" w14:textId="77777777" w:rsidR="001F1452" w:rsidRPr="003E4BC1" w:rsidRDefault="001F1452" w:rsidP="003E4BC1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Prievozská 5434/6A</w:t>
      </w:r>
    </w:p>
    <w:p w14:paraId="3DADD4C5" w14:textId="77777777" w:rsidR="001F1452" w:rsidRPr="003E4BC1" w:rsidRDefault="001F1452" w:rsidP="003E4B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3E4BC1">
        <w:rPr>
          <w:rFonts w:ascii="Times New Roman" w:eastAsia="Times New Roman" w:hAnsi="Times New Roman" w:cs="Times New Roman"/>
          <w:color w:val="000000"/>
          <w:lang w:eastAsia="sv-SE"/>
        </w:rPr>
        <w:t>821 09 Bratislava - mestská časť Ružinov.</w:t>
      </w:r>
    </w:p>
    <w:bookmarkEnd w:id="1"/>
    <w:bookmarkEnd w:id="2"/>
    <w:p w14:paraId="694B2069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2275BD4" w14:textId="601CCC5B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3E4BC1">
        <w:rPr>
          <w:rFonts w:ascii="Times New Roman" w:eastAsia="Times New Roman" w:hAnsi="Times New Roman" w:cs="Times New Roman"/>
          <w:b/>
          <w:lang w:eastAsia="sv-SE"/>
        </w:rPr>
        <w:t>18.</w:t>
      </w:r>
      <w:r w:rsidRPr="003E4BC1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</w:t>
      </w:r>
      <w:r w:rsidR="003E4BC1">
        <w:rPr>
          <w:rFonts w:ascii="Times New Roman" w:eastAsia="Times New Roman" w:hAnsi="Times New Roman" w:cs="Times New Roman"/>
          <w:b/>
          <w:lang w:eastAsia="sv-SE"/>
        </w:rPr>
        <w:t> </w:t>
      </w:r>
      <w:r w:rsidRPr="003E4BC1">
        <w:rPr>
          <w:rFonts w:ascii="Times New Roman" w:eastAsia="Times New Roman" w:hAnsi="Times New Roman" w:cs="Times New Roman"/>
          <w:b/>
          <w:lang w:eastAsia="sv-SE"/>
        </w:rPr>
        <w:t>je jich třeba</w:t>
      </w:r>
    </w:p>
    <w:p w14:paraId="3AFA74E9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D4B1713" w14:textId="4A0AFE44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Pouze pro zvířata. Veterinární léčivý přípravek je vydáván pouze na předpis.</w:t>
      </w:r>
    </w:p>
    <w:p w14:paraId="64C0F77C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9E34A1B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lang w:eastAsia="sv-SE"/>
        </w:rPr>
        <w:t>19.</w:t>
      </w:r>
      <w:r w:rsidRPr="003E4BC1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7F9EC386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49E1C4C" w14:textId="22C9581D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00B07691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0CC13BD2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6C20A208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AF501D5" w14:textId="77777777" w:rsidR="00746332" w:rsidRPr="003E4BC1" w:rsidRDefault="004E55C0" w:rsidP="003E4BC1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6454206B" w14:textId="77777777" w:rsidR="004E55C0" w:rsidRPr="003E4BC1" w:rsidRDefault="004E55C0" w:rsidP="003E4BC1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Doba použitelnosti po prvním otevření vnitřního obalu: 2 měsíce</w:t>
      </w:r>
    </w:p>
    <w:p w14:paraId="0A6C931F" w14:textId="77777777" w:rsidR="004E55C0" w:rsidRPr="003E4BC1" w:rsidRDefault="004E55C0" w:rsidP="003E4BC1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Doba použitelnosti po rozpuštění v pitné vodě: 24 hodin</w:t>
      </w:r>
    </w:p>
    <w:p w14:paraId="0254D579" w14:textId="77777777" w:rsidR="004E55C0" w:rsidRPr="003E4BC1" w:rsidRDefault="004E55C0" w:rsidP="003E4BC1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E4BC1">
        <w:rPr>
          <w:rFonts w:ascii="Times New Roman" w:eastAsia="Times New Roman" w:hAnsi="Times New Roman" w:cs="Times New Roman"/>
          <w:iCs/>
          <w:lang w:eastAsia="sv-SE"/>
        </w:rPr>
        <w:t>Doba použitelnosti po rozpuštění v mléce: spotřebujte ihned</w:t>
      </w:r>
    </w:p>
    <w:p w14:paraId="0B8E21D5" w14:textId="77777777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66B49590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14:paraId="38DA9417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46FF84B" w14:textId="6E34D2F2" w:rsidR="00746332" w:rsidRPr="003E4BC1" w:rsidRDefault="00600409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E4BC1">
        <w:rPr>
          <w:rFonts w:ascii="Times New Roman" w:eastAsia="Times New Roman" w:hAnsi="Times New Roman" w:cs="Times New Roman"/>
          <w:lang w:eastAsia="cs-CZ"/>
        </w:rPr>
        <w:t>96/006/05-C</w:t>
      </w:r>
    </w:p>
    <w:p w14:paraId="7B8D8FE9" w14:textId="77777777" w:rsidR="00C6758F" w:rsidRPr="003E4BC1" w:rsidRDefault="00C6758F" w:rsidP="003E4BC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952917" w14:textId="77777777" w:rsidR="00746332" w:rsidRPr="003E4BC1" w:rsidRDefault="00746332" w:rsidP="003E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63563B02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E22ABE4" w14:textId="16D82FF8" w:rsidR="00746332" w:rsidRPr="003E4BC1" w:rsidRDefault="00746332" w:rsidP="003E4BC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3E4BC1">
        <w:rPr>
          <w:rFonts w:ascii="Times New Roman" w:eastAsia="Times New Roman" w:hAnsi="Times New Roman" w:cs="Times New Roman"/>
          <w:lang w:eastAsia="sv-SE"/>
        </w:rPr>
        <w:t>Č.š.: {číslo}</w:t>
      </w:r>
    </w:p>
    <w:p w14:paraId="132946D0" w14:textId="77777777" w:rsidR="00746332" w:rsidRPr="003E4BC1" w:rsidRDefault="00746332" w:rsidP="003E4BC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8E4C24" w14:textId="77777777" w:rsidR="00746332" w:rsidRPr="003E4BC1" w:rsidRDefault="00746332" w:rsidP="003E4BC1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</w:rPr>
      </w:pPr>
    </w:p>
    <w:p w14:paraId="3B0BCBDB" w14:textId="77777777" w:rsidR="00635334" w:rsidRPr="003E4BC1" w:rsidRDefault="00635334" w:rsidP="003E4BC1">
      <w:pPr>
        <w:rPr>
          <w:rFonts w:ascii="Times New Roman" w:hAnsi="Times New Roman" w:cs="Times New Roman"/>
        </w:rPr>
      </w:pPr>
    </w:p>
    <w:sectPr w:rsidR="00635334" w:rsidRPr="003E4BC1" w:rsidSect="004F4C53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4C18D" w14:textId="77777777" w:rsidR="007D18B7" w:rsidRDefault="007D18B7" w:rsidP="00746332">
      <w:pPr>
        <w:spacing w:after="0" w:line="240" w:lineRule="auto"/>
      </w:pPr>
      <w:r>
        <w:separator/>
      </w:r>
    </w:p>
  </w:endnote>
  <w:endnote w:type="continuationSeparator" w:id="0">
    <w:p w14:paraId="4C90BC90" w14:textId="77777777" w:rsidR="007D18B7" w:rsidRDefault="007D18B7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E27E" w14:textId="77777777"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FE288" wp14:editId="49224C67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9F2D2" w14:textId="77777777" w:rsidR="00EB2851" w:rsidRPr="00AA27C1" w:rsidRDefault="007D18B7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7FE2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14:paraId="43D9F2D2" w14:textId="77777777" w:rsidR="00EB2851" w:rsidRPr="00AA27C1" w:rsidRDefault="0094793C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7310A" w14:textId="77777777" w:rsidR="007D18B7" w:rsidRDefault="007D18B7" w:rsidP="00746332">
      <w:pPr>
        <w:spacing w:after="0" w:line="240" w:lineRule="auto"/>
      </w:pPr>
      <w:r>
        <w:separator/>
      </w:r>
    </w:p>
  </w:footnote>
  <w:footnote w:type="continuationSeparator" w:id="0">
    <w:p w14:paraId="753E32B1" w14:textId="77777777" w:rsidR="007D18B7" w:rsidRDefault="007D18B7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26D4" w14:textId="4E53A56C" w:rsidR="00EB2851" w:rsidRPr="00FA388A" w:rsidRDefault="005B2590" w:rsidP="00FA388A">
    <w:r>
      <w:t xml:space="preserve"> </w:t>
    </w:r>
  </w:p>
  <w:p w14:paraId="2A8B4764" w14:textId="77777777" w:rsidR="00EB2851" w:rsidRDefault="007D18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2"/>
    <w:rsid w:val="00096B24"/>
    <w:rsid w:val="000E7306"/>
    <w:rsid w:val="00180D43"/>
    <w:rsid w:val="001E0C71"/>
    <w:rsid w:val="001E14E6"/>
    <w:rsid w:val="001F1452"/>
    <w:rsid w:val="001F6AAB"/>
    <w:rsid w:val="00203D88"/>
    <w:rsid w:val="00215B4B"/>
    <w:rsid w:val="002511DB"/>
    <w:rsid w:val="00251633"/>
    <w:rsid w:val="0038303E"/>
    <w:rsid w:val="003C1AB7"/>
    <w:rsid w:val="003E3AB6"/>
    <w:rsid w:val="003E4BC1"/>
    <w:rsid w:val="004E55C0"/>
    <w:rsid w:val="004F760E"/>
    <w:rsid w:val="00505DAA"/>
    <w:rsid w:val="005115CD"/>
    <w:rsid w:val="0054187C"/>
    <w:rsid w:val="00573683"/>
    <w:rsid w:val="005843D3"/>
    <w:rsid w:val="005964B3"/>
    <w:rsid w:val="005B2590"/>
    <w:rsid w:val="00600409"/>
    <w:rsid w:val="006120A1"/>
    <w:rsid w:val="00635334"/>
    <w:rsid w:val="00684009"/>
    <w:rsid w:val="006C7E38"/>
    <w:rsid w:val="00746332"/>
    <w:rsid w:val="007D18B7"/>
    <w:rsid w:val="008F286B"/>
    <w:rsid w:val="0094793C"/>
    <w:rsid w:val="00971255"/>
    <w:rsid w:val="009A0FFC"/>
    <w:rsid w:val="009C40D3"/>
    <w:rsid w:val="009F6719"/>
    <w:rsid w:val="00AC624D"/>
    <w:rsid w:val="00BA0007"/>
    <w:rsid w:val="00C24DF6"/>
    <w:rsid w:val="00C30A70"/>
    <w:rsid w:val="00C6758F"/>
    <w:rsid w:val="00CA66CE"/>
    <w:rsid w:val="00CC6CBF"/>
    <w:rsid w:val="00E015E7"/>
    <w:rsid w:val="00E94625"/>
    <w:rsid w:val="00EB76CE"/>
    <w:rsid w:val="00EB7D05"/>
    <w:rsid w:val="00EC7AEA"/>
    <w:rsid w:val="00EF6E8C"/>
    <w:rsid w:val="00F93CBA"/>
    <w:rsid w:val="00F93FE3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03D88"/>
    <w:pPr>
      <w:keepNext/>
      <w:spacing w:before="240" w:after="60" w:line="240" w:lineRule="auto"/>
      <w:ind w:left="567" w:hanging="567"/>
      <w:outlineLvl w:val="1"/>
    </w:pPr>
    <w:rPr>
      <w:rFonts w:ascii="Helvetica" w:eastAsia="Times New Roman" w:hAnsi="Helvetica" w:cs="Times New Roman"/>
      <w:b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5B25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2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25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5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590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203D88"/>
    <w:rPr>
      <w:rFonts w:ascii="Helvetica" w:eastAsia="Times New Roman" w:hAnsi="Helvetica" w:cs="Times New Roman"/>
      <w:b/>
      <w:i/>
      <w:sz w:val="24"/>
      <w:szCs w:val="20"/>
    </w:rPr>
  </w:style>
  <w:style w:type="paragraph" w:styleId="Revize">
    <w:name w:val="Revision"/>
    <w:hidden/>
    <w:uiPriority w:val="99"/>
    <w:semiHidden/>
    <w:rsid w:val="004E55C0"/>
    <w:pPr>
      <w:spacing w:after="0" w:line="240" w:lineRule="auto"/>
    </w:pPr>
  </w:style>
  <w:style w:type="paragraph" w:styleId="Bezmezer">
    <w:name w:val="No Spacing"/>
    <w:uiPriority w:val="1"/>
    <w:qFormat/>
    <w:rsid w:val="00584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03D88"/>
    <w:pPr>
      <w:keepNext/>
      <w:spacing w:before="240" w:after="60" w:line="240" w:lineRule="auto"/>
      <w:ind w:left="567" w:hanging="567"/>
      <w:outlineLvl w:val="1"/>
    </w:pPr>
    <w:rPr>
      <w:rFonts w:ascii="Helvetica" w:eastAsia="Times New Roman" w:hAnsi="Helvetica" w:cs="Times New Roman"/>
      <w:b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5B25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2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25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5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590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203D88"/>
    <w:rPr>
      <w:rFonts w:ascii="Helvetica" w:eastAsia="Times New Roman" w:hAnsi="Helvetica" w:cs="Times New Roman"/>
      <w:b/>
      <w:i/>
      <w:sz w:val="24"/>
      <w:szCs w:val="20"/>
    </w:rPr>
  </w:style>
  <w:style w:type="paragraph" w:styleId="Revize">
    <w:name w:val="Revision"/>
    <w:hidden/>
    <w:uiPriority w:val="99"/>
    <w:semiHidden/>
    <w:rsid w:val="004E55C0"/>
    <w:pPr>
      <w:spacing w:after="0" w:line="240" w:lineRule="auto"/>
    </w:pPr>
  </w:style>
  <w:style w:type="paragraph" w:styleId="Bezmezer">
    <w:name w:val="No Spacing"/>
    <w:uiPriority w:val="1"/>
    <w:qFormat/>
    <w:rsid w:val="0058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Šťastná Hana</cp:lastModifiedBy>
  <cp:revision>8</cp:revision>
  <cp:lastPrinted>2021-06-17T04:45:00Z</cp:lastPrinted>
  <dcterms:created xsi:type="dcterms:W3CDTF">2021-03-26T15:17:00Z</dcterms:created>
  <dcterms:modified xsi:type="dcterms:W3CDTF">2021-06-17T04:45:00Z</dcterms:modified>
</cp:coreProperties>
</file>