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6A750" w14:textId="60FA5164" w:rsidR="00785D5A" w:rsidRPr="007E13A4" w:rsidRDefault="000D5705" w:rsidP="004D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7E13A4">
        <w:rPr>
          <w:b/>
          <w:szCs w:val="24"/>
        </w:rPr>
        <w:t xml:space="preserve">Vnitřní strana </w:t>
      </w:r>
      <w:proofErr w:type="spellStart"/>
      <w:r w:rsidRPr="007E13A4">
        <w:rPr>
          <w:b/>
          <w:szCs w:val="24"/>
        </w:rPr>
        <w:t>odtrhávací</w:t>
      </w:r>
      <w:proofErr w:type="spellEnd"/>
      <w:r w:rsidRPr="007E13A4">
        <w:rPr>
          <w:b/>
          <w:szCs w:val="24"/>
        </w:rPr>
        <w:t xml:space="preserve"> příbalové informace</w:t>
      </w:r>
    </w:p>
    <w:p w14:paraId="499D8FFD" w14:textId="77777777" w:rsidR="00785D5A" w:rsidRPr="007E13A4" w:rsidRDefault="00AB15E2" w:rsidP="004D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7E13A4">
        <w:rPr>
          <w:b/>
          <w:szCs w:val="24"/>
        </w:rPr>
        <w:t>1LITROVÁ LAHEV/5LITROVÝ</w:t>
      </w:r>
      <w:r w:rsidR="00785D5A" w:rsidRPr="007E13A4">
        <w:rPr>
          <w:b/>
          <w:szCs w:val="24"/>
        </w:rPr>
        <w:t xml:space="preserve"> </w:t>
      </w:r>
      <w:r w:rsidRPr="007E13A4">
        <w:rPr>
          <w:b/>
          <w:szCs w:val="24"/>
        </w:rPr>
        <w:t>KANYSTR</w:t>
      </w:r>
    </w:p>
    <w:p w14:paraId="3CA9B447" w14:textId="77777777" w:rsidR="00785D5A" w:rsidRDefault="00785D5A" w:rsidP="004D3A0A">
      <w:pPr>
        <w:jc w:val="center"/>
        <w:rPr>
          <w:szCs w:val="24"/>
        </w:rPr>
      </w:pPr>
    </w:p>
    <w:p w14:paraId="5575D9B0" w14:textId="77777777" w:rsidR="0029710D" w:rsidRDefault="0029710D" w:rsidP="004D3A0A">
      <w:pPr>
        <w:jc w:val="center"/>
        <w:rPr>
          <w:szCs w:val="24"/>
        </w:rPr>
      </w:pPr>
    </w:p>
    <w:p w14:paraId="252D233C" w14:textId="1BBFAD83" w:rsidR="000D5705" w:rsidRDefault="000D5705" w:rsidP="004D3A0A">
      <w:pPr>
        <w:jc w:val="center"/>
        <w:rPr>
          <w:b/>
        </w:rPr>
      </w:pPr>
      <w:r>
        <w:rPr>
          <w:b/>
        </w:rPr>
        <w:t>PŘÍBALOVÁ INFORMACE</w:t>
      </w:r>
    </w:p>
    <w:p w14:paraId="4FAD76A9" w14:textId="2664564D" w:rsidR="00785D5A" w:rsidRPr="00297EF3" w:rsidRDefault="00785D5A" w:rsidP="004D3A0A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Metaxol</w:t>
      </w:r>
      <w:proofErr w:type="spellEnd"/>
      <w:r>
        <w:rPr>
          <w:b/>
          <w:szCs w:val="22"/>
        </w:rPr>
        <w:t xml:space="preserve"> 20/100 mg/ml roztok pro podání v pitné vodě pro</w:t>
      </w:r>
      <w:r>
        <w:rPr>
          <w:b/>
        </w:rPr>
        <w:t xml:space="preserve"> prasata a </w:t>
      </w:r>
      <w:r w:rsidR="009D6A38">
        <w:rPr>
          <w:b/>
        </w:rPr>
        <w:t>kura domácího</w:t>
      </w:r>
    </w:p>
    <w:p w14:paraId="4CADFE45" w14:textId="77777777" w:rsidR="00785D5A" w:rsidRPr="00F53D33" w:rsidRDefault="00785D5A" w:rsidP="004D3A0A">
      <w:pPr>
        <w:jc w:val="center"/>
      </w:pPr>
    </w:p>
    <w:p w14:paraId="4A0084D8" w14:textId="77777777" w:rsidR="000D5705" w:rsidRPr="00F53D33" w:rsidRDefault="000D5705" w:rsidP="004D3A0A">
      <w:pPr>
        <w:ind w:left="567" w:hanging="567"/>
      </w:pPr>
    </w:p>
    <w:p w14:paraId="10F51BE7" w14:textId="77777777" w:rsidR="000D5705" w:rsidRPr="00F53D33" w:rsidRDefault="000D5705" w:rsidP="004D3A0A">
      <w:pPr>
        <w:ind w:left="567" w:hanging="567"/>
        <w:rPr>
          <w:b/>
        </w:rPr>
      </w:pPr>
      <w:r w:rsidRPr="00462AA2">
        <w:rPr>
          <w:b/>
          <w:highlight w:val="lightGray"/>
        </w:rPr>
        <w:t>1.</w:t>
      </w:r>
      <w:r w:rsidRPr="00462AA2">
        <w:rPr>
          <w:b/>
          <w:highlight w:val="lightGray"/>
        </w:rPr>
        <w:tab/>
        <w:t>JMÉNO A ADRESA DRŽITELE ROZHODNUTÍ O REGISTRACI A DRŽITELE POVOLENÍ K VÝROBĚ ODPOVĚDNÉHO ZA UVOLNĚNÍ ŠARŽE, POKUD SE NESHODUJE</w:t>
      </w:r>
    </w:p>
    <w:p w14:paraId="263C20B2" w14:textId="77777777" w:rsidR="00785D5A" w:rsidRDefault="00785D5A" w:rsidP="004D3A0A">
      <w:pPr>
        <w:rPr>
          <w:iCs/>
          <w:szCs w:val="22"/>
          <w:u w:val="single"/>
          <w:lang w:bidi="ar-SA"/>
        </w:rPr>
      </w:pPr>
    </w:p>
    <w:p w14:paraId="6BBF13D8" w14:textId="75D8390C" w:rsidR="00785D5A" w:rsidRPr="00106FC6" w:rsidRDefault="00785D5A" w:rsidP="004D3A0A">
      <w:pPr>
        <w:rPr>
          <w:iCs/>
          <w:szCs w:val="22"/>
        </w:rPr>
      </w:pPr>
      <w:r>
        <w:rPr>
          <w:u w:val="single"/>
        </w:rPr>
        <w:t>Držitel rozhodnutí o registraci</w:t>
      </w:r>
      <w:r>
        <w:t>:</w:t>
      </w:r>
    </w:p>
    <w:p w14:paraId="0B190676" w14:textId="77777777" w:rsidR="00785D5A" w:rsidRDefault="00785D5A" w:rsidP="007E13A4">
      <w:pPr>
        <w:pStyle w:val="Bezmezer"/>
      </w:pPr>
      <w:proofErr w:type="spellStart"/>
      <w:r>
        <w:t>Eurovet</w:t>
      </w:r>
      <w:proofErr w:type="spellEnd"/>
      <w:r>
        <w:t xml:space="preserve"> Animal </w:t>
      </w:r>
      <w:proofErr w:type="spellStart"/>
      <w:r>
        <w:t>Health</w:t>
      </w:r>
      <w:proofErr w:type="spellEnd"/>
      <w:r>
        <w:t xml:space="preserve"> BV</w:t>
      </w:r>
    </w:p>
    <w:p w14:paraId="5A19A180" w14:textId="77777777" w:rsidR="00785D5A" w:rsidRDefault="00785D5A" w:rsidP="004D3A0A">
      <w:pPr>
        <w:pStyle w:val="Bezmezer"/>
      </w:pPr>
      <w:proofErr w:type="spellStart"/>
      <w:r>
        <w:t>Handelsweg</w:t>
      </w:r>
      <w:proofErr w:type="spellEnd"/>
      <w:r>
        <w:t xml:space="preserve"> 25</w:t>
      </w:r>
    </w:p>
    <w:p w14:paraId="24559407" w14:textId="77777777" w:rsidR="00785D5A" w:rsidRDefault="00785D5A" w:rsidP="004D3A0A">
      <w:pPr>
        <w:pStyle w:val="Bezmezer"/>
      </w:pPr>
      <w:r>
        <w:t xml:space="preserve">5531 AE </w:t>
      </w:r>
      <w:proofErr w:type="spellStart"/>
      <w:r>
        <w:t>Bladel</w:t>
      </w:r>
      <w:proofErr w:type="spellEnd"/>
    </w:p>
    <w:p w14:paraId="021C92EF" w14:textId="77777777" w:rsidR="00785D5A" w:rsidRPr="00F53D33" w:rsidRDefault="00785D5A" w:rsidP="004D3A0A">
      <w:pPr>
        <w:pStyle w:val="Bezmezer"/>
      </w:pPr>
      <w:r>
        <w:t>Nizozemsko</w:t>
      </w:r>
    </w:p>
    <w:p w14:paraId="1D3D8BC1" w14:textId="77777777" w:rsidR="000D5705" w:rsidRDefault="000D5705" w:rsidP="004D3A0A">
      <w:pPr>
        <w:tabs>
          <w:tab w:val="left" w:pos="993"/>
        </w:tabs>
      </w:pPr>
    </w:p>
    <w:p w14:paraId="6BC1D35A" w14:textId="77777777" w:rsidR="00DC760C" w:rsidRDefault="00DC760C" w:rsidP="00DC760C">
      <w:pPr>
        <w:rPr>
          <w:u w:val="single"/>
        </w:rPr>
      </w:pPr>
      <w:r>
        <w:rPr>
          <w:u w:val="single"/>
        </w:rPr>
        <w:t>Výrobce odpovědný za uvolnění šarže:</w:t>
      </w:r>
    </w:p>
    <w:p w14:paraId="3BE8BB55" w14:textId="77777777" w:rsidR="00DC760C" w:rsidRDefault="00DC760C" w:rsidP="00DC760C">
      <w:pPr>
        <w:pStyle w:val="Bezmezer"/>
      </w:pPr>
      <w:proofErr w:type="spellStart"/>
      <w:r>
        <w:t>Genera</w:t>
      </w:r>
      <w:proofErr w:type="spellEnd"/>
      <w:r>
        <w:t xml:space="preserve"> Inc.</w:t>
      </w:r>
    </w:p>
    <w:p w14:paraId="6A678EC8" w14:textId="77777777" w:rsidR="00DC760C" w:rsidRDefault="00DC760C" w:rsidP="00DC760C">
      <w:pPr>
        <w:pStyle w:val="Bezmezer"/>
      </w:pPr>
      <w:proofErr w:type="spellStart"/>
      <w:r>
        <w:t>Svetonedeljska</w:t>
      </w:r>
      <w:proofErr w:type="spellEnd"/>
      <w:r>
        <w:t xml:space="preserve"> cesta 2</w:t>
      </w:r>
    </w:p>
    <w:p w14:paraId="21DD85DF" w14:textId="77777777" w:rsidR="00DC760C" w:rsidRDefault="00DC760C" w:rsidP="00DC760C">
      <w:pPr>
        <w:pStyle w:val="Bezmezer"/>
      </w:pPr>
      <w:proofErr w:type="spellStart"/>
      <w:r>
        <w:t>Kalinovica</w:t>
      </w:r>
      <w:proofErr w:type="spellEnd"/>
    </w:p>
    <w:p w14:paraId="4A656F1D" w14:textId="77777777" w:rsidR="00DC760C" w:rsidRDefault="00DC760C" w:rsidP="00DC760C">
      <w:pPr>
        <w:pStyle w:val="Bezmezer"/>
      </w:pPr>
      <w:r>
        <w:t>10436 Rakov Potok</w:t>
      </w:r>
    </w:p>
    <w:p w14:paraId="306480BB" w14:textId="77777777" w:rsidR="00DC760C" w:rsidRDefault="00DC760C" w:rsidP="00DC760C">
      <w:pPr>
        <w:pStyle w:val="Bezmezer"/>
      </w:pPr>
      <w:r>
        <w:t>Chorvatsko</w:t>
      </w:r>
    </w:p>
    <w:p w14:paraId="26C4ECEC" w14:textId="77777777" w:rsidR="00DC760C" w:rsidRPr="00F53D33" w:rsidRDefault="00DC760C" w:rsidP="004D3A0A">
      <w:pPr>
        <w:tabs>
          <w:tab w:val="left" w:pos="993"/>
        </w:tabs>
      </w:pPr>
    </w:p>
    <w:p w14:paraId="5D27360B" w14:textId="77777777" w:rsidR="000D5705" w:rsidRPr="00F53D33" w:rsidRDefault="000D5705" w:rsidP="004D3A0A">
      <w:pPr>
        <w:ind w:left="567" w:hanging="567"/>
      </w:pPr>
      <w:r w:rsidRPr="00443B27"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4451270D" w14:textId="77777777" w:rsidR="00785D5A" w:rsidRDefault="00785D5A" w:rsidP="004D3A0A">
      <w:pPr>
        <w:rPr>
          <w:szCs w:val="22"/>
          <w:lang w:bidi="ar-SA"/>
        </w:rPr>
      </w:pPr>
    </w:p>
    <w:p w14:paraId="7853FC81" w14:textId="576E18EC" w:rsidR="00785D5A" w:rsidRPr="00297EF3" w:rsidRDefault="00785D5A" w:rsidP="004D3A0A">
      <w:pPr>
        <w:rPr>
          <w:szCs w:val="22"/>
        </w:rPr>
      </w:pPr>
      <w:proofErr w:type="spellStart"/>
      <w:r>
        <w:t>Metaxol</w:t>
      </w:r>
      <w:proofErr w:type="spellEnd"/>
      <w:r>
        <w:t xml:space="preserve"> 20/100 mg/ml roztok pro podání v pitné vodě pro prasata a </w:t>
      </w:r>
      <w:r w:rsidR="00212297">
        <w:t>kura domácího</w:t>
      </w:r>
    </w:p>
    <w:p w14:paraId="490AD873" w14:textId="6EBB56E3" w:rsidR="002B6C4F" w:rsidRDefault="002B6C4F" w:rsidP="007E13A4">
      <w:pPr>
        <w:rPr>
          <w:szCs w:val="24"/>
        </w:rPr>
      </w:pPr>
      <w:proofErr w:type="spellStart"/>
      <w:r>
        <w:t>Trimethoprim</w:t>
      </w:r>
      <w:r w:rsidR="003C78C8">
        <w:t>um</w:t>
      </w:r>
      <w:proofErr w:type="spellEnd"/>
      <w:r>
        <w:t>/</w:t>
      </w:r>
      <w:proofErr w:type="spellStart"/>
      <w:r w:rsidR="003C78C8">
        <w:t>Sulfamethoxazolum</w:t>
      </w:r>
      <w:proofErr w:type="spellEnd"/>
    </w:p>
    <w:p w14:paraId="401E89B8" w14:textId="77777777" w:rsidR="000D5705" w:rsidRPr="00F53D33" w:rsidRDefault="000D5705" w:rsidP="004D3A0A">
      <w:pPr>
        <w:rPr>
          <w:b/>
        </w:rPr>
      </w:pPr>
    </w:p>
    <w:p w14:paraId="6E963ECB" w14:textId="77777777" w:rsidR="000D5705" w:rsidRDefault="000D5705" w:rsidP="004D3A0A">
      <w:pPr>
        <w:rPr>
          <w:b/>
        </w:rPr>
      </w:pPr>
      <w:r w:rsidRPr="00443B27"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14F3E19E" w14:textId="77777777" w:rsidR="00785D5A" w:rsidRPr="00F53D33" w:rsidRDefault="00785D5A" w:rsidP="004D3A0A">
      <w:pPr>
        <w:rPr>
          <w:b/>
        </w:rPr>
      </w:pPr>
    </w:p>
    <w:p w14:paraId="6B232537" w14:textId="3C51B2CB" w:rsidR="000D5705" w:rsidRDefault="00E15642" w:rsidP="004D3A0A">
      <w:pPr>
        <w:rPr>
          <w:szCs w:val="24"/>
          <w:u w:val="single"/>
        </w:rPr>
      </w:pPr>
      <w:r w:rsidRPr="00E15642">
        <w:rPr>
          <w:szCs w:val="24"/>
          <w:u w:val="single"/>
        </w:rPr>
        <w:t>Každ</w:t>
      </w:r>
      <w:r w:rsidR="00287A7F">
        <w:rPr>
          <w:szCs w:val="24"/>
          <w:u w:val="single"/>
        </w:rPr>
        <w:t>ý</w:t>
      </w:r>
      <w:r w:rsidR="00785D5A">
        <w:rPr>
          <w:szCs w:val="24"/>
          <w:u w:val="single"/>
        </w:rPr>
        <w:t xml:space="preserve"> ml roztoku obsahuje</w:t>
      </w:r>
      <w:r w:rsidR="00785D5A">
        <w:t>:</w:t>
      </w:r>
    </w:p>
    <w:p w14:paraId="3E579F60" w14:textId="77777777" w:rsidR="0029710D" w:rsidRDefault="0029710D" w:rsidP="0029710D">
      <w:pPr>
        <w:tabs>
          <w:tab w:val="right" w:pos="2835"/>
        </w:tabs>
        <w:rPr>
          <w:szCs w:val="24"/>
        </w:rPr>
      </w:pPr>
      <w:r>
        <w:rPr>
          <w:snapToGrid w:val="0"/>
          <w:szCs w:val="24"/>
        </w:rPr>
        <w:t xml:space="preserve">Léčivé látky: </w:t>
      </w:r>
      <w:r>
        <w:rPr>
          <w:snapToGrid w:val="0"/>
          <w:szCs w:val="24"/>
        </w:rPr>
        <w:br/>
      </w:r>
      <w:proofErr w:type="spellStart"/>
      <w:r>
        <w:t>Trimethoprimum</w:t>
      </w:r>
      <w:proofErr w:type="spellEnd"/>
      <w:r>
        <w:tab/>
        <w:t>20 mg</w:t>
      </w:r>
    </w:p>
    <w:p w14:paraId="4289EB09" w14:textId="77777777" w:rsidR="0029710D" w:rsidRDefault="0029710D" w:rsidP="0029710D">
      <w:pPr>
        <w:tabs>
          <w:tab w:val="right" w:pos="2835"/>
        </w:tabs>
        <w:rPr>
          <w:i/>
          <w:szCs w:val="24"/>
        </w:rPr>
      </w:pPr>
      <w:proofErr w:type="spellStart"/>
      <w:r>
        <w:t>Sulfamethoxazolum</w:t>
      </w:r>
      <w:proofErr w:type="spellEnd"/>
      <w:r>
        <w:tab/>
        <w:t>100 mg</w:t>
      </w:r>
    </w:p>
    <w:p w14:paraId="400A84D9" w14:textId="77777777" w:rsidR="0029710D" w:rsidRDefault="0029710D" w:rsidP="004D3A0A">
      <w:pPr>
        <w:rPr>
          <w:szCs w:val="24"/>
          <w:u w:val="single"/>
        </w:rPr>
      </w:pPr>
    </w:p>
    <w:p w14:paraId="6E9744BB" w14:textId="77777777" w:rsidR="00DC788E" w:rsidRPr="00AD0A71" w:rsidRDefault="00DC788E" w:rsidP="004D3A0A">
      <w:pPr>
        <w:rPr>
          <w:szCs w:val="24"/>
        </w:rPr>
      </w:pPr>
      <w:r w:rsidRPr="00AD0A71">
        <w:rPr>
          <w:szCs w:val="24"/>
        </w:rPr>
        <w:t>Čirý, slabě žlutý až hnědožlutý roztok</w:t>
      </w:r>
      <w:r w:rsidR="007E13A4">
        <w:rPr>
          <w:szCs w:val="24"/>
        </w:rPr>
        <w:t>.</w:t>
      </w:r>
    </w:p>
    <w:p w14:paraId="3C34BA36" w14:textId="77777777" w:rsidR="00DC788E" w:rsidRDefault="00DC788E" w:rsidP="004D3A0A">
      <w:pPr>
        <w:rPr>
          <w:szCs w:val="24"/>
          <w:u w:val="single"/>
        </w:rPr>
      </w:pPr>
    </w:p>
    <w:p w14:paraId="4DD88242" w14:textId="77777777" w:rsidR="000D5705" w:rsidRPr="00F53D33" w:rsidRDefault="000D5705" w:rsidP="004D3A0A">
      <w:pPr>
        <w:rPr>
          <w:b/>
        </w:rPr>
      </w:pPr>
      <w:r w:rsidRPr="00443B27"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0609F340" w14:textId="77777777" w:rsidR="00785D5A" w:rsidRDefault="00785D5A" w:rsidP="004D3A0A">
      <w:pPr>
        <w:rPr>
          <w:szCs w:val="22"/>
          <w:lang w:bidi="ar-SA"/>
        </w:rPr>
      </w:pPr>
    </w:p>
    <w:p w14:paraId="5D39BA16" w14:textId="77777777" w:rsidR="009D6A38" w:rsidRPr="00443B27" w:rsidRDefault="009D6A38" w:rsidP="009D6A38">
      <w:pPr>
        <w:rPr>
          <w:szCs w:val="22"/>
          <w:u w:val="single"/>
        </w:rPr>
      </w:pPr>
      <w:r w:rsidRPr="00443B27">
        <w:rPr>
          <w:u w:val="single"/>
        </w:rPr>
        <w:t>Prasata ve výkrmu:</w:t>
      </w:r>
    </w:p>
    <w:p w14:paraId="46C5867D" w14:textId="670BF4B0" w:rsidR="00785D5A" w:rsidRDefault="00785D5A" w:rsidP="004D3A0A">
      <w:pPr>
        <w:rPr>
          <w:szCs w:val="22"/>
        </w:rPr>
      </w:pPr>
    </w:p>
    <w:p w14:paraId="22C531A5" w14:textId="77777777" w:rsidR="002546CC" w:rsidRPr="006B1669" w:rsidRDefault="002546CC" w:rsidP="004D3A0A">
      <w:pPr>
        <w:rPr>
          <w:szCs w:val="22"/>
        </w:rPr>
      </w:pPr>
      <w:r>
        <w:t xml:space="preserve">Léčba a </w:t>
      </w:r>
      <w:proofErr w:type="spellStart"/>
      <w:r>
        <w:t>metafylaxe</w:t>
      </w:r>
      <w:proofErr w:type="spellEnd"/>
      <w:r>
        <w:t>:</w:t>
      </w:r>
    </w:p>
    <w:p w14:paraId="020E3E51" w14:textId="5F520E8D" w:rsidR="00785D5A" w:rsidRPr="006B1669" w:rsidRDefault="00785D5A" w:rsidP="004D3A0A">
      <w:pPr>
        <w:tabs>
          <w:tab w:val="left" w:pos="142"/>
        </w:tabs>
        <w:ind w:left="142" w:hanging="142"/>
        <w:rPr>
          <w:szCs w:val="22"/>
        </w:rPr>
      </w:pPr>
      <w:r>
        <w:t>-</w:t>
      </w:r>
      <w:r>
        <w:tab/>
        <w:t>Průjem po odstav</w:t>
      </w:r>
      <w:r w:rsidR="00B150DE">
        <w:t>u</w:t>
      </w:r>
      <w:r>
        <w:t xml:space="preserve"> </w:t>
      </w:r>
      <w:r w:rsidR="00E453B6">
        <w:t xml:space="preserve">vyvolaný </w:t>
      </w:r>
      <w:r w:rsidR="009D6A38">
        <w:t>beta-hemol</w:t>
      </w:r>
      <w:r w:rsidR="00B150DE">
        <w:t>y</w:t>
      </w:r>
      <w:r w:rsidR="009D6A38">
        <w:t xml:space="preserve">tickými </w:t>
      </w:r>
      <w:r>
        <w:t xml:space="preserve">K88 pozitivními, K99 pozitivními nebo 987P kmeny </w:t>
      </w:r>
      <w:proofErr w:type="spellStart"/>
      <w:r>
        <w:rPr>
          <w:i/>
          <w:szCs w:val="22"/>
        </w:rPr>
        <w:t>Escherichia</w:t>
      </w:r>
      <w:proofErr w:type="spellEnd"/>
      <w:r>
        <w:rPr>
          <w:i/>
          <w:szCs w:val="22"/>
        </w:rPr>
        <w:t xml:space="preserve"> coli</w:t>
      </w:r>
      <w:r>
        <w:t xml:space="preserve"> citlivými </w:t>
      </w:r>
      <w:r w:rsidR="00E453B6">
        <w:t xml:space="preserve">k </w:t>
      </w:r>
      <w:proofErr w:type="spellStart"/>
      <w:r>
        <w:t>trimethoprim</w:t>
      </w:r>
      <w:r w:rsidR="00E453B6">
        <w:t>u</w:t>
      </w:r>
      <w:proofErr w:type="spellEnd"/>
      <w:r>
        <w:t xml:space="preserve"> a </w:t>
      </w:r>
      <w:proofErr w:type="spellStart"/>
      <w:r>
        <w:t>sulfamethoxazol</w:t>
      </w:r>
      <w:r w:rsidR="00E453B6">
        <w:t>u</w:t>
      </w:r>
      <w:proofErr w:type="spellEnd"/>
      <w:r>
        <w:t>.</w:t>
      </w:r>
    </w:p>
    <w:p w14:paraId="777965D1" w14:textId="63DBD166" w:rsidR="00785D5A" w:rsidRPr="006B1669" w:rsidRDefault="00785D5A" w:rsidP="004D3A0A">
      <w:pPr>
        <w:tabs>
          <w:tab w:val="left" w:pos="142"/>
        </w:tabs>
        <w:ind w:left="142" w:hanging="142"/>
        <w:rPr>
          <w:szCs w:val="22"/>
        </w:rPr>
      </w:pPr>
      <w:r>
        <w:t>-</w:t>
      </w:r>
      <w:r>
        <w:tab/>
        <w:t xml:space="preserve">Sekundární bakteriální infekce </w:t>
      </w:r>
      <w:r w:rsidR="00E453B6">
        <w:t xml:space="preserve">vyvolané </w:t>
      </w:r>
      <w:proofErr w:type="spellStart"/>
      <w:r>
        <w:rPr>
          <w:i/>
          <w:szCs w:val="22"/>
        </w:rPr>
        <w:t>Pasteurella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multocida</w:t>
      </w:r>
      <w:proofErr w:type="spellEnd"/>
      <w:r>
        <w:t xml:space="preserve">, </w:t>
      </w:r>
      <w:proofErr w:type="spellStart"/>
      <w:r>
        <w:rPr>
          <w:i/>
          <w:szCs w:val="22"/>
        </w:rPr>
        <w:t>Actinobacillus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pleuropneumoniae</w:t>
      </w:r>
      <w:proofErr w:type="spellEnd"/>
      <w:r>
        <w:t xml:space="preserve">, </w:t>
      </w:r>
      <w:proofErr w:type="spellStart"/>
      <w:r w:rsidRPr="00AD0A71">
        <w:rPr>
          <w:i/>
          <w:iCs/>
        </w:rPr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. a </w:t>
      </w:r>
      <w:proofErr w:type="spellStart"/>
      <w:r>
        <w:rPr>
          <w:i/>
          <w:szCs w:val="22"/>
        </w:rPr>
        <w:t>Haemophilus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parasuis</w:t>
      </w:r>
      <w:proofErr w:type="spellEnd"/>
      <w:r>
        <w:t xml:space="preserve"> citlivými </w:t>
      </w:r>
      <w:r w:rsidR="00E453B6">
        <w:t xml:space="preserve">k </w:t>
      </w:r>
      <w:proofErr w:type="spellStart"/>
      <w:r>
        <w:t>trimethoprim</w:t>
      </w:r>
      <w:r w:rsidR="00E453B6">
        <w:t>u</w:t>
      </w:r>
      <w:proofErr w:type="spellEnd"/>
      <w:r>
        <w:t xml:space="preserve"> a </w:t>
      </w:r>
      <w:proofErr w:type="spellStart"/>
      <w:r>
        <w:t>sulfamethoxazol</w:t>
      </w:r>
      <w:r w:rsidR="00E453B6">
        <w:t>u</w:t>
      </w:r>
      <w:proofErr w:type="spellEnd"/>
      <w:r w:rsidR="00212297">
        <w:t>.</w:t>
      </w:r>
    </w:p>
    <w:p w14:paraId="0743EC35" w14:textId="77777777" w:rsidR="00785D5A" w:rsidRPr="006B1669" w:rsidRDefault="00785D5A" w:rsidP="004D3A0A">
      <w:pPr>
        <w:rPr>
          <w:szCs w:val="22"/>
          <w:lang w:bidi="ar-SA"/>
        </w:rPr>
      </w:pPr>
    </w:p>
    <w:p w14:paraId="53C9593C" w14:textId="77777777" w:rsidR="00785D5A" w:rsidRPr="00443B27" w:rsidRDefault="00785D5A" w:rsidP="004D3A0A">
      <w:pPr>
        <w:rPr>
          <w:szCs w:val="22"/>
          <w:u w:val="single"/>
        </w:rPr>
      </w:pPr>
      <w:r w:rsidRPr="00443B27">
        <w:rPr>
          <w:u w:val="single"/>
        </w:rPr>
        <w:t>Brojleři:</w:t>
      </w:r>
    </w:p>
    <w:p w14:paraId="6E714489" w14:textId="77777777" w:rsidR="002546CC" w:rsidRPr="006B1669" w:rsidRDefault="002546CC" w:rsidP="004D3A0A">
      <w:pPr>
        <w:rPr>
          <w:szCs w:val="22"/>
        </w:rPr>
      </w:pPr>
      <w:r>
        <w:t xml:space="preserve">Léčba a </w:t>
      </w:r>
      <w:proofErr w:type="spellStart"/>
      <w:r>
        <w:t>metafylaxe</w:t>
      </w:r>
      <w:proofErr w:type="spellEnd"/>
      <w:r w:rsidR="007E13A4">
        <w:t>:</w:t>
      </w:r>
    </w:p>
    <w:p w14:paraId="0A5F31A3" w14:textId="448AD101" w:rsidR="00785D5A" w:rsidRPr="006B1669" w:rsidRDefault="00785D5A" w:rsidP="004D3A0A">
      <w:pPr>
        <w:tabs>
          <w:tab w:val="left" w:pos="142"/>
        </w:tabs>
        <w:ind w:left="142" w:hanging="142"/>
        <w:rPr>
          <w:szCs w:val="22"/>
        </w:rPr>
      </w:pPr>
      <w:r>
        <w:t>-</w:t>
      </w:r>
      <w:r>
        <w:tab/>
        <w:t xml:space="preserve">Kolibacilóza </w:t>
      </w:r>
      <w:r w:rsidR="00E453B6">
        <w:t xml:space="preserve">vyvolaná </w:t>
      </w:r>
      <w:proofErr w:type="spellStart"/>
      <w:r>
        <w:rPr>
          <w:i/>
          <w:szCs w:val="22"/>
        </w:rPr>
        <w:t>Escherichia</w:t>
      </w:r>
      <w:proofErr w:type="spellEnd"/>
      <w:r>
        <w:rPr>
          <w:i/>
          <w:szCs w:val="22"/>
        </w:rPr>
        <w:t xml:space="preserve"> coli</w:t>
      </w:r>
      <w:r>
        <w:t xml:space="preserve"> citlivou </w:t>
      </w:r>
      <w:r w:rsidR="00E453B6">
        <w:t xml:space="preserve">k </w:t>
      </w:r>
      <w:proofErr w:type="spellStart"/>
      <w:r>
        <w:t>trimethoprim</w:t>
      </w:r>
      <w:r w:rsidR="00E453B6">
        <w:t>u</w:t>
      </w:r>
      <w:proofErr w:type="spellEnd"/>
      <w:r>
        <w:t xml:space="preserve"> a </w:t>
      </w:r>
      <w:proofErr w:type="spellStart"/>
      <w:r>
        <w:t>sulfamethoxazol</w:t>
      </w:r>
      <w:r w:rsidR="00E453B6">
        <w:t>u</w:t>
      </w:r>
      <w:proofErr w:type="spellEnd"/>
      <w:r>
        <w:t>.</w:t>
      </w:r>
    </w:p>
    <w:p w14:paraId="00FFE30E" w14:textId="1B3DD3DE" w:rsidR="00785D5A" w:rsidRPr="006B1669" w:rsidRDefault="00785D5A" w:rsidP="004D3A0A">
      <w:pPr>
        <w:tabs>
          <w:tab w:val="left" w:pos="142"/>
        </w:tabs>
        <w:ind w:left="142" w:hanging="142"/>
        <w:rPr>
          <w:szCs w:val="22"/>
        </w:rPr>
      </w:pPr>
      <w:r>
        <w:t>-</w:t>
      </w:r>
      <w:r>
        <w:tab/>
        <w:t xml:space="preserve">Koryza </w:t>
      </w:r>
      <w:r w:rsidR="00E453B6">
        <w:t xml:space="preserve">vyvolaná </w:t>
      </w:r>
      <w:proofErr w:type="spellStart"/>
      <w:r>
        <w:rPr>
          <w:i/>
          <w:szCs w:val="22"/>
        </w:rPr>
        <w:t>Avibacterium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paragallinarum</w:t>
      </w:r>
      <w:proofErr w:type="spellEnd"/>
      <w:r>
        <w:t xml:space="preserve"> citliv</w:t>
      </w:r>
      <w:r w:rsidR="000F5A17">
        <w:t>ým</w:t>
      </w:r>
      <w:r>
        <w:t xml:space="preserve"> </w:t>
      </w:r>
      <w:r w:rsidR="00E453B6">
        <w:t xml:space="preserve">k </w:t>
      </w:r>
      <w:proofErr w:type="spellStart"/>
      <w:r>
        <w:t>trimethoprim</w:t>
      </w:r>
      <w:r w:rsidR="00E453B6">
        <w:t>u</w:t>
      </w:r>
      <w:proofErr w:type="spellEnd"/>
      <w:r>
        <w:t xml:space="preserve"> a </w:t>
      </w:r>
      <w:proofErr w:type="spellStart"/>
      <w:r>
        <w:t>sulfamethoxazol</w:t>
      </w:r>
      <w:r w:rsidR="00E453B6">
        <w:t>u</w:t>
      </w:r>
      <w:proofErr w:type="spellEnd"/>
      <w:r>
        <w:t>.</w:t>
      </w:r>
    </w:p>
    <w:p w14:paraId="73B64356" w14:textId="77777777" w:rsidR="000D5705" w:rsidRDefault="000D5705" w:rsidP="004D3A0A">
      <w:pPr>
        <w:widowControl w:val="0"/>
        <w:rPr>
          <w:snapToGrid w:val="0"/>
        </w:rPr>
      </w:pPr>
    </w:p>
    <w:p w14:paraId="32421D60" w14:textId="2DF5A81E" w:rsidR="00BA4511" w:rsidRDefault="00BA4511" w:rsidP="004D3A0A">
      <w:pPr>
        <w:widowControl w:val="0"/>
        <w:rPr>
          <w:snapToGrid w:val="0"/>
        </w:rPr>
      </w:pPr>
      <w:r>
        <w:rPr>
          <w:snapToGrid w:val="0"/>
        </w:rPr>
        <w:t xml:space="preserve">Před použitím přípravku </w:t>
      </w:r>
      <w:r w:rsidR="00212297">
        <w:rPr>
          <w:snapToGrid w:val="0"/>
        </w:rPr>
        <w:t>je nutné</w:t>
      </w:r>
      <w:r>
        <w:rPr>
          <w:snapToGrid w:val="0"/>
        </w:rPr>
        <w:t xml:space="preserve"> </w:t>
      </w:r>
      <w:r w:rsidR="0028477A">
        <w:rPr>
          <w:snapToGrid w:val="0"/>
        </w:rPr>
        <w:t xml:space="preserve">potvrdit </w:t>
      </w:r>
      <w:r>
        <w:rPr>
          <w:snapToGrid w:val="0"/>
        </w:rPr>
        <w:t>přítomnost onemocnění ve stád</w:t>
      </w:r>
      <w:r w:rsidR="00B150DE">
        <w:rPr>
          <w:snapToGrid w:val="0"/>
        </w:rPr>
        <w:t>ě</w:t>
      </w:r>
      <w:r>
        <w:rPr>
          <w:snapToGrid w:val="0"/>
        </w:rPr>
        <w:t>/hejnu.</w:t>
      </w:r>
    </w:p>
    <w:p w14:paraId="2D6DB6E1" w14:textId="77777777" w:rsidR="00BA4511" w:rsidRPr="00F53D33" w:rsidRDefault="00BA4511" w:rsidP="004D3A0A">
      <w:pPr>
        <w:widowControl w:val="0"/>
        <w:rPr>
          <w:snapToGrid w:val="0"/>
        </w:rPr>
      </w:pPr>
    </w:p>
    <w:p w14:paraId="650DA8C2" w14:textId="77777777" w:rsidR="000D5705" w:rsidRPr="00F53D33" w:rsidRDefault="000D5705" w:rsidP="004D3A0A">
      <w:pPr>
        <w:rPr>
          <w:b/>
        </w:rPr>
      </w:pPr>
      <w:r w:rsidRPr="00443B27">
        <w:rPr>
          <w:b/>
          <w:highlight w:val="lightGray"/>
        </w:rPr>
        <w:lastRenderedPageBreak/>
        <w:t>5.</w:t>
      </w:r>
      <w:r>
        <w:rPr>
          <w:b/>
        </w:rPr>
        <w:tab/>
        <w:t>KONTRAINDIKACE</w:t>
      </w:r>
    </w:p>
    <w:p w14:paraId="580FFE34" w14:textId="77777777" w:rsidR="00785D5A" w:rsidRDefault="00785D5A" w:rsidP="004D3A0A">
      <w:pPr>
        <w:tabs>
          <w:tab w:val="left" w:pos="567"/>
        </w:tabs>
        <w:rPr>
          <w:b/>
        </w:rPr>
      </w:pPr>
    </w:p>
    <w:p w14:paraId="4E04F6B5" w14:textId="77777777" w:rsidR="00415326" w:rsidRPr="00063C63" w:rsidRDefault="00415326" w:rsidP="00415326">
      <w:pPr>
        <w:rPr>
          <w:szCs w:val="22"/>
        </w:rPr>
      </w:pPr>
      <w:r>
        <w:t>Nepoužívat u zvířat trpících závažným onemocněním jater nebo ledvin, oligurií či anurií.</w:t>
      </w:r>
    </w:p>
    <w:p w14:paraId="2F796D06" w14:textId="77777777" w:rsidR="00415326" w:rsidRPr="00063C63" w:rsidRDefault="00415326" w:rsidP="00415326">
      <w:pPr>
        <w:rPr>
          <w:szCs w:val="22"/>
        </w:rPr>
      </w:pPr>
      <w:r>
        <w:t>Nepoužívat u zvířat s poruchou krvetvorby.</w:t>
      </w:r>
    </w:p>
    <w:p w14:paraId="60584EE7" w14:textId="53E8ED3B" w:rsidR="00415326" w:rsidRDefault="00415326" w:rsidP="00415326">
      <w:r>
        <w:t xml:space="preserve">Nepoužívat v případě známé přecitlivělosti na sulfonamidy nebo </w:t>
      </w:r>
      <w:proofErr w:type="spellStart"/>
      <w:r>
        <w:t>trimethoprim</w:t>
      </w:r>
      <w:proofErr w:type="spellEnd"/>
      <w:r>
        <w:t xml:space="preserve"> nebo na některou z pomocných látek.</w:t>
      </w:r>
    </w:p>
    <w:p w14:paraId="29E1D823" w14:textId="77777777" w:rsidR="00E15642" w:rsidRPr="00E811C3" w:rsidRDefault="00E15642" w:rsidP="00415326">
      <w:pPr>
        <w:rPr>
          <w:szCs w:val="22"/>
        </w:rPr>
      </w:pPr>
    </w:p>
    <w:p w14:paraId="7E9E6967" w14:textId="77777777" w:rsidR="000D5705" w:rsidRPr="00F53D33" w:rsidRDefault="000D5705" w:rsidP="004D3A0A">
      <w:pPr>
        <w:ind w:left="567" w:hanging="567"/>
      </w:pPr>
      <w:r w:rsidRPr="00443B27"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1E3E82A4" w14:textId="77777777" w:rsidR="00785D5A" w:rsidRDefault="00785D5A" w:rsidP="004D3A0A">
      <w:pPr>
        <w:rPr>
          <w:szCs w:val="22"/>
          <w:lang w:bidi="ar-SA"/>
        </w:rPr>
      </w:pPr>
    </w:p>
    <w:p w14:paraId="5F26888C" w14:textId="443F50C7" w:rsidR="002546CC" w:rsidRPr="002546CC" w:rsidRDefault="009D3F84" w:rsidP="002546CC">
      <w:pPr>
        <w:rPr>
          <w:szCs w:val="22"/>
        </w:rPr>
      </w:pPr>
      <w:r>
        <w:t xml:space="preserve">Vzácně </w:t>
      </w:r>
      <w:r w:rsidR="002546CC">
        <w:t xml:space="preserve">může u </w:t>
      </w:r>
      <w:r w:rsidR="00A307B0">
        <w:t xml:space="preserve">brojlerů </w:t>
      </w:r>
      <w:r w:rsidR="002546CC">
        <w:t>dojít ke sníženému příjmu vody.</w:t>
      </w:r>
    </w:p>
    <w:p w14:paraId="64513AD3" w14:textId="1773A4E9" w:rsidR="00785D5A" w:rsidRPr="000D0795" w:rsidRDefault="002546CC" w:rsidP="002546CC">
      <w:pPr>
        <w:rPr>
          <w:szCs w:val="22"/>
        </w:rPr>
      </w:pPr>
      <w:r>
        <w:t>Vzácně se mohou vyskytnout alergické reakce.</w:t>
      </w:r>
    </w:p>
    <w:p w14:paraId="4DA92B8E" w14:textId="77777777" w:rsidR="00E15642" w:rsidRPr="00E15642" w:rsidRDefault="00E15642" w:rsidP="00E15642">
      <w:pPr>
        <w:tabs>
          <w:tab w:val="left" w:pos="-1440"/>
          <w:tab w:val="left" w:pos="-720"/>
        </w:tabs>
        <w:rPr>
          <w:szCs w:val="24"/>
        </w:rPr>
      </w:pPr>
    </w:p>
    <w:p w14:paraId="6DF8D600" w14:textId="77777777" w:rsidR="00E15642" w:rsidRPr="00E15642" w:rsidRDefault="00E15642" w:rsidP="00E15642">
      <w:pPr>
        <w:tabs>
          <w:tab w:val="left" w:pos="-1440"/>
          <w:tab w:val="left" w:pos="-720"/>
        </w:tabs>
        <w:rPr>
          <w:szCs w:val="24"/>
        </w:rPr>
      </w:pPr>
      <w:r w:rsidRPr="00E15642">
        <w:rPr>
          <w:szCs w:val="24"/>
        </w:rPr>
        <w:t>Četnost nežádoucích účinků je charakterizována podle následujících pravidel:</w:t>
      </w:r>
    </w:p>
    <w:p w14:paraId="7E36C205" w14:textId="77777777" w:rsidR="00E15642" w:rsidRPr="00E15642" w:rsidRDefault="00E15642" w:rsidP="00E15642">
      <w:pPr>
        <w:tabs>
          <w:tab w:val="left" w:pos="-1440"/>
          <w:tab w:val="left" w:pos="-720"/>
        </w:tabs>
        <w:rPr>
          <w:szCs w:val="24"/>
        </w:rPr>
      </w:pPr>
      <w:r w:rsidRPr="00E15642">
        <w:rPr>
          <w:szCs w:val="24"/>
        </w:rPr>
        <w:t xml:space="preserve">- velmi časté (nežádoucí </w:t>
      </w:r>
      <w:proofErr w:type="gramStart"/>
      <w:r w:rsidRPr="00E15642">
        <w:rPr>
          <w:szCs w:val="24"/>
        </w:rPr>
        <w:t>účinek(</w:t>
      </w:r>
      <w:proofErr w:type="spellStart"/>
      <w:r w:rsidRPr="00E15642">
        <w:rPr>
          <w:szCs w:val="24"/>
        </w:rPr>
        <w:t>nky</w:t>
      </w:r>
      <w:proofErr w:type="spellEnd"/>
      <w:proofErr w:type="gramEnd"/>
      <w:r w:rsidRPr="00E15642">
        <w:rPr>
          <w:szCs w:val="24"/>
        </w:rPr>
        <w:t>) se projevil(y) u více než 1 z 10 ošetřených zvířat)</w:t>
      </w:r>
    </w:p>
    <w:p w14:paraId="15BE3C1F" w14:textId="77777777" w:rsidR="00E15642" w:rsidRPr="00E15642" w:rsidRDefault="00E15642" w:rsidP="00E15642">
      <w:pPr>
        <w:tabs>
          <w:tab w:val="left" w:pos="-1440"/>
          <w:tab w:val="left" w:pos="-720"/>
        </w:tabs>
        <w:rPr>
          <w:szCs w:val="24"/>
        </w:rPr>
      </w:pPr>
      <w:r w:rsidRPr="00E15642">
        <w:rPr>
          <w:szCs w:val="24"/>
        </w:rPr>
        <w:t>- časté (u více než 1, ale méně než 10 ze 100 ošetřených zvířat)</w:t>
      </w:r>
    </w:p>
    <w:p w14:paraId="3E151FF1" w14:textId="77777777" w:rsidR="00E15642" w:rsidRPr="00E15642" w:rsidRDefault="00E15642" w:rsidP="00E15642">
      <w:pPr>
        <w:tabs>
          <w:tab w:val="left" w:pos="-1440"/>
          <w:tab w:val="left" w:pos="-720"/>
        </w:tabs>
        <w:rPr>
          <w:szCs w:val="24"/>
        </w:rPr>
      </w:pPr>
      <w:r w:rsidRPr="00E15642">
        <w:rPr>
          <w:szCs w:val="24"/>
        </w:rPr>
        <w:t>- neobvyklé (u více než 1, ale méně než 10 z 1000 ošetřených zvířat)</w:t>
      </w:r>
    </w:p>
    <w:p w14:paraId="4B77409C" w14:textId="4A8A29CE" w:rsidR="00E15642" w:rsidRPr="00E15642" w:rsidRDefault="00E15642" w:rsidP="00E15642">
      <w:pPr>
        <w:tabs>
          <w:tab w:val="left" w:pos="-1440"/>
          <w:tab w:val="left" w:pos="-720"/>
        </w:tabs>
        <w:rPr>
          <w:szCs w:val="24"/>
        </w:rPr>
      </w:pPr>
      <w:r w:rsidRPr="00E15642">
        <w:rPr>
          <w:szCs w:val="24"/>
        </w:rPr>
        <w:t>- vzácné (u více než 1, ale méně než 10 z 10000 ošetřených zvířat)</w:t>
      </w:r>
    </w:p>
    <w:p w14:paraId="1B4A93EF" w14:textId="38F67544" w:rsidR="00785D5A" w:rsidRDefault="00E15642" w:rsidP="00E15642">
      <w:pPr>
        <w:tabs>
          <w:tab w:val="left" w:pos="-1440"/>
          <w:tab w:val="left" w:pos="-720"/>
        </w:tabs>
        <w:rPr>
          <w:szCs w:val="24"/>
        </w:rPr>
      </w:pPr>
      <w:r w:rsidRPr="00E15642">
        <w:rPr>
          <w:szCs w:val="24"/>
        </w:rPr>
        <w:t>- velmi vzácné (u méně než 1 z 10000 ošetřených zvířat, včetně ojedinělých hlášení).</w:t>
      </w:r>
    </w:p>
    <w:p w14:paraId="02C1A38D" w14:textId="77777777" w:rsidR="004C13B6" w:rsidRDefault="004C13B6" w:rsidP="00E15642">
      <w:pPr>
        <w:tabs>
          <w:tab w:val="left" w:pos="-1440"/>
          <w:tab w:val="left" w:pos="-720"/>
        </w:tabs>
        <w:rPr>
          <w:szCs w:val="24"/>
        </w:rPr>
      </w:pPr>
    </w:p>
    <w:p w14:paraId="60820A57" w14:textId="26FB46BF" w:rsidR="001D005D" w:rsidRDefault="001D005D" w:rsidP="001D005D">
      <w:pPr>
        <w:rPr>
          <w:color w:val="000000"/>
          <w:szCs w:val="22"/>
          <w:lang w:eastAsia="sv-SE"/>
        </w:rPr>
      </w:pPr>
      <w:r w:rsidRPr="0032324A">
        <w:rPr>
          <w:color w:val="000000"/>
          <w:szCs w:val="22"/>
          <w:lang w:eastAsia="sv-SE"/>
        </w:rPr>
        <w:t xml:space="preserve">Jestliže zaznamenáte </w:t>
      </w:r>
      <w:r>
        <w:rPr>
          <w:color w:val="000000"/>
          <w:szCs w:val="22"/>
          <w:lang w:eastAsia="sv-SE"/>
        </w:rPr>
        <w:t>jakékoliv</w:t>
      </w:r>
      <w:r w:rsidRPr="0032324A">
        <w:rPr>
          <w:color w:val="000000"/>
          <w:szCs w:val="22"/>
          <w:lang w:eastAsia="sv-SE"/>
        </w:rPr>
        <w:t xml:space="preserve"> nežádoucí účink</w:t>
      </w:r>
      <w:r>
        <w:rPr>
          <w:color w:val="000000"/>
          <w:szCs w:val="22"/>
          <w:lang w:eastAsia="sv-SE"/>
        </w:rPr>
        <w:t>y</w:t>
      </w:r>
      <w:r w:rsidRPr="0032324A">
        <w:rPr>
          <w:color w:val="000000"/>
          <w:szCs w:val="22"/>
          <w:lang w:eastAsia="sv-SE"/>
        </w:rPr>
        <w:t xml:space="preserve"> a to i takové, které nejsou uvedeny </w:t>
      </w:r>
      <w:r w:rsidR="00B04F1B">
        <w:rPr>
          <w:color w:val="000000"/>
          <w:szCs w:val="22"/>
          <w:lang w:eastAsia="sv-SE"/>
        </w:rPr>
        <w:t>v této příbalové informaci</w:t>
      </w:r>
      <w:r w:rsidRPr="0032324A">
        <w:rPr>
          <w:color w:val="000000"/>
          <w:szCs w:val="22"/>
          <w:lang w:eastAsia="sv-SE"/>
        </w:rPr>
        <w:t>, nebo si myslíte, že léčiv</w:t>
      </w:r>
      <w:r>
        <w:rPr>
          <w:color w:val="000000"/>
          <w:szCs w:val="22"/>
          <w:lang w:eastAsia="sv-SE"/>
        </w:rPr>
        <w:t>ý přípravek není účinný</w:t>
      </w:r>
      <w:r w:rsidRPr="0032324A">
        <w:rPr>
          <w:color w:val="000000"/>
          <w:szCs w:val="22"/>
          <w:lang w:eastAsia="sv-SE"/>
        </w:rPr>
        <w:t>, oznamte to, prosím, vašemu veterinárnímu lékaři.</w:t>
      </w:r>
    </w:p>
    <w:p w14:paraId="77D382AB" w14:textId="77777777" w:rsidR="001D005D" w:rsidRPr="004B1AAE" w:rsidRDefault="001D005D" w:rsidP="001D005D">
      <w:pPr>
        <w:rPr>
          <w:color w:val="000000"/>
          <w:szCs w:val="22"/>
          <w:lang w:eastAsia="sv-SE"/>
        </w:rPr>
      </w:pPr>
    </w:p>
    <w:p w14:paraId="6E4E2F80" w14:textId="77777777" w:rsidR="001D005D" w:rsidRPr="007A0D78" w:rsidRDefault="001D005D" w:rsidP="001D005D">
      <w:pPr>
        <w:rPr>
          <w:color w:val="000000"/>
          <w:szCs w:val="22"/>
          <w:lang w:eastAsia="sv-SE"/>
        </w:rPr>
      </w:pPr>
      <w:r w:rsidRPr="007A0D78">
        <w:rPr>
          <w:color w:val="000000"/>
          <w:szCs w:val="22"/>
          <w:lang w:eastAsia="sv-SE"/>
        </w:rPr>
        <w:t>Nežádoucí účinky můžete hlásit prostřednictvím formuláře na webových stránkách ÚSKVBL</w:t>
      </w:r>
      <w:r>
        <w:rPr>
          <w:color w:val="000000"/>
          <w:szCs w:val="22"/>
          <w:lang w:eastAsia="sv-SE"/>
        </w:rPr>
        <w:t xml:space="preserve"> </w:t>
      </w:r>
      <w:r w:rsidRPr="007A0D78">
        <w:rPr>
          <w:color w:val="000000"/>
          <w:szCs w:val="22"/>
          <w:lang w:eastAsia="sv-SE"/>
        </w:rPr>
        <w:t xml:space="preserve">elektronicky, nebo také přímo na adresu: </w:t>
      </w:r>
    </w:p>
    <w:p w14:paraId="59AC0F25" w14:textId="55EFA422" w:rsidR="004C13B6" w:rsidRDefault="001D005D" w:rsidP="001D005D">
      <w:pPr>
        <w:tabs>
          <w:tab w:val="left" w:pos="-1440"/>
          <w:tab w:val="left" w:pos="-720"/>
        </w:tabs>
        <w:rPr>
          <w:szCs w:val="24"/>
        </w:rPr>
      </w:pPr>
      <w:r w:rsidRPr="007A0D78">
        <w:rPr>
          <w:color w:val="000000"/>
          <w:szCs w:val="22"/>
          <w:lang w:eastAsia="sv-SE"/>
        </w:rPr>
        <w:t>Ústav pro státní kontrolu veterinárních biopreparátů a léčiv</w:t>
      </w:r>
      <w:r>
        <w:rPr>
          <w:color w:val="000000"/>
          <w:szCs w:val="22"/>
          <w:lang w:eastAsia="sv-SE"/>
        </w:rPr>
        <w:t xml:space="preserve">, </w:t>
      </w:r>
      <w:r w:rsidRPr="007A0D78">
        <w:rPr>
          <w:color w:val="000000"/>
          <w:szCs w:val="22"/>
          <w:lang w:eastAsia="sv-SE"/>
        </w:rPr>
        <w:t xml:space="preserve">Hudcova </w:t>
      </w:r>
      <w:r>
        <w:rPr>
          <w:color w:val="000000"/>
          <w:szCs w:val="22"/>
          <w:lang w:eastAsia="sv-SE"/>
        </w:rPr>
        <w:t>232/</w:t>
      </w:r>
      <w:r w:rsidRPr="007A0D78">
        <w:rPr>
          <w:color w:val="000000"/>
          <w:szCs w:val="22"/>
          <w:lang w:eastAsia="sv-SE"/>
        </w:rPr>
        <w:t>56a</w:t>
      </w:r>
      <w:r>
        <w:rPr>
          <w:color w:val="000000"/>
          <w:szCs w:val="22"/>
          <w:lang w:eastAsia="sv-SE"/>
        </w:rPr>
        <w:t xml:space="preserve">, </w:t>
      </w:r>
      <w:r w:rsidRPr="007A0D78">
        <w:rPr>
          <w:color w:val="000000"/>
          <w:szCs w:val="22"/>
          <w:lang w:eastAsia="sv-SE"/>
        </w:rPr>
        <w:t>621 00 Brno</w:t>
      </w:r>
      <w:r>
        <w:rPr>
          <w:color w:val="000000"/>
          <w:szCs w:val="22"/>
          <w:lang w:eastAsia="sv-SE"/>
        </w:rPr>
        <w:t>, m</w:t>
      </w:r>
      <w:r w:rsidRPr="007A0D78">
        <w:rPr>
          <w:color w:val="000000"/>
          <w:szCs w:val="22"/>
          <w:lang w:eastAsia="sv-SE"/>
        </w:rPr>
        <w:t xml:space="preserve">ail: </w:t>
      </w:r>
      <w:hyperlink r:id="rId8" w:history="1">
        <w:r w:rsidRPr="00551317">
          <w:rPr>
            <w:rStyle w:val="Hypertextovodkaz"/>
            <w:szCs w:val="22"/>
            <w:lang w:eastAsia="sv-SE"/>
          </w:rPr>
          <w:t>adr@uskvbl.cz</w:t>
        </w:r>
      </w:hyperlink>
      <w:r>
        <w:rPr>
          <w:color w:val="000000"/>
          <w:szCs w:val="22"/>
          <w:lang w:eastAsia="sv-SE"/>
        </w:rPr>
        <w:t>, w</w:t>
      </w:r>
      <w:r w:rsidRPr="007A0D78">
        <w:rPr>
          <w:color w:val="000000"/>
          <w:szCs w:val="22"/>
          <w:lang w:eastAsia="sv-SE"/>
        </w:rPr>
        <w:t xml:space="preserve">ebové stránky: </w:t>
      </w:r>
      <w:hyperlink r:id="rId9" w:history="1">
        <w:r w:rsidR="004C13B6" w:rsidRPr="00BA2274">
          <w:rPr>
            <w:rStyle w:val="Hypertextovodkaz"/>
            <w:szCs w:val="22"/>
            <w:lang w:eastAsia="sv-SE"/>
          </w:rPr>
          <w:t>http://www.uskvbl.cz/cs/farmakovigilance</w:t>
        </w:r>
      </w:hyperlink>
    </w:p>
    <w:p w14:paraId="57498062" w14:textId="77777777" w:rsidR="00E15642" w:rsidRDefault="00E15642" w:rsidP="00F14C81">
      <w:pPr>
        <w:tabs>
          <w:tab w:val="left" w:pos="-1440"/>
          <w:tab w:val="left" w:pos="-720"/>
        </w:tabs>
        <w:rPr>
          <w:szCs w:val="24"/>
        </w:rPr>
      </w:pPr>
    </w:p>
    <w:p w14:paraId="483DD99C" w14:textId="77777777" w:rsidR="000D5705" w:rsidRPr="00F53D33" w:rsidRDefault="000D5705" w:rsidP="004D3A0A">
      <w:pPr>
        <w:tabs>
          <w:tab w:val="left" w:pos="-1440"/>
          <w:tab w:val="left" w:pos="-720"/>
        </w:tabs>
      </w:pPr>
      <w:r w:rsidRPr="00443B27"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07D21210" w14:textId="77777777" w:rsidR="00785D5A" w:rsidRDefault="00785D5A" w:rsidP="004D3A0A">
      <w:pPr>
        <w:rPr>
          <w:szCs w:val="22"/>
          <w:lang w:bidi="ar-SA"/>
        </w:rPr>
      </w:pPr>
    </w:p>
    <w:p w14:paraId="210BA1DE" w14:textId="63B9EC32" w:rsidR="00785D5A" w:rsidRPr="00785D5A" w:rsidRDefault="00785D5A" w:rsidP="004D3A0A">
      <w:pPr>
        <w:rPr>
          <w:szCs w:val="22"/>
        </w:rPr>
      </w:pPr>
      <w:r>
        <w:t>Prasata (</w:t>
      </w:r>
      <w:r w:rsidR="00A307B0">
        <w:t>prasata ve výkrmu</w:t>
      </w:r>
      <w:r>
        <w:t>) a kur domácí (brojleři).</w:t>
      </w:r>
    </w:p>
    <w:p w14:paraId="564D8203" w14:textId="77777777" w:rsidR="000D5705" w:rsidRPr="00F53D33" w:rsidRDefault="000D5705" w:rsidP="004D3A0A"/>
    <w:p w14:paraId="7681880D" w14:textId="77777777" w:rsidR="000D5705" w:rsidRPr="00F53D33" w:rsidRDefault="000D5705" w:rsidP="004D3A0A">
      <w:pPr>
        <w:ind w:left="567" w:hanging="567"/>
      </w:pPr>
      <w:r w:rsidRPr="00443B27">
        <w:rPr>
          <w:b/>
          <w:highlight w:val="lightGray"/>
        </w:rPr>
        <w:t>8.</w:t>
      </w:r>
      <w:r>
        <w:rPr>
          <w:b/>
        </w:rPr>
        <w:tab/>
      </w:r>
      <w:r>
        <w:rPr>
          <w:b/>
        </w:rPr>
        <w:tab/>
        <w:t>DÁVKOVÁNÍ PRO KAŽDÝ DRUH, CESTA A ZPŮSOB PODÁNÍ</w:t>
      </w:r>
    </w:p>
    <w:p w14:paraId="624D4831" w14:textId="77777777" w:rsidR="00785D5A" w:rsidRDefault="00785D5A" w:rsidP="004D3A0A">
      <w:pPr>
        <w:rPr>
          <w:szCs w:val="22"/>
          <w:lang w:bidi="ar-SA"/>
        </w:rPr>
      </w:pPr>
    </w:p>
    <w:p w14:paraId="49D7682D" w14:textId="31544FE7" w:rsidR="00785D5A" w:rsidRPr="000D0795" w:rsidRDefault="00785D5A" w:rsidP="004D3A0A">
      <w:pPr>
        <w:rPr>
          <w:szCs w:val="22"/>
        </w:rPr>
      </w:pPr>
      <w:r>
        <w:t xml:space="preserve">Cesta podání: </w:t>
      </w:r>
      <w:r w:rsidR="00B150DE">
        <w:t>perorální</w:t>
      </w:r>
      <w:r w:rsidR="009A11B8">
        <w:t xml:space="preserve"> </w:t>
      </w:r>
      <w:r>
        <w:t>podání v pitné vodě.</w:t>
      </w:r>
    </w:p>
    <w:p w14:paraId="67C46129" w14:textId="6EA7332C" w:rsidR="00785D5A" w:rsidRPr="000D0795" w:rsidRDefault="00785D5A" w:rsidP="004D3A0A">
      <w:pPr>
        <w:tabs>
          <w:tab w:val="left" w:pos="567"/>
        </w:tabs>
      </w:pPr>
      <w:r>
        <w:t xml:space="preserve">Přípravek lze přidat přímo do pitné vody a tak připravit </w:t>
      </w:r>
      <w:r w:rsidR="00A307B0">
        <w:t xml:space="preserve">léčebný roztok ve vypočtené </w:t>
      </w:r>
      <w:r>
        <w:t xml:space="preserve">koncentraci, ale lze jej použít i jako koncentrovaný zásobní roztok přidáním 200 ml veterinárního léčivého přípravku na litr vody a jeho dalším ředěním. </w:t>
      </w:r>
    </w:p>
    <w:p w14:paraId="73D0416D" w14:textId="77777777" w:rsidR="00785D5A" w:rsidRPr="000D0795" w:rsidRDefault="00785D5A" w:rsidP="004D3A0A">
      <w:pPr>
        <w:rPr>
          <w:i/>
          <w:szCs w:val="22"/>
          <w:lang w:bidi="ar-SA"/>
        </w:rPr>
      </w:pPr>
    </w:p>
    <w:p w14:paraId="176AE325" w14:textId="6A52D7CC" w:rsidR="00785D5A" w:rsidRPr="00443B27" w:rsidRDefault="00A307B0" w:rsidP="004D3A0A">
      <w:pPr>
        <w:rPr>
          <w:szCs w:val="22"/>
          <w:u w:val="single"/>
        </w:rPr>
      </w:pPr>
      <w:r w:rsidRPr="00443B27">
        <w:rPr>
          <w:u w:val="single"/>
        </w:rPr>
        <w:t>Prasata ve výkrmu</w:t>
      </w:r>
      <w:r w:rsidR="00785D5A" w:rsidRPr="00443B27">
        <w:rPr>
          <w:u w:val="single"/>
        </w:rPr>
        <w:t>:</w:t>
      </w:r>
    </w:p>
    <w:p w14:paraId="11B43BA7" w14:textId="7B9A520B" w:rsidR="00A307B0" w:rsidRDefault="00A307B0" w:rsidP="00A307B0">
      <w:pPr>
        <w:rPr>
          <w:szCs w:val="22"/>
        </w:rPr>
      </w:pPr>
      <w:r>
        <w:t xml:space="preserve">5 mg </w:t>
      </w:r>
      <w:proofErr w:type="spellStart"/>
      <w:r>
        <w:t>trimethoprimu</w:t>
      </w:r>
      <w:proofErr w:type="spellEnd"/>
      <w:r>
        <w:t xml:space="preserve"> a 25 mg </w:t>
      </w:r>
      <w:proofErr w:type="spellStart"/>
      <w:r>
        <w:t>sulfamethoxazolu</w:t>
      </w:r>
      <w:proofErr w:type="spellEnd"/>
      <w:r>
        <w:t xml:space="preserve"> na 1 kg živé hmotnosti denně během 4–7 dnů. To odpovídá 1 ml veterinárního léčivého přípravku na 4,0 kg živé hmotnosti denně. Na základě doporučené dávky, denní spotřeby vody, počtu a hmotnosti léčených prasat lze vypočítat přesnou denní dávku veterinárního léčivého přípravku podle následujícího vzorce:</w:t>
      </w:r>
    </w:p>
    <w:p w14:paraId="4A612552" w14:textId="77777777" w:rsidR="00A307B0" w:rsidRPr="00D0536B" w:rsidRDefault="00A307B0" w:rsidP="00A307B0">
      <w:pPr>
        <w:rPr>
          <w:szCs w:val="22"/>
        </w:rPr>
      </w:pPr>
    </w:p>
    <w:tbl>
      <w:tblPr>
        <w:tblW w:w="8789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A307B0" w:rsidRPr="0034287F" w14:paraId="4E49E129" w14:textId="77777777" w:rsidTr="00057904">
        <w:tc>
          <w:tcPr>
            <w:tcW w:w="5670" w:type="dxa"/>
          </w:tcPr>
          <w:p w14:paraId="0BE1A8B6" w14:textId="77777777" w:rsidR="00A307B0" w:rsidRDefault="00A307B0" w:rsidP="00057904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861"/>
                <w:tab w:val="left" w:pos="4003"/>
                <w:tab w:val="left" w:pos="5040"/>
                <w:tab w:val="left" w:pos="5760"/>
                <w:tab w:val="right" w:pos="6518"/>
                <w:tab w:val="left" w:pos="7920"/>
              </w:tabs>
              <w:ind w:right="-250"/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t xml:space="preserve">průměrná </w:t>
            </w:r>
            <w:r>
              <w:rPr>
                <w:szCs w:val="22"/>
              </w:rPr>
              <w:t>živá</w:t>
            </w:r>
            <w:r w:rsidRPr="0034287F">
              <w:rPr>
                <w:szCs w:val="22"/>
              </w:rPr>
              <w:t xml:space="preserve"> hmotnost (kg) prasat, která mají</w:t>
            </w:r>
          </w:p>
          <w:p w14:paraId="6B121380" w14:textId="77777777" w:rsidR="00A307B0" w:rsidRPr="0034287F" w:rsidRDefault="00A307B0" w:rsidP="00057904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861"/>
                <w:tab w:val="left" w:pos="4003"/>
                <w:tab w:val="left" w:pos="5040"/>
                <w:tab w:val="left" w:pos="5760"/>
                <w:tab w:val="right" w:pos="6518"/>
                <w:tab w:val="left" w:pos="7920"/>
              </w:tabs>
              <w:ind w:right="-250"/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t xml:space="preserve"> </w:t>
            </w:r>
            <w:r>
              <w:rPr>
                <w:szCs w:val="22"/>
              </w:rPr>
              <w:t>být léčena</w:t>
            </w:r>
          </w:p>
        </w:tc>
        <w:tc>
          <w:tcPr>
            <w:tcW w:w="3119" w:type="dxa"/>
            <w:vMerge w:val="restart"/>
            <w:hideMark/>
          </w:tcPr>
          <w:p w14:paraId="2F82F6FC" w14:textId="77777777" w:rsidR="00A307B0" w:rsidRPr="0034287F" w:rsidRDefault="00A307B0" w:rsidP="00057904">
            <w:pPr>
              <w:tabs>
                <w:tab w:val="left" w:pos="-11293"/>
                <w:tab w:val="left" w:pos="-11151"/>
                <w:tab w:val="left" w:pos="-11010"/>
                <w:tab w:val="left" w:pos="4320"/>
                <w:tab w:val="left" w:pos="5040"/>
                <w:tab w:val="left" w:pos="5760"/>
                <w:tab w:val="right" w:pos="6518"/>
                <w:tab w:val="left" w:pos="7920"/>
              </w:tabs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t xml:space="preserve">= </w:t>
            </w:r>
            <w:proofErr w:type="spellStart"/>
            <w:r w:rsidRPr="0034287F">
              <w:rPr>
                <w:szCs w:val="22"/>
              </w:rPr>
              <w:t>xx</w:t>
            </w:r>
            <w:proofErr w:type="spellEnd"/>
            <w:r w:rsidRPr="0034287F">
              <w:rPr>
                <w:szCs w:val="22"/>
              </w:rPr>
              <w:t> ml veterinárního léčivého přípravku na litr pitné vody</w:t>
            </w:r>
          </w:p>
        </w:tc>
      </w:tr>
      <w:tr w:rsidR="00A307B0" w:rsidRPr="0034287F" w14:paraId="7E47D590" w14:textId="77777777" w:rsidTr="00057904">
        <w:tc>
          <w:tcPr>
            <w:tcW w:w="5670" w:type="dxa"/>
            <w:hideMark/>
          </w:tcPr>
          <w:p w14:paraId="034FC3E8" w14:textId="77777777" w:rsidR="00A307B0" w:rsidRPr="0034287F" w:rsidRDefault="00A307B0" w:rsidP="00057904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861"/>
                <w:tab w:val="left" w:pos="4003"/>
                <w:tab w:val="left" w:pos="5040"/>
                <w:tab w:val="left" w:pos="5760"/>
                <w:tab w:val="right" w:pos="6518"/>
                <w:tab w:val="left" w:pos="7920"/>
              </w:tabs>
              <w:ind w:right="-250"/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t>průměrná denní spotřeba vody (l</w:t>
            </w:r>
            <w:r>
              <w:rPr>
                <w:szCs w:val="22"/>
              </w:rPr>
              <w:t>itry</w:t>
            </w:r>
            <w:r w:rsidRPr="0034287F">
              <w:rPr>
                <w:szCs w:val="22"/>
              </w:rPr>
              <w:t>) na pra</w:t>
            </w:r>
            <w:r>
              <w:rPr>
                <w:szCs w:val="22"/>
              </w:rPr>
              <w:t>s</w:t>
            </w:r>
            <w:r w:rsidRPr="0034287F">
              <w:rPr>
                <w:szCs w:val="22"/>
              </w:rPr>
              <w:t>e x 4,0</w:t>
            </w:r>
          </w:p>
        </w:tc>
        <w:tc>
          <w:tcPr>
            <w:tcW w:w="3119" w:type="dxa"/>
            <w:vMerge/>
          </w:tcPr>
          <w:p w14:paraId="261B3EE0" w14:textId="77777777" w:rsidR="00A307B0" w:rsidRPr="0034287F" w:rsidRDefault="00A307B0" w:rsidP="00057904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518"/>
                <w:tab w:val="left" w:pos="7920"/>
              </w:tabs>
              <w:jc w:val="both"/>
              <w:rPr>
                <w:szCs w:val="22"/>
              </w:rPr>
            </w:pPr>
          </w:p>
        </w:tc>
      </w:tr>
    </w:tbl>
    <w:p w14:paraId="24D90361" w14:textId="77777777" w:rsidR="00A307B0" w:rsidRDefault="00A307B0" w:rsidP="00A307B0">
      <w:pPr>
        <w:rPr>
          <w:szCs w:val="22"/>
        </w:rPr>
      </w:pPr>
    </w:p>
    <w:p w14:paraId="346362B3" w14:textId="77777777" w:rsidR="00A307B0" w:rsidRPr="00443B27" w:rsidRDefault="00A307B0" w:rsidP="00A307B0">
      <w:pPr>
        <w:rPr>
          <w:szCs w:val="22"/>
          <w:u w:val="single"/>
        </w:rPr>
      </w:pPr>
      <w:r w:rsidRPr="00443B27">
        <w:rPr>
          <w:u w:val="single"/>
        </w:rPr>
        <w:t>Brojleři:</w:t>
      </w:r>
    </w:p>
    <w:p w14:paraId="63CE4B49" w14:textId="072D8F7E" w:rsidR="00A307B0" w:rsidRDefault="00A307B0" w:rsidP="00B74DA1">
      <w:pPr>
        <w:jc w:val="both"/>
        <w:rPr>
          <w:szCs w:val="22"/>
        </w:rPr>
      </w:pPr>
      <w:r>
        <w:t xml:space="preserve">7,5 mg </w:t>
      </w:r>
      <w:proofErr w:type="spellStart"/>
      <w:r>
        <w:t>trimethoprimu</w:t>
      </w:r>
      <w:proofErr w:type="spellEnd"/>
      <w:r>
        <w:t xml:space="preserve"> a 37,5 mg </w:t>
      </w:r>
      <w:proofErr w:type="spellStart"/>
      <w:r>
        <w:t>sulfamethoxazolu</w:t>
      </w:r>
      <w:proofErr w:type="spellEnd"/>
      <w:r>
        <w:t xml:space="preserve"> na 1 kg živé hmotnosti denně po 3 dny. To odpovídá 1 ml veterinárního léčivého přípravku na 2,67 kg živé hmotnosti denně. Na základě doporučené dávky, denní spotřeby vody, počtu a hmotnosti léčených ptáků lze vypočítat přesnou denní dávku veterinárního léčivého přípravku podle následujícího vzorce:</w:t>
      </w:r>
    </w:p>
    <w:p w14:paraId="7C2B1CB0" w14:textId="77777777" w:rsidR="00A307B0" w:rsidRDefault="00A307B0" w:rsidP="00B74DA1">
      <w:pPr>
        <w:jc w:val="both"/>
        <w:rPr>
          <w:szCs w:val="22"/>
        </w:rPr>
      </w:pPr>
    </w:p>
    <w:tbl>
      <w:tblPr>
        <w:tblW w:w="8789" w:type="dxa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119"/>
      </w:tblGrid>
      <w:tr w:rsidR="00A307B0" w:rsidRPr="0034287F" w14:paraId="3C111EB6" w14:textId="77777777" w:rsidTr="00057904">
        <w:tc>
          <w:tcPr>
            <w:tcW w:w="5670" w:type="dxa"/>
          </w:tcPr>
          <w:p w14:paraId="1CF87EBB" w14:textId="6A4A6BDA" w:rsidR="00A307B0" w:rsidRPr="0034287F" w:rsidRDefault="00A307B0" w:rsidP="00B74DA1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861"/>
                <w:tab w:val="left" w:pos="4003"/>
                <w:tab w:val="left" w:pos="5040"/>
                <w:tab w:val="left" w:pos="5760"/>
                <w:tab w:val="right" w:pos="6518"/>
                <w:tab w:val="left" w:pos="7920"/>
              </w:tabs>
              <w:ind w:right="-250"/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lastRenderedPageBreak/>
              <w:t xml:space="preserve">průměrná </w:t>
            </w:r>
            <w:r>
              <w:rPr>
                <w:szCs w:val="22"/>
              </w:rPr>
              <w:t>živá</w:t>
            </w:r>
            <w:r w:rsidRPr="0034287F">
              <w:rPr>
                <w:szCs w:val="22"/>
              </w:rPr>
              <w:t xml:space="preserve"> hmotnost (kg) </w:t>
            </w:r>
            <w:r>
              <w:rPr>
                <w:szCs w:val="22"/>
              </w:rPr>
              <w:t>brojlerů</w:t>
            </w:r>
            <w:r w:rsidRPr="0034287F">
              <w:rPr>
                <w:szCs w:val="22"/>
              </w:rPr>
              <w:t xml:space="preserve">, kteří mají </w:t>
            </w:r>
            <w:r w:rsidR="00B150DE">
              <w:rPr>
                <w:szCs w:val="22"/>
              </w:rPr>
              <w:t xml:space="preserve">být </w:t>
            </w:r>
            <w:r w:rsidRPr="0034287F">
              <w:rPr>
                <w:szCs w:val="22"/>
              </w:rPr>
              <w:t>léč</w:t>
            </w:r>
            <w:r>
              <w:rPr>
                <w:szCs w:val="22"/>
              </w:rPr>
              <w:t>eni</w:t>
            </w:r>
          </w:p>
        </w:tc>
        <w:tc>
          <w:tcPr>
            <w:tcW w:w="3119" w:type="dxa"/>
            <w:vMerge w:val="restart"/>
            <w:hideMark/>
          </w:tcPr>
          <w:p w14:paraId="042289E7" w14:textId="77777777" w:rsidR="00A307B0" w:rsidRPr="0034287F" w:rsidRDefault="00A307B0" w:rsidP="00057904">
            <w:pPr>
              <w:tabs>
                <w:tab w:val="left" w:pos="-11293"/>
                <w:tab w:val="left" w:pos="-11151"/>
                <w:tab w:val="left" w:pos="-11010"/>
                <w:tab w:val="left" w:pos="4320"/>
                <w:tab w:val="left" w:pos="5040"/>
                <w:tab w:val="left" w:pos="5760"/>
                <w:tab w:val="right" w:pos="6518"/>
                <w:tab w:val="left" w:pos="7920"/>
              </w:tabs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t xml:space="preserve">= </w:t>
            </w:r>
            <w:proofErr w:type="spellStart"/>
            <w:r w:rsidRPr="0034287F">
              <w:rPr>
                <w:szCs w:val="22"/>
              </w:rPr>
              <w:t>xx</w:t>
            </w:r>
            <w:proofErr w:type="spellEnd"/>
            <w:r w:rsidRPr="0034287F">
              <w:rPr>
                <w:szCs w:val="22"/>
              </w:rPr>
              <w:t> ml veterinárního léčivého přípravku na litr pitné vody</w:t>
            </w:r>
          </w:p>
        </w:tc>
      </w:tr>
      <w:tr w:rsidR="00A307B0" w:rsidRPr="0034287F" w14:paraId="7B575A14" w14:textId="77777777" w:rsidTr="00057904">
        <w:tc>
          <w:tcPr>
            <w:tcW w:w="5670" w:type="dxa"/>
            <w:hideMark/>
          </w:tcPr>
          <w:p w14:paraId="77D40401" w14:textId="77777777" w:rsidR="00A307B0" w:rsidRPr="0034287F" w:rsidRDefault="00A307B0" w:rsidP="00057904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861"/>
                <w:tab w:val="left" w:pos="4003"/>
                <w:tab w:val="left" w:pos="5040"/>
                <w:tab w:val="left" w:pos="5760"/>
                <w:tab w:val="right" w:pos="6518"/>
                <w:tab w:val="left" w:pos="7920"/>
              </w:tabs>
              <w:ind w:right="-250"/>
              <w:jc w:val="center"/>
              <w:rPr>
                <w:szCs w:val="22"/>
              </w:rPr>
            </w:pPr>
            <w:r w:rsidRPr="0034287F">
              <w:rPr>
                <w:szCs w:val="22"/>
              </w:rPr>
              <w:t>průměrná denní spotřeba vody (l</w:t>
            </w:r>
            <w:r>
              <w:rPr>
                <w:szCs w:val="22"/>
              </w:rPr>
              <w:t>itry</w:t>
            </w:r>
            <w:r w:rsidRPr="0034287F">
              <w:rPr>
                <w:szCs w:val="22"/>
              </w:rPr>
              <w:t xml:space="preserve">) na </w:t>
            </w:r>
            <w:r>
              <w:rPr>
                <w:szCs w:val="22"/>
              </w:rPr>
              <w:t>brojlera</w:t>
            </w:r>
            <w:r w:rsidRPr="0034287F">
              <w:rPr>
                <w:szCs w:val="22"/>
              </w:rPr>
              <w:t xml:space="preserve"> x 2,67</w:t>
            </w:r>
          </w:p>
        </w:tc>
        <w:tc>
          <w:tcPr>
            <w:tcW w:w="3119" w:type="dxa"/>
            <w:vMerge/>
          </w:tcPr>
          <w:p w14:paraId="1BAA9D0A" w14:textId="77777777" w:rsidR="00A307B0" w:rsidRPr="0034287F" w:rsidRDefault="00A307B0" w:rsidP="00057904">
            <w:pPr>
              <w:tabs>
                <w:tab w:val="left" w:pos="-1440"/>
                <w:tab w:val="left" w:pos="-720"/>
                <w:tab w:val="left" w:pos="720"/>
                <w:tab w:val="left" w:pos="11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518"/>
                <w:tab w:val="left" w:pos="7920"/>
              </w:tabs>
              <w:jc w:val="both"/>
              <w:rPr>
                <w:szCs w:val="22"/>
              </w:rPr>
            </w:pPr>
          </w:p>
        </w:tc>
      </w:tr>
    </w:tbl>
    <w:p w14:paraId="61279C1D" w14:textId="77777777" w:rsidR="00A307B0" w:rsidRDefault="00A307B0" w:rsidP="00A307B0">
      <w:pPr>
        <w:rPr>
          <w:szCs w:val="22"/>
        </w:rPr>
      </w:pPr>
    </w:p>
    <w:p w14:paraId="28C22709" w14:textId="77777777" w:rsidR="00785D5A" w:rsidRPr="000D0795" w:rsidRDefault="00785D5A" w:rsidP="004D3A0A">
      <w:pPr>
        <w:rPr>
          <w:szCs w:val="22"/>
          <w:lang w:bidi="ar-SA"/>
        </w:rPr>
      </w:pPr>
    </w:p>
    <w:p w14:paraId="5B347302" w14:textId="77777777" w:rsidR="00785D5A" w:rsidRDefault="00785D5A" w:rsidP="00A307B0">
      <w:pPr>
        <w:rPr>
          <w:b/>
        </w:rPr>
      </w:pPr>
    </w:p>
    <w:p w14:paraId="062CF091" w14:textId="77777777" w:rsidR="000D5705" w:rsidRPr="00F53D33" w:rsidRDefault="000D5705" w:rsidP="004D3A0A">
      <w:pPr>
        <w:ind w:left="567" w:hanging="567"/>
      </w:pPr>
      <w:r w:rsidRPr="00443B27">
        <w:rPr>
          <w:b/>
        </w:rPr>
        <w:t>9.</w:t>
      </w:r>
      <w:r w:rsidRPr="00443B27">
        <w:rPr>
          <w:b/>
        </w:rPr>
        <w:tab/>
      </w:r>
      <w:r w:rsidRPr="00443B27">
        <w:rPr>
          <w:b/>
        </w:rPr>
        <w:tab/>
        <w:t>POKYNY PRO SPRÁVNÉ PODÁNÍ</w:t>
      </w:r>
    </w:p>
    <w:p w14:paraId="0515A02E" w14:textId="77777777" w:rsidR="000D5705" w:rsidRDefault="000D5705" w:rsidP="004D3A0A"/>
    <w:p w14:paraId="243190E6" w14:textId="194B592D" w:rsidR="00E15642" w:rsidRDefault="00E15642" w:rsidP="00E15642">
      <w:pPr>
        <w:jc w:val="both"/>
        <w:rPr>
          <w:szCs w:val="22"/>
        </w:rPr>
      </w:pPr>
      <w:r>
        <w:t xml:space="preserve">Pro zajištění správného dávkování je třeba určit živou hmotnost </w:t>
      </w:r>
      <w:r w:rsidRPr="00E15642">
        <w:t xml:space="preserve">a spotřebu vody </w:t>
      </w:r>
      <w:r>
        <w:t xml:space="preserve">co nejpřesněji. </w:t>
      </w:r>
    </w:p>
    <w:p w14:paraId="1C9097E1" w14:textId="099FE4D3" w:rsidR="00E15642" w:rsidRPr="00E811C3" w:rsidRDefault="00E15642" w:rsidP="00E15642">
      <w:pPr>
        <w:jc w:val="both"/>
        <w:rPr>
          <w:szCs w:val="22"/>
        </w:rPr>
      </w:pPr>
      <w:r>
        <w:t xml:space="preserve">Denní množství, které se má přidat do pitné vody musí být takové, aby se celá medikace spotřebovala během 24 hodin. </w:t>
      </w:r>
      <w:proofErr w:type="spellStart"/>
      <w:r>
        <w:t>Medikovanou</w:t>
      </w:r>
      <w:proofErr w:type="spellEnd"/>
      <w:r>
        <w:t xml:space="preserve"> pitnou vodu a zásobní roztoky je zapotřebí připravovat čerstvé každých 24 hodin. Během léčebného období by zvířata neměla mít přístup k jiným vodním zdrojům než k </w:t>
      </w:r>
      <w:proofErr w:type="spellStart"/>
      <w:r>
        <w:t>medikované</w:t>
      </w:r>
      <w:proofErr w:type="spellEnd"/>
      <w:r>
        <w:t xml:space="preserve"> vodě. Nicméně, je zapotřebí, aby bylo zajištěno, že zvířata budou mít k dispozici vždy dostatek vody. Po ukončení období medikace je nutno vyčistit soustavu přívodu vody vhodným způsobem, aby se zabránilo příjmu </w:t>
      </w:r>
      <w:proofErr w:type="spellStart"/>
      <w:r>
        <w:t>subterapeutických</w:t>
      </w:r>
      <w:proofErr w:type="spellEnd"/>
      <w:r>
        <w:t xml:space="preserve"> množství léčivé látky. </w:t>
      </w:r>
      <w:r w:rsidR="005F69B3" w:rsidRPr="005F69B3">
        <w:t xml:space="preserve">Příjem </w:t>
      </w:r>
      <w:proofErr w:type="spellStart"/>
      <w:r w:rsidR="005F69B3" w:rsidRPr="005F69B3">
        <w:t>medikované</w:t>
      </w:r>
      <w:proofErr w:type="spellEnd"/>
      <w:r w:rsidR="005F69B3" w:rsidRPr="005F69B3">
        <w:t xml:space="preserve"> vody</w:t>
      </w:r>
      <w:r w:rsidR="005F69B3" w:rsidRPr="005F69B3" w:rsidDel="005F69B3">
        <w:t xml:space="preserve"> </w:t>
      </w:r>
      <w:r>
        <w:t>závisí na klinickém stavu zvířat. Pro dosažení správného dávkování se musí koncentrace veterinárního léčivého přípravku upravit odpovídajícím způsobem.</w:t>
      </w:r>
    </w:p>
    <w:p w14:paraId="29AEAC5A" w14:textId="77777777" w:rsidR="00DC7A71" w:rsidRPr="00F53D33" w:rsidRDefault="00DC7A71" w:rsidP="004D3A0A"/>
    <w:p w14:paraId="2D16AF8B" w14:textId="23AF26DB" w:rsidR="000D5705" w:rsidRPr="00F53D33" w:rsidRDefault="000D5705" w:rsidP="004D3A0A">
      <w:pPr>
        <w:ind w:left="567" w:hanging="567"/>
      </w:pPr>
      <w:r w:rsidRPr="00443B27">
        <w:rPr>
          <w:b/>
          <w:highlight w:val="lightGray"/>
        </w:rPr>
        <w:t>10.</w:t>
      </w:r>
      <w:r>
        <w:rPr>
          <w:b/>
        </w:rPr>
        <w:tab/>
      </w:r>
      <w:r>
        <w:rPr>
          <w:b/>
        </w:rPr>
        <w:tab/>
        <w:t>OCHRANNÁ</w:t>
      </w:r>
      <w:r w:rsidR="00597C0C">
        <w:rPr>
          <w:b/>
        </w:rPr>
        <w:t>(É)</w:t>
      </w:r>
      <w:r>
        <w:rPr>
          <w:b/>
        </w:rPr>
        <w:t xml:space="preserve"> </w:t>
      </w:r>
      <w:proofErr w:type="gramStart"/>
      <w:r>
        <w:rPr>
          <w:b/>
        </w:rPr>
        <w:t>LHŮTA</w:t>
      </w:r>
      <w:r w:rsidR="00597C0C">
        <w:rPr>
          <w:b/>
        </w:rPr>
        <w:t>(Y)</w:t>
      </w:r>
      <w:proofErr w:type="gramEnd"/>
    </w:p>
    <w:p w14:paraId="5A593FD6" w14:textId="77777777" w:rsidR="00DC7A71" w:rsidRDefault="00DC7A71" w:rsidP="004D3A0A">
      <w:pPr>
        <w:rPr>
          <w:szCs w:val="22"/>
          <w:lang w:bidi="ar-SA"/>
        </w:rPr>
      </w:pPr>
    </w:p>
    <w:p w14:paraId="2CF2D481" w14:textId="0EC3AD39" w:rsidR="00DC7A71" w:rsidRPr="000D0795" w:rsidRDefault="00BA4511" w:rsidP="00317B00">
      <w:pPr>
        <w:rPr>
          <w:szCs w:val="22"/>
        </w:rPr>
      </w:pPr>
      <w:r>
        <w:t>Prasata: Maso: 8 dnů</w:t>
      </w:r>
    </w:p>
    <w:p w14:paraId="7ACF1195" w14:textId="03D92619" w:rsidR="00DC7A71" w:rsidRDefault="0087549B" w:rsidP="00317B00">
      <w:pPr>
        <w:rPr>
          <w:szCs w:val="22"/>
        </w:rPr>
      </w:pPr>
      <w:r>
        <w:t>Kur domácí</w:t>
      </w:r>
      <w:r w:rsidR="00BA4511">
        <w:t>:</w:t>
      </w:r>
      <w:r w:rsidR="00317B00">
        <w:t xml:space="preserve"> </w:t>
      </w:r>
      <w:r w:rsidR="00BA4511">
        <w:t xml:space="preserve">Maso: 5 dnů </w:t>
      </w:r>
    </w:p>
    <w:p w14:paraId="2BFAD51C" w14:textId="77777777" w:rsidR="00430F60" w:rsidRDefault="00E15642" w:rsidP="004D3A0A">
      <w:pPr>
        <w:ind w:left="567" w:hanging="567"/>
      </w:pPr>
      <w:r w:rsidRPr="00E15642">
        <w:t>Nepoužívat u nosnic snášejících nebo určených ke snášce vajec pro lidskou spotřebu.</w:t>
      </w:r>
    </w:p>
    <w:p w14:paraId="2DAB6C88" w14:textId="77777777" w:rsidR="000D5705" w:rsidRDefault="000D5705" w:rsidP="004D3A0A">
      <w:pPr>
        <w:ind w:left="567" w:hanging="567"/>
        <w:rPr>
          <w:b/>
        </w:rPr>
      </w:pPr>
    </w:p>
    <w:p w14:paraId="246F5F92" w14:textId="77777777" w:rsidR="000D5705" w:rsidRPr="00F53D33" w:rsidRDefault="000D5705" w:rsidP="004D3A0A">
      <w:pPr>
        <w:ind w:left="567" w:hanging="567"/>
        <w:rPr>
          <w:szCs w:val="24"/>
        </w:rPr>
      </w:pPr>
      <w:r w:rsidRPr="00443B27">
        <w:rPr>
          <w:b/>
          <w:szCs w:val="24"/>
          <w:highlight w:val="lightGray"/>
        </w:rPr>
        <w:t>11.</w:t>
      </w:r>
      <w:r>
        <w:rPr>
          <w:b/>
          <w:szCs w:val="24"/>
        </w:rPr>
        <w:tab/>
      </w:r>
      <w:r>
        <w:rPr>
          <w:b/>
          <w:szCs w:val="24"/>
        </w:rPr>
        <w:tab/>
        <w:t>ZVLÁŠTNÍ OPATŘENÍ PRO UCHOVÁVÁNÍ</w:t>
      </w:r>
    </w:p>
    <w:p w14:paraId="5FB2266D" w14:textId="77777777" w:rsidR="00DC7A71" w:rsidRDefault="00DC7A71" w:rsidP="004D3A0A">
      <w:pPr>
        <w:ind w:right="-318"/>
      </w:pPr>
    </w:p>
    <w:p w14:paraId="5078FAE3" w14:textId="0AA02AA6" w:rsidR="00DC7A71" w:rsidRDefault="00DC7A71" w:rsidP="004D3A0A">
      <w:pPr>
        <w:ind w:right="-318"/>
      </w:pPr>
      <w:r>
        <w:t xml:space="preserve">Uchovávat mimo </w:t>
      </w:r>
      <w:r w:rsidR="00F14C81" w:rsidRPr="00443B27">
        <w:t xml:space="preserve">dohled a </w:t>
      </w:r>
      <w:r>
        <w:t>dosah dětí.</w:t>
      </w:r>
    </w:p>
    <w:p w14:paraId="4C3DC7C2" w14:textId="77777777" w:rsidR="00DC7A71" w:rsidRDefault="00DC7A71" w:rsidP="004D3A0A">
      <w:pPr>
        <w:rPr>
          <w:szCs w:val="22"/>
          <w:lang w:bidi="ar-SA"/>
        </w:rPr>
      </w:pPr>
    </w:p>
    <w:p w14:paraId="79252987" w14:textId="77777777" w:rsidR="00DC7A71" w:rsidRDefault="002546CC" w:rsidP="004D3A0A">
      <w:pPr>
        <w:rPr>
          <w:szCs w:val="22"/>
        </w:rPr>
      </w:pPr>
      <w:r>
        <w:t>Chraňte před mrazem.</w:t>
      </w:r>
    </w:p>
    <w:p w14:paraId="21B707E5" w14:textId="77777777" w:rsidR="00DC7A71" w:rsidRDefault="00DC7A71" w:rsidP="004D3A0A">
      <w:pPr>
        <w:numPr>
          <w:ilvl w:val="12"/>
          <w:numId w:val="0"/>
        </w:numPr>
        <w:rPr>
          <w:szCs w:val="22"/>
          <w:lang w:bidi="ar-SA"/>
        </w:rPr>
      </w:pPr>
    </w:p>
    <w:p w14:paraId="05B6ACBE" w14:textId="77777777" w:rsidR="00DC7A71" w:rsidRDefault="00DC7A71" w:rsidP="002110C4">
      <w:pPr>
        <w:numPr>
          <w:ilvl w:val="12"/>
          <w:numId w:val="0"/>
        </w:numPr>
        <w:rPr>
          <w:szCs w:val="22"/>
        </w:rPr>
      </w:pPr>
      <w:r>
        <w:t xml:space="preserve">Nepoužívejte tento veterinární léčivý přípravek po uplynutí doby použitelnosti uvedené na etiketě </w:t>
      </w:r>
      <w:r w:rsidR="002110C4">
        <w:t xml:space="preserve">po </w:t>
      </w:r>
      <w:r>
        <w:t xml:space="preserve">EXP. </w:t>
      </w:r>
    </w:p>
    <w:p w14:paraId="4C0DB29D" w14:textId="77777777" w:rsidR="00DC7A71" w:rsidRPr="00785CF1" w:rsidRDefault="00DC7A71" w:rsidP="002110C4">
      <w:pPr>
        <w:numPr>
          <w:ilvl w:val="12"/>
          <w:numId w:val="0"/>
        </w:numPr>
        <w:rPr>
          <w:szCs w:val="22"/>
        </w:rPr>
      </w:pPr>
      <w:r>
        <w:t xml:space="preserve">Doba použitelnosti </w:t>
      </w:r>
      <w:r w:rsidR="002110C4">
        <w:t>končí posledním dnem v uvedeném měsíci</w:t>
      </w:r>
      <w:r>
        <w:t>.</w:t>
      </w:r>
    </w:p>
    <w:p w14:paraId="448A16B7" w14:textId="155F8341" w:rsidR="00DC7A71" w:rsidRPr="00106FC6" w:rsidRDefault="00DC7A71" w:rsidP="004D3A0A">
      <w:pPr>
        <w:rPr>
          <w:szCs w:val="22"/>
        </w:rPr>
      </w:pPr>
      <w:r>
        <w:t xml:space="preserve">Doba použitelnosti po prvním otevření vnitřního obalu: 1 </w:t>
      </w:r>
      <w:r w:rsidR="00A41E9D">
        <w:t>rok</w:t>
      </w:r>
      <w:r>
        <w:t>.</w:t>
      </w:r>
    </w:p>
    <w:p w14:paraId="0096309E" w14:textId="77777777" w:rsidR="00DC7A71" w:rsidRPr="00106FC6" w:rsidRDefault="00DC7A71" w:rsidP="002110C4">
      <w:pPr>
        <w:rPr>
          <w:szCs w:val="22"/>
        </w:rPr>
      </w:pPr>
      <w:r>
        <w:t xml:space="preserve">Doba použitelnosti po </w:t>
      </w:r>
      <w:r w:rsidR="002110C4">
        <w:t xml:space="preserve">rozpuštění </w:t>
      </w:r>
      <w:r>
        <w:t xml:space="preserve">nebo rekonstituci podle </w:t>
      </w:r>
      <w:r w:rsidR="002110C4">
        <w:t>návodu</w:t>
      </w:r>
      <w:r>
        <w:t>: 24 hodin.</w:t>
      </w:r>
    </w:p>
    <w:p w14:paraId="1CD3D17A" w14:textId="77777777" w:rsidR="000D5705" w:rsidRDefault="000D5705" w:rsidP="004D3A0A">
      <w:pPr>
        <w:rPr>
          <w:szCs w:val="24"/>
        </w:rPr>
      </w:pPr>
    </w:p>
    <w:p w14:paraId="0517F204" w14:textId="77777777" w:rsidR="000D5705" w:rsidRDefault="000D5705" w:rsidP="004D3A0A">
      <w:pPr>
        <w:ind w:left="567" w:hanging="567"/>
        <w:rPr>
          <w:b/>
        </w:rPr>
      </w:pPr>
      <w:r w:rsidRPr="00443B27">
        <w:rPr>
          <w:b/>
          <w:highlight w:val="lightGray"/>
        </w:rPr>
        <w:t>12.</w:t>
      </w:r>
      <w:r>
        <w:rPr>
          <w:b/>
        </w:rPr>
        <w:tab/>
      </w:r>
      <w:r>
        <w:rPr>
          <w:b/>
        </w:rPr>
        <w:tab/>
        <w:t>ZVLÁŠTNÍ UPOZORNĚNÍ</w:t>
      </w:r>
    </w:p>
    <w:p w14:paraId="02AC4761" w14:textId="77777777" w:rsidR="00DC7A71" w:rsidRPr="00F53D33" w:rsidRDefault="00DC7A71" w:rsidP="004D3A0A">
      <w:pPr>
        <w:ind w:left="567" w:hanging="567"/>
        <w:rPr>
          <w:b/>
        </w:rPr>
      </w:pPr>
    </w:p>
    <w:p w14:paraId="263B0DBF" w14:textId="77777777" w:rsidR="00DC7A71" w:rsidRPr="000D0795" w:rsidRDefault="00DC7A71" w:rsidP="004D3A0A">
      <w:pPr>
        <w:keepNext/>
        <w:keepLines/>
        <w:rPr>
          <w:szCs w:val="22"/>
          <w:u w:val="single"/>
        </w:rPr>
      </w:pPr>
      <w:r>
        <w:rPr>
          <w:u w:val="single"/>
        </w:rPr>
        <w:t>Zvláštní upozornění pro každý cílový druh</w:t>
      </w:r>
      <w:r>
        <w:t>:</w:t>
      </w:r>
    </w:p>
    <w:p w14:paraId="428B2EBE" w14:textId="209600F6" w:rsidR="002546CC" w:rsidRPr="002546CC" w:rsidRDefault="00E06F45" w:rsidP="00B74DA1">
      <w:pPr>
        <w:jc w:val="both"/>
        <w:rPr>
          <w:szCs w:val="22"/>
        </w:rPr>
      </w:pPr>
      <w:r>
        <w:t xml:space="preserve">U zvířat se závažným onemocněním může docházet ke snížení příjmu krmiva i spotřeby vody. Je-li to nezbytné, měla by být koncentrace </w:t>
      </w:r>
      <w:r w:rsidR="00B150DE">
        <w:t>veterinárního léčivého přípravku</w:t>
      </w:r>
      <w:r>
        <w:t xml:space="preserve"> v pitné vodě upravena tak, aby se zajistilo spotřebování doporučené dávky. </w:t>
      </w:r>
      <w:r w:rsidR="002546CC">
        <w:t xml:space="preserve">Pokud se však koncentrace přípravku zvýší nadměrně, příjem </w:t>
      </w:r>
      <w:proofErr w:type="spellStart"/>
      <w:r w:rsidR="002546CC">
        <w:t>medikované</w:t>
      </w:r>
      <w:proofErr w:type="spellEnd"/>
      <w:r w:rsidR="002546CC">
        <w:t xml:space="preserve"> pitné vody klesá kvůli </w:t>
      </w:r>
      <w:r w:rsidR="00B150DE">
        <w:t xml:space="preserve">snížené </w:t>
      </w:r>
      <w:r w:rsidR="002546CC">
        <w:t xml:space="preserve">chutnosti. Proto je zapotřebí pravidelně sledovat příjem vody, zvláště u brojlerů. </w:t>
      </w:r>
    </w:p>
    <w:p w14:paraId="708D19C2" w14:textId="77777777" w:rsidR="00DC7A71" w:rsidRDefault="002546CC" w:rsidP="00B74DA1">
      <w:pPr>
        <w:jc w:val="both"/>
      </w:pPr>
      <w:r>
        <w:t>V případě nedostatečného příjmu vody je nutné prasata léčit parenterálně.</w:t>
      </w:r>
    </w:p>
    <w:p w14:paraId="70220AD4" w14:textId="77777777" w:rsidR="00DC7A71" w:rsidRDefault="00DC7A71" w:rsidP="00B74DA1">
      <w:pPr>
        <w:keepNext/>
        <w:keepLines/>
        <w:jc w:val="both"/>
        <w:rPr>
          <w:szCs w:val="22"/>
          <w:u w:val="single"/>
          <w:lang w:bidi="ar-SA"/>
        </w:rPr>
      </w:pPr>
    </w:p>
    <w:p w14:paraId="650661D2" w14:textId="77777777" w:rsidR="00DC7A71" w:rsidRPr="000D0795" w:rsidRDefault="00DC7A71" w:rsidP="004D3A0A">
      <w:pPr>
        <w:keepNext/>
        <w:keepLines/>
        <w:rPr>
          <w:szCs w:val="22"/>
          <w:u w:val="single"/>
        </w:rPr>
      </w:pPr>
      <w:r>
        <w:rPr>
          <w:u w:val="single"/>
        </w:rPr>
        <w:t>Zvláštní opatření pro použití u zvířat</w:t>
      </w:r>
      <w:r>
        <w:t>:</w:t>
      </w:r>
    </w:p>
    <w:p w14:paraId="014BC9F5" w14:textId="4E3F8B60" w:rsidR="00E06F45" w:rsidRPr="00E811C3" w:rsidRDefault="00E06F45" w:rsidP="00B74DA1">
      <w:pPr>
        <w:jc w:val="both"/>
        <w:rPr>
          <w:szCs w:val="22"/>
        </w:rPr>
      </w:pPr>
      <w:r>
        <w:t xml:space="preserve">Vzhledem k pravděpodobné variabilitě (časové, zeměpisné) v citlivosti bakterií </w:t>
      </w:r>
      <w:r w:rsidR="006E391A">
        <w:t xml:space="preserve">k </w:t>
      </w:r>
      <w:r>
        <w:t>potencovan</w:t>
      </w:r>
      <w:r w:rsidR="006E391A">
        <w:t>ým</w:t>
      </w:r>
      <w:r>
        <w:t xml:space="preserve"> sulfonamid</w:t>
      </w:r>
      <w:r w:rsidR="006E391A">
        <w:t>ům</w:t>
      </w:r>
      <w:r>
        <w:t xml:space="preserve">, se výskyt rezistence bakterií může lišit v různých zemích a dokonce i na jednotlivých farmách, a proto se doporučuje provést odběr vzorků na bakteriologické vyšetření a stanovení citlivosti. Použití přípravku by mělo být založeno na kultivaci a výsledcích stanovení citlivosti mikroorganismů pocházejících z případů výskytu onemocnění na farmě nebo na nedávné předchozí zkušenosti s onemocněním na farmě. Použití, které je v rozporu s pokyny, může zvýšit prevalenci bakterií rezistentních </w:t>
      </w:r>
      <w:r w:rsidR="00854048">
        <w:t xml:space="preserve">na </w:t>
      </w:r>
      <w:proofErr w:type="spellStart"/>
      <w:r>
        <w:t>sulfamethoxazol</w:t>
      </w:r>
      <w:proofErr w:type="spellEnd"/>
      <w:r>
        <w:t xml:space="preserve"> a </w:t>
      </w:r>
      <w:proofErr w:type="spellStart"/>
      <w:r>
        <w:t>trimethoprim</w:t>
      </w:r>
      <w:proofErr w:type="spellEnd"/>
      <w:r>
        <w:t xml:space="preserve"> a může také snížit účinnost kombinace </w:t>
      </w:r>
      <w:proofErr w:type="spellStart"/>
      <w:r>
        <w:t>trimethoprimu</w:t>
      </w:r>
      <w:proofErr w:type="spellEnd"/>
      <w:r>
        <w:t xml:space="preserve"> s jinými sulfonamidy vzhledem k možnosti zkřížené rezistence. Při použití přípravku je nutno vzít v úvahu celostátní a místní pravidla antibiotické politiky.</w:t>
      </w:r>
    </w:p>
    <w:p w14:paraId="790D0795" w14:textId="77777777" w:rsidR="00DC7A71" w:rsidRPr="000D0795" w:rsidRDefault="00DC7A71" w:rsidP="004D3A0A">
      <w:pPr>
        <w:rPr>
          <w:szCs w:val="22"/>
          <w:lang w:bidi="ar-SA"/>
        </w:rPr>
      </w:pPr>
    </w:p>
    <w:p w14:paraId="03E8DAFD" w14:textId="77777777" w:rsidR="00DC7A71" w:rsidRPr="000D0795" w:rsidRDefault="00DC7A71" w:rsidP="004D3A0A">
      <w:pPr>
        <w:keepNext/>
        <w:keepLines/>
        <w:rPr>
          <w:szCs w:val="22"/>
          <w:u w:val="single"/>
        </w:rPr>
      </w:pPr>
      <w:r>
        <w:rPr>
          <w:szCs w:val="22"/>
          <w:u w:val="single"/>
        </w:rPr>
        <w:lastRenderedPageBreak/>
        <w:t>Zvláštní opatření určené osobám, které podávají veterinární léčivý přípravek zvířatům</w:t>
      </w:r>
      <w:r>
        <w:t>:</w:t>
      </w:r>
    </w:p>
    <w:p w14:paraId="53FD581C" w14:textId="77777777" w:rsidR="00775F1C" w:rsidRDefault="00775F1C" w:rsidP="00B74DA1">
      <w:pPr>
        <w:keepNext/>
        <w:keepLines/>
        <w:jc w:val="both"/>
      </w:pPr>
      <w:r>
        <w:t>Sulfonamidy mohou po injekci, inhalaci, požití nebo kontaktu s kůží vyvolat přecitlivělost (alergii). Přecitlivělost na sulfonamidy může vést ke zkříženým reakcím s jinými antibiotiky. Alergické reakce na tyto látky mohou být v některých případech vážné.</w:t>
      </w:r>
    </w:p>
    <w:p w14:paraId="392A1AA4" w14:textId="77777777" w:rsidR="00775F1C" w:rsidRDefault="00775F1C" w:rsidP="00B74DA1">
      <w:pPr>
        <w:keepNext/>
        <w:keepLines/>
        <w:jc w:val="both"/>
      </w:pPr>
      <w:r>
        <w:t xml:space="preserve">Nemanipulujte s přípravkem, pokud víte, že jste přecitlivělí na sulfonamidy. </w:t>
      </w:r>
    </w:p>
    <w:p w14:paraId="1F4CD1B5" w14:textId="584FEEC5" w:rsidR="00775F1C" w:rsidRDefault="00775F1C" w:rsidP="00B74DA1">
      <w:pPr>
        <w:keepNext/>
        <w:keepLines/>
        <w:jc w:val="both"/>
      </w:pPr>
      <w:r>
        <w:t xml:space="preserve">Pokud se </w:t>
      </w:r>
      <w:r w:rsidR="009B0B9F">
        <w:t xml:space="preserve">u vás objeví </w:t>
      </w:r>
      <w:proofErr w:type="spellStart"/>
      <w:r w:rsidR="009B0B9F">
        <w:t>postexpoziční</w:t>
      </w:r>
      <w:proofErr w:type="spellEnd"/>
      <w:r w:rsidR="009B0B9F">
        <w:t xml:space="preserve"> </w:t>
      </w:r>
      <w:proofErr w:type="spellStart"/>
      <w:r w:rsidR="009B0B9F">
        <w:t>přípznaky</w:t>
      </w:r>
      <w:proofErr w:type="spellEnd"/>
      <w:r w:rsidR="009B0B9F">
        <w:t xml:space="preserve">, </w:t>
      </w:r>
      <w:r>
        <w:t xml:space="preserve">jako </w:t>
      </w:r>
      <w:proofErr w:type="spellStart"/>
      <w:proofErr w:type="gramStart"/>
      <w:r>
        <w:t>např</w:t>
      </w:r>
      <w:r w:rsidR="009B0B9F">
        <w:t>.</w:t>
      </w:r>
      <w:r>
        <w:t>kožní</w:t>
      </w:r>
      <w:proofErr w:type="spellEnd"/>
      <w:proofErr w:type="gramEnd"/>
      <w:r>
        <w:t xml:space="preserve"> vyrážka, vyhledejte lékařskou pomoc </w:t>
      </w:r>
      <w:r>
        <w:br/>
        <w:t>a ukažte lékaři toto upozornění.</w:t>
      </w:r>
    </w:p>
    <w:p w14:paraId="01606676" w14:textId="62AA2A75" w:rsidR="00E15642" w:rsidRDefault="00E15642" w:rsidP="00E15642">
      <w:pPr>
        <w:jc w:val="both"/>
      </w:pPr>
      <w:r>
        <w:t>Pomocná látka N-</w:t>
      </w:r>
      <w:proofErr w:type="spellStart"/>
      <w:r>
        <w:t>methylpyrrolidon</w:t>
      </w:r>
      <w:proofErr w:type="spellEnd"/>
      <w:r>
        <w:t xml:space="preserve"> (NMP) může poškodit nenarozené děti; ženy v plodném věku proto musí být při podávání přípravku velmi opatrné, aby se zabránilo expozici </w:t>
      </w:r>
      <w:r w:rsidR="009B0B9F">
        <w:t xml:space="preserve">potřísněním </w:t>
      </w:r>
      <w:r>
        <w:t>kůž</w:t>
      </w:r>
      <w:r w:rsidR="009B0B9F">
        <w:t>e</w:t>
      </w:r>
      <w:r>
        <w:t>. Pokud jste těhotná, myslíte si, že byste mohla být těhotná nebo se snažíte otěhotnět, neměl</w:t>
      </w:r>
      <w:r w:rsidR="009B0B9F">
        <w:t>a</w:t>
      </w:r>
      <w:r>
        <w:t xml:space="preserve"> byste přípravek podávat.</w:t>
      </w:r>
    </w:p>
    <w:p w14:paraId="4669C033" w14:textId="6AA7E376" w:rsidR="00E15642" w:rsidRDefault="00E15642" w:rsidP="00E15642">
      <w:pPr>
        <w:jc w:val="both"/>
      </w:pPr>
      <w:r>
        <w:t>Tento p</w:t>
      </w:r>
      <w:r w:rsidR="009B0B9F">
        <w:t>řípravek</w:t>
      </w:r>
      <w:r>
        <w:t xml:space="preserve"> může </w:t>
      </w:r>
      <w:r w:rsidR="001066F4">
        <w:t>vyvolat</w:t>
      </w:r>
      <w:r>
        <w:t xml:space="preserve"> podráždění kůže a dýchacích cest a také poškození očí. </w:t>
      </w:r>
    </w:p>
    <w:p w14:paraId="10398B30" w14:textId="5FC8D0C4" w:rsidR="00775F1C" w:rsidRDefault="00775F1C" w:rsidP="00E15642">
      <w:pPr>
        <w:jc w:val="both"/>
      </w:pPr>
      <w:r>
        <w:t>Při nakládání s veterinárním léčivým přípravkem používejte nepropustné rukavice například gumové nebo latexové a ochranné brýle</w:t>
      </w:r>
      <w:r w:rsidR="00E15642" w:rsidRPr="00E15642">
        <w:t>, včetně míchání p</w:t>
      </w:r>
      <w:r w:rsidR="001066F4">
        <w:t>řípravku</w:t>
      </w:r>
      <w:r w:rsidR="00E15642" w:rsidRPr="00E15642">
        <w:t xml:space="preserve"> s pitnou vodou. </w:t>
      </w:r>
      <w:r w:rsidR="001066F4">
        <w:t>Zabraňte</w:t>
      </w:r>
      <w:r w:rsidR="00E15642" w:rsidRPr="00E15642">
        <w:t xml:space="preserve"> vdechování</w:t>
      </w:r>
      <w:r w:rsidR="001066F4">
        <w:t xml:space="preserve"> přípravku</w:t>
      </w:r>
      <w:r>
        <w:t>. V</w:t>
      </w:r>
      <w:r w:rsidR="001066F4">
        <w:t> </w:t>
      </w:r>
      <w:r>
        <w:t>případě vniknutí do očí je vyplachujte velkým množstvím čisté vody a dojde-li k podráždění, vyhledejte lékařskou pomoc. V případě náhodného po</w:t>
      </w:r>
      <w:r w:rsidR="001066F4">
        <w:t>žití</w:t>
      </w:r>
      <w:r>
        <w:t xml:space="preserve"> vyhledejte lékařskou pomoc. </w:t>
      </w:r>
    </w:p>
    <w:p w14:paraId="13495AE5" w14:textId="35FDE6CA" w:rsidR="00DC7A71" w:rsidRPr="000D0795" w:rsidRDefault="00775F1C" w:rsidP="00B74DA1">
      <w:pPr>
        <w:jc w:val="both"/>
        <w:rPr>
          <w:szCs w:val="22"/>
        </w:rPr>
      </w:pPr>
      <w:r>
        <w:t xml:space="preserve">Po manipulaci s přípravkem si </w:t>
      </w:r>
      <w:r w:rsidR="001066F4">
        <w:t>ihned</w:t>
      </w:r>
      <w:r>
        <w:t xml:space="preserve"> umyjte ruce a potřísněnou kůži.</w:t>
      </w:r>
      <w:r w:rsidR="002546CC">
        <w:t xml:space="preserve"> </w:t>
      </w:r>
    </w:p>
    <w:p w14:paraId="0030D17F" w14:textId="77777777" w:rsidR="00DC7A71" w:rsidRPr="000D0795" w:rsidRDefault="00DC7A71" w:rsidP="004D3A0A">
      <w:pPr>
        <w:rPr>
          <w:i/>
          <w:szCs w:val="22"/>
          <w:lang w:bidi="ar-SA"/>
        </w:rPr>
      </w:pPr>
    </w:p>
    <w:p w14:paraId="6BE1A17E" w14:textId="1E812E32" w:rsidR="00DC7A71" w:rsidRPr="000D0795" w:rsidRDefault="00E15642" w:rsidP="004D3A0A">
      <w:pPr>
        <w:keepNext/>
        <w:keepLines/>
        <w:rPr>
          <w:szCs w:val="22"/>
          <w:u w:val="single"/>
        </w:rPr>
      </w:pPr>
      <w:r>
        <w:rPr>
          <w:u w:val="single"/>
        </w:rPr>
        <w:t>B</w:t>
      </w:r>
      <w:r w:rsidR="00AB15E2">
        <w:rPr>
          <w:u w:val="single"/>
        </w:rPr>
        <w:t>řezost, laktace</w:t>
      </w:r>
      <w:r w:rsidR="00DC7A71">
        <w:rPr>
          <w:u w:val="single"/>
        </w:rPr>
        <w:t xml:space="preserve"> nebo snášk</w:t>
      </w:r>
      <w:r w:rsidR="002C3EEA">
        <w:rPr>
          <w:u w:val="single"/>
        </w:rPr>
        <w:t>a</w:t>
      </w:r>
      <w:r w:rsidR="00DC7A71">
        <w:t>:</w:t>
      </w:r>
      <w:bookmarkStart w:id="0" w:name="_GoBack"/>
      <w:bookmarkEnd w:id="0"/>
    </w:p>
    <w:p w14:paraId="49FD4CFF" w14:textId="4FAEB6F2" w:rsidR="00DC7A71" w:rsidRPr="000D0795" w:rsidRDefault="00F066E0" w:rsidP="00C20EA3">
      <w:pPr>
        <w:rPr>
          <w:szCs w:val="22"/>
        </w:rPr>
      </w:pPr>
      <w:r>
        <w:t>B</w:t>
      </w:r>
      <w:r w:rsidR="002546CC">
        <w:t>ezpečnost veterinárního léčivého přípravku pro použití během březosti, laktace nebo snášky</w:t>
      </w:r>
      <w:r w:rsidRPr="00F066E0">
        <w:t xml:space="preserve"> </w:t>
      </w:r>
      <w:r>
        <w:t>nebyla stanovena</w:t>
      </w:r>
      <w:r w:rsidR="002546CC">
        <w:t xml:space="preserve">. </w:t>
      </w:r>
    </w:p>
    <w:p w14:paraId="157F9BFF" w14:textId="77777777" w:rsidR="00DC7A71" w:rsidRDefault="00DC7A71" w:rsidP="004D3A0A">
      <w:pPr>
        <w:keepNext/>
        <w:keepLines/>
        <w:rPr>
          <w:b/>
          <w:szCs w:val="22"/>
          <w:lang w:bidi="ar-SA"/>
        </w:rPr>
      </w:pPr>
    </w:p>
    <w:p w14:paraId="5B903271" w14:textId="77777777" w:rsidR="00DC7A71" w:rsidRPr="000D0795" w:rsidRDefault="00DC7A71" w:rsidP="004D3A0A">
      <w:pPr>
        <w:keepNext/>
        <w:keepLines/>
        <w:rPr>
          <w:szCs w:val="22"/>
          <w:u w:val="single"/>
        </w:rPr>
      </w:pPr>
      <w:r>
        <w:rPr>
          <w:szCs w:val="22"/>
          <w:u w:val="single"/>
        </w:rPr>
        <w:t>Interakce s dalšími léčivými přípravky a další formy interakce</w:t>
      </w:r>
      <w:r>
        <w:t>:</w:t>
      </w:r>
    </w:p>
    <w:p w14:paraId="45EC0AB8" w14:textId="2F3C0A05" w:rsidR="00DC7A71" w:rsidRDefault="003841F9" w:rsidP="004D3A0A">
      <w:pPr>
        <w:rPr>
          <w:szCs w:val="22"/>
        </w:rPr>
      </w:pPr>
      <w:r>
        <w:t xml:space="preserve">Nepoužívejte současně </w:t>
      </w:r>
      <w:r w:rsidR="002546CC">
        <w:t>s jinými veterinárními léčivými přípravky.</w:t>
      </w:r>
    </w:p>
    <w:p w14:paraId="0B63FD61" w14:textId="77777777" w:rsidR="00BA4511" w:rsidRPr="000D0795" w:rsidRDefault="00BA4511" w:rsidP="004D3A0A">
      <w:pPr>
        <w:rPr>
          <w:szCs w:val="22"/>
          <w:lang w:bidi="ar-SA"/>
        </w:rPr>
      </w:pPr>
    </w:p>
    <w:p w14:paraId="15FC1F20" w14:textId="77777777" w:rsidR="00DC7A71" w:rsidRPr="000D0795" w:rsidRDefault="00DC7A71" w:rsidP="004D3A0A">
      <w:pPr>
        <w:keepNext/>
        <w:keepLines/>
        <w:rPr>
          <w:szCs w:val="22"/>
          <w:u w:val="single"/>
        </w:rPr>
      </w:pPr>
      <w:r>
        <w:rPr>
          <w:szCs w:val="22"/>
          <w:u w:val="single"/>
        </w:rPr>
        <w:t xml:space="preserve">Předávkování (symptomy, první pomoc, </w:t>
      </w:r>
      <w:proofErr w:type="spellStart"/>
      <w:r>
        <w:rPr>
          <w:szCs w:val="22"/>
          <w:u w:val="single"/>
        </w:rPr>
        <w:t>antidota</w:t>
      </w:r>
      <w:proofErr w:type="spellEnd"/>
      <w:r>
        <w:rPr>
          <w:szCs w:val="22"/>
          <w:u w:val="single"/>
        </w:rPr>
        <w:t>)</w:t>
      </w:r>
      <w:r>
        <w:t>:</w:t>
      </w:r>
    </w:p>
    <w:p w14:paraId="0442BA89" w14:textId="489B3AEE" w:rsidR="00DC7A71" w:rsidRDefault="00EB1F60" w:rsidP="00B74DA1">
      <w:pPr>
        <w:keepNext/>
        <w:keepLines/>
        <w:jc w:val="both"/>
        <w:rPr>
          <w:b/>
          <w:szCs w:val="22"/>
        </w:rPr>
      </w:pPr>
      <w:r w:rsidRPr="00EB1F60">
        <w:rPr>
          <w:lang w:eastAsia="cs-CZ" w:bidi="cs-CZ"/>
        </w:rPr>
        <w:t>U brojlerů není akutní předávkování pravděpodobné z důvodu odmítání silně koncentrované pitné vody zvířaty</w:t>
      </w:r>
      <w:r w:rsidR="00BA4511" w:rsidRPr="00EB1F60">
        <w:t xml:space="preserve"> (při koncentraci 2 litry veterinárního léčivého přípravku na 1</w:t>
      </w:r>
      <w:r w:rsidR="00B150DE" w:rsidRPr="00EB1F60">
        <w:t xml:space="preserve"> </w:t>
      </w:r>
      <w:r w:rsidR="00BA4511" w:rsidRPr="00EB1F60">
        <w:t xml:space="preserve">000 litrů pitné vody má příliš hořkou chuť). Chronické předávkování u </w:t>
      </w:r>
      <w:r w:rsidR="003841F9" w:rsidRPr="00EB1F60">
        <w:t xml:space="preserve">brojlerů </w:t>
      </w:r>
      <w:r w:rsidR="00BA4511" w:rsidRPr="00EB1F60">
        <w:t>bude mít za následek silně snížený příjem vody</w:t>
      </w:r>
      <w:r w:rsidR="003841F9" w:rsidRPr="00EB1F60">
        <w:t>, krmiva a zpomalený</w:t>
      </w:r>
      <w:r w:rsidR="00B74DA1" w:rsidRPr="00EB1F60">
        <w:t xml:space="preserve"> </w:t>
      </w:r>
      <w:r w:rsidR="003841F9" w:rsidRPr="00EB1F60">
        <w:t>růst</w:t>
      </w:r>
      <w:r w:rsidR="00B150DE" w:rsidRPr="00EB1F60">
        <w:t>.</w:t>
      </w:r>
      <w:r w:rsidR="00BA4511">
        <w:t xml:space="preserve"> </w:t>
      </w:r>
    </w:p>
    <w:p w14:paraId="0EFADE2F" w14:textId="77777777" w:rsidR="00082E02" w:rsidRDefault="00082E02" w:rsidP="00B74DA1">
      <w:pPr>
        <w:keepNext/>
        <w:keepLines/>
        <w:jc w:val="both"/>
        <w:rPr>
          <w:u w:val="single"/>
        </w:rPr>
      </w:pPr>
    </w:p>
    <w:p w14:paraId="492A5E55" w14:textId="77777777" w:rsidR="00DC7A71" w:rsidRPr="000D0795" w:rsidRDefault="00DC7A71" w:rsidP="004D3A0A">
      <w:pPr>
        <w:keepNext/>
        <w:keepLines/>
        <w:rPr>
          <w:szCs w:val="22"/>
          <w:u w:val="single"/>
        </w:rPr>
      </w:pPr>
      <w:r>
        <w:rPr>
          <w:u w:val="single"/>
        </w:rPr>
        <w:t>Inkompatibility</w:t>
      </w:r>
      <w:r>
        <w:t>:</w:t>
      </w:r>
    </w:p>
    <w:p w14:paraId="7971B1A0" w14:textId="77777777" w:rsidR="00DC7A71" w:rsidRPr="000D0795" w:rsidRDefault="00295A36" w:rsidP="00082E02">
      <w:pPr>
        <w:rPr>
          <w:szCs w:val="22"/>
        </w:rPr>
      </w:pPr>
      <w:r>
        <w:t xml:space="preserve">Studie kompatibility nejsou k dispozici, a proto tento veterinární léčivý přípravek nesmí být </w:t>
      </w:r>
      <w:r w:rsidR="00082E02" w:rsidRPr="00F75554">
        <w:t>mísen s žádnými dalšími</w:t>
      </w:r>
      <w:r>
        <w:t xml:space="preserve"> veterinárními léčivými přípravky.</w:t>
      </w:r>
    </w:p>
    <w:p w14:paraId="19B843A9" w14:textId="77777777" w:rsidR="000D5705" w:rsidRPr="00F53D33" w:rsidRDefault="000D5705" w:rsidP="004D3A0A"/>
    <w:p w14:paraId="4D0859AC" w14:textId="2565FAE2" w:rsidR="000D5705" w:rsidRPr="00F53D33" w:rsidRDefault="000D5705" w:rsidP="004D3A0A">
      <w:pPr>
        <w:ind w:left="720" w:hanging="720"/>
        <w:rPr>
          <w:b/>
        </w:rPr>
      </w:pPr>
      <w:r w:rsidRPr="00443B27">
        <w:rPr>
          <w:b/>
          <w:highlight w:val="lightGray"/>
        </w:rPr>
        <w:t>13.</w:t>
      </w:r>
      <w:r>
        <w:rPr>
          <w:b/>
        </w:rPr>
        <w:tab/>
        <w:t xml:space="preserve">ZVLÁŠTNÍ OPATŘENÍ PRO ZNEŠKODŇOVÁNÍ </w:t>
      </w:r>
      <w:r w:rsidR="00372851">
        <w:rPr>
          <w:b/>
        </w:rPr>
        <w:t xml:space="preserve">NEPOUŽITÝCH PŘÍPRAVKŮ </w:t>
      </w:r>
      <w:r>
        <w:rPr>
          <w:b/>
        </w:rPr>
        <w:t>NEBO ODPADU, POKUD JE JICH TŘEBA</w:t>
      </w:r>
    </w:p>
    <w:p w14:paraId="54650CED" w14:textId="77777777" w:rsidR="00F27716" w:rsidRDefault="00F27716" w:rsidP="004D3A0A">
      <w:pPr>
        <w:rPr>
          <w:szCs w:val="24"/>
        </w:rPr>
      </w:pPr>
    </w:p>
    <w:p w14:paraId="43ADBA16" w14:textId="149B0F62" w:rsidR="000D5705" w:rsidRPr="00F53D33" w:rsidRDefault="000D5705" w:rsidP="00082E02">
      <w:pPr>
        <w:rPr>
          <w:szCs w:val="24"/>
        </w:rPr>
      </w:pPr>
      <w:r>
        <w:t>Všechen nepoužitý veterinární léčivý přípravek nebo odpad, který pochází z </w:t>
      </w:r>
      <w:r w:rsidR="00082E02" w:rsidRPr="00F75554">
        <w:t>tohoto přípravku</w:t>
      </w:r>
      <w:r>
        <w:t xml:space="preserve">, musí být likvidován podle místních právních předpisů. </w:t>
      </w:r>
    </w:p>
    <w:p w14:paraId="7AC8BD99" w14:textId="77777777" w:rsidR="000D5705" w:rsidRPr="00F53D33" w:rsidRDefault="000D5705" w:rsidP="004D3A0A">
      <w:pPr>
        <w:ind w:right="-318"/>
      </w:pPr>
    </w:p>
    <w:p w14:paraId="021E8E19" w14:textId="77777777" w:rsidR="000D5705" w:rsidRPr="00F53D33" w:rsidRDefault="000D5705" w:rsidP="004D3A0A">
      <w:pPr>
        <w:ind w:left="567" w:hanging="567"/>
      </w:pPr>
      <w:r w:rsidRPr="00443B27">
        <w:rPr>
          <w:b/>
          <w:highlight w:val="lightGray"/>
        </w:rPr>
        <w:t>14.</w:t>
      </w:r>
      <w:r>
        <w:rPr>
          <w:b/>
        </w:rPr>
        <w:tab/>
      </w:r>
      <w:r>
        <w:rPr>
          <w:b/>
        </w:rPr>
        <w:tab/>
        <w:t>DATUM POSLEDNÍ REVIZE PŘÍBALOVÉ INFORMACE</w:t>
      </w:r>
    </w:p>
    <w:p w14:paraId="693DFDC4" w14:textId="77777777" w:rsidR="00F27716" w:rsidRDefault="00F27716" w:rsidP="004D3A0A">
      <w:pPr>
        <w:ind w:right="-318"/>
        <w:rPr>
          <w:szCs w:val="24"/>
        </w:rPr>
      </w:pPr>
    </w:p>
    <w:p w14:paraId="0A3D3A40" w14:textId="7451D930" w:rsidR="000D5705" w:rsidRPr="00F53D33" w:rsidRDefault="009A11B8" w:rsidP="004D3A0A">
      <w:pPr>
        <w:ind w:right="-318"/>
        <w:rPr>
          <w:szCs w:val="24"/>
        </w:rPr>
      </w:pPr>
      <w:r>
        <w:t>Květen 2021</w:t>
      </w:r>
    </w:p>
    <w:p w14:paraId="69F05EE5" w14:textId="77777777" w:rsidR="00F27716" w:rsidRDefault="00F27716" w:rsidP="004D3A0A">
      <w:pPr>
        <w:ind w:left="567" w:hanging="567"/>
        <w:rPr>
          <w:b/>
        </w:rPr>
      </w:pPr>
    </w:p>
    <w:p w14:paraId="4575797E" w14:textId="77777777" w:rsidR="000D5705" w:rsidRPr="00F53D33" w:rsidRDefault="000D5705" w:rsidP="004D3A0A">
      <w:pPr>
        <w:ind w:left="567" w:hanging="567"/>
      </w:pPr>
      <w:r w:rsidRPr="00443B27">
        <w:rPr>
          <w:b/>
          <w:highlight w:val="lightGray"/>
        </w:rPr>
        <w:t>15.</w:t>
      </w:r>
      <w:r>
        <w:rPr>
          <w:b/>
        </w:rPr>
        <w:tab/>
      </w:r>
      <w:r>
        <w:rPr>
          <w:b/>
        </w:rPr>
        <w:tab/>
        <w:t>DALŠÍ INFORMACE</w:t>
      </w:r>
    </w:p>
    <w:p w14:paraId="46C2ABBE" w14:textId="77777777" w:rsidR="00F27716" w:rsidRDefault="00F27716" w:rsidP="004D3A0A"/>
    <w:p w14:paraId="42545D98" w14:textId="51019686" w:rsidR="009A11B8" w:rsidRDefault="009A11B8" w:rsidP="004D3A0A">
      <w:r>
        <w:t>Pouze pro zvířata.</w:t>
      </w:r>
    </w:p>
    <w:p w14:paraId="00B59429" w14:textId="6F02DBBE" w:rsidR="009A11B8" w:rsidRDefault="009A11B8" w:rsidP="004D3A0A">
      <w:r>
        <w:t>Veterinární léčivý přípravek je vydáván pouze na předpis.</w:t>
      </w:r>
    </w:p>
    <w:p w14:paraId="135BC2FF" w14:textId="77777777" w:rsidR="009A11B8" w:rsidRDefault="009A11B8" w:rsidP="004D3A0A"/>
    <w:p w14:paraId="3543711D" w14:textId="77777777" w:rsidR="000D5705" w:rsidRPr="00F53D33" w:rsidRDefault="000D5705" w:rsidP="004D3A0A">
      <w:r>
        <w:t>Velikost balení: 1 litr a 5 litrů</w:t>
      </w:r>
    </w:p>
    <w:p w14:paraId="77573E3F" w14:textId="77777777" w:rsidR="000D5705" w:rsidRDefault="000D5705" w:rsidP="004D3A0A">
      <w:r>
        <w:t>Na trhu nemusí být všechny velikosti balení.</w:t>
      </w:r>
    </w:p>
    <w:p w14:paraId="0E083D3E" w14:textId="77777777" w:rsidR="00B150DE" w:rsidRDefault="00B150DE" w:rsidP="004D3A0A"/>
    <w:p w14:paraId="5308339E" w14:textId="77777777" w:rsidR="00B150DE" w:rsidRPr="000C3692" w:rsidRDefault="00B150DE" w:rsidP="00B150DE">
      <w:pPr>
        <w:rPr>
          <w:szCs w:val="22"/>
        </w:rPr>
      </w:pPr>
      <w:r w:rsidRPr="0035438F">
        <w:t>Veterinární léčivý přípravek je vydáván pouze na předpis.</w:t>
      </w:r>
    </w:p>
    <w:p w14:paraId="259EFAF7" w14:textId="77777777" w:rsidR="003D1477" w:rsidRPr="003D1477" w:rsidRDefault="003D1477" w:rsidP="004D3A0A">
      <w:pPr>
        <w:rPr>
          <w:b/>
          <w:bCs/>
          <w:sz w:val="28"/>
          <w:szCs w:val="28"/>
        </w:rPr>
      </w:pPr>
      <w:r w:rsidRPr="00462AA2">
        <w:rPr>
          <w:szCs w:val="22"/>
          <w:highlight w:val="lightGray"/>
        </w:rPr>
        <w:t>Pokud chcete získat informace o tomto veterinárním léčivém přípravku, kontaktujte prosím příslušného místního zástupce držitele rozhodnutí o registraci.</w:t>
      </w:r>
      <w:r>
        <w:rPr>
          <w:i/>
          <w:color w:val="FF0000"/>
        </w:rPr>
        <w:t xml:space="preserve"> </w:t>
      </w:r>
    </w:p>
    <w:sectPr w:rsidR="003D1477" w:rsidRPr="003D1477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6228A" w14:textId="77777777" w:rsidR="00B14D51" w:rsidRDefault="00B14D51">
      <w:r>
        <w:separator/>
      </w:r>
    </w:p>
  </w:endnote>
  <w:endnote w:type="continuationSeparator" w:id="0">
    <w:p w14:paraId="1D3685EE" w14:textId="77777777" w:rsidR="00B14D51" w:rsidRDefault="00B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07DA5" w14:textId="08E49A29" w:rsidR="00212297" w:rsidRDefault="00212297">
    <w:pPr>
      <w:pStyle w:val="Zpat"/>
      <w:tabs>
        <w:tab w:val="clear" w:pos="8306"/>
        <w:tab w:val="right" w:pos="8931"/>
        <w:tab w:val="right" w:pos="14317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C3EEA">
      <w:rPr>
        <w:rStyle w:val="slostrnky"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C3EEA">
      <w:rPr>
        <w:rStyle w:val="slostrnky"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F5F0" w14:textId="77777777" w:rsidR="00212297" w:rsidRDefault="00212297">
    <w:pPr>
      <w:pStyle w:val="Zpat"/>
      <w:tabs>
        <w:tab w:val="clear" w:pos="4536"/>
        <w:tab w:val="clear" w:pos="8306"/>
        <w:tab w:val="center" w:pos="4678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546A" w14:textId="77777777" w:rsidR="00B14D51" w:rsidRDefault="00B14D51">
      <w:r>
        <w:separator/>
      </w:r>
    </w:p>
  </w:footnote>
  <w:footnote w:type="continuationSeparator" w:id="0">
    <w:p w14:paraId="62895561" w14:textId="77777777" w:rsidR="00B14D51" w:rsidRDefault="00B1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472AE" w14:textId="246F5B99" w:rsidR="00356833" w:rsidRDefault="00356833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6812522"/>
    <w:multiLevelType w:val="multilevel"/>
    <w:tmpl w:val="C27A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C255B"/>
    <w:multiLevelType w:val="hybridMultilevel"/>
    <w:tmpl w:val="8682A0FA"/>
    <w:lvl w:ilvl="0" w:tplc="7054D8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C32D1"/>
    <w:multiLevelType w:val="hybridMultilevel"/>
    <w:tmpl w:val="58400AA2"/>
    <w:lvl w:ilvl="0" w:tplc="7054D8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87CE4"/>
    <w:multiLevelType w:val="hybridMultilevel"/>
    <w:tmpl w:val="089EE6A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4F63567"/>
    <w:multiLevelType w:val="multilevel"/>
    <w:tmpl w:val="58400AA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B7FE2"/>
    <w:multiLevelType w:val="multilevel"/>
    <w:tmpl w:val="20803F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>
    <w:nsid w:val="41A40069"/>
    <w:multiLevelType w:val="hybridMultilevel"/>
    <w:tmpl w:val="C46E3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65184"/>
    <w:multiLevelType w:val="hybridMultilevel"/>
    <w:tmpl w:val="DE9C82CA"/>
    <w:lvl w:ilvl="0" w:tplc="7054D8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F602F"/>
    <w:multiLevelType w:val="hybridMultilevel"/>
    <w:tmpl w:val="C27A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834BA"/>
    <w:multiLevelType w:val="multilevel"/>
    <w:tmpl w:val="EDC2B47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87D7E72"/>
    <w:multiLevelType w:val="hybridMultilevel"/>
    <w:tmpl w:val="C3FAC488"/>
    <w:lvl w:ilvl="0" w:tplc="A47A490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56FD"/>
    <w:multiLevelType w:val="multilevel"/>
    <w:tmpl w:val="0278F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4E20009"/>
    <w:multiLevelType w:val="hybridMultilevel"/>
    <w:tmpl w:val="1870DB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887054"/>
    <w:multiLevelType w:val="hybridMultilevel"/>
    <w:tmpl w:val="4B86B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837616"/>
    <w:multiLevelType w:val="hybridMultilevel"/>
    <w:tmpl w:val="D58E69A0"/>
    <w:lvl w:ilvl="0" w:tplc="A7E0D4E2">
      <w:start w:val="1"/>
      <w:numFmt w:val="bullet"/>
      <w:pStyle w:val="BulletT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A94377"/>
    <w:multiLevelType w:val="singleLevel"/>
    <w:tmpl w:val="C172C664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>
    <w:nsid w:val="7FC1749A"/>
    <w:multiLevelType w:val="singleLevel"/>
    <w:tmpl w:val="F2CC0B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10"/>
  </w:num>
  <w:num w:numId="17">
    <w:abstractNumId w:val="16"/>
  </w:num>
  <w:num w:numId="1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tifa Marouan">
    <w15:presenceInfo w15:providerId="AD" w15:userId="S-1-5-21-866424155-3593848799-2785557441-10990"/>
  </w15:person>
  <w15:person w15:author="Mieke Dalderup">
    <w15:presenceInfo w15:providerId="AD" w15:userId="S::Mieke.Dalderup@dechra.com::36fd0884-a223-49f7-a07c-b99677e0fd3a"/>
  </w15:person>
  <w15:person w15:author="Klapková Kristýna">
    <w15:presenceInfo w15:providerId="AD" w15:userId="S-1-5-21-1482476501-1326574676-839522115-3643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7D22B0"/>
    <w:rsid w:val="0000320A"/>
    <w:rsid w:val="000060A9"/>
    <w:rsid w:val="000122CB"/>
    <w:rsid w:val="0001687A"/>
    <w:rsid w:val="000407F3"/>
    <w:rsid w:val="000568E9"/>
    <w:rsid w:val="000573A0"/>
    <w:rsid w:val="00066F18"/>
    <w:rsid w:val="0007252D"/>
    <w:rsid w:val="00074F23"/>
    <w:rsid w:val="00082E02"/>
    <w:rsid w:val="00087BEE"/>
    <w:rsid w:val="000A02A0"/>
    <w:rsid w:val="000A62F9"/>
    <w:rsid w:val="000B542F"/>
    <w:rsid w:val="000B600E"/>
    <w:rsid w:val="000D0795"/>
    <w:rsid w:val="000D3E83"/>
    <w:rsid w:val="000D5705"/>
    <w:rsid w:val="000E7552"/>
    <w:rsid w:val="000F5A17"/>
    <w:rsid w:val="0010496A"/>
    <w:rsid w:val="001066F4"/>
    <w:rsid w:val="00106FC6"/>
    <w:rsid w:val="00113ADA"/>
    <w:rsid w:val="0015655D"/>
    <w:rsid w:val="001746C9"/>
    <w:rsid w:val="00174D29"/>
    <w:rsid w:val="00184AD5"/>
    <w:rsid w:val="001B2875"/>
    <w:rsid w:val="001C4E88"/>
    <w:rsid w:val="001D005D"/>
    <w:rsid w:val="001E7D91"/>
    <w:rsid w:val="001F2225"/>
    <w:rsid w:val="001F58E6"/>
    <w:rsid w:val="002110C4"/>
    <w:rsid w:val="00212297"/>
    <w:rsid w:val="0021730A"/>
    <w:rsid w:val="00224384"/>
    <w:rsid w:val="00230090"/>
    <w:rsid w:val="002317E3"/>
    <w:rsid w:val="002322FD"/>
    <w:rsid w:val="00232A14"/>
    <w:rsid w:val="002546CC"/>
    <w:rsid w:val="00260020"/>
    <w:rsid w:val="002649B7"/>
    <w:rsid w:val="00266D11"/>
    <w:rsid w:val="0027657C"/>
    <w:rsid w:val="002806E5"/>
    <w:rsid w:val="0028477A"/>
    <w:rsid w:val="00287A7F"/>
    <w:rsid w:val="00292C1F"/>
    <w:rsid w:val="00295A36"/>
    <w:rsid w:val="0029710D"/>
    <w:rsid w:val="00297EF3"/>
    <w:rsid w:val="002B6091"/>
    <w:rsid w:val="002B6C4F"/>
    <w:rsid w:val="002B7F1B"/>
    <w:rsid w:val="002C3EEA"/>
    <w:rsid w:val="002C4A07"/>
    <w:rsid w:val="002E3F4D"/>
    <w:rsid w:val="002E46FF"/>
    <w:rsid w:val="002F1A4D"/>
    <w:rsid w:val="003003BE"/>
    <w:rsid w:val="00301124"/>
    <w:rsid w:val="0031788A"/>
    <w:rsid w:val="00317B00"/>
    <w:rsid w:val="003348A7"/>
    <w:rsid w:val="00356833"/>
    <w:rsid w:val="00362F83"/>
    <w:rsid w:val="00372851"/>
    <w:rsid w:val="003841F9"/>
    <w:rsid w:val="00390778"/>
    <w:rsid w:val="003A1F15"/>
    <w:rsid w:val="003A51C9"/>
    <w:rsid w:val="003C6022"/>
    <w:rsid w:val="003C78C8"/>
    <w:rsid w:val="003D0864"/>
    <w:rsid w:val="003D1477"/>
    <w:rsid w:val="003D1703"/>
    <w:rsid w:val="003D1A0E"/>
    <w:rsid w:val="003D6796"/>
    <w:rsid w:val="003E2EAD"/>
    <w:rsid w:val="003E3557"/>
    <w:rsid w:val="003E3C2B"/>
    <w:rsid w:val="003E4D99"/>
    <w:rsid w:val="003E516F"/>
    <w:rsid w:val="003F05E2"/>
    <w:rsid w:val="0040216F"/>
    <w:rsid w:val="00403A7D"/>
    <w:rsid w:val="00404043"/>
    <w:rsid w:val="00415326"/>
    <w:rsid w:val="00425B5B"/>
    <w:rsid w:val="00430F60"/>
    <w:rsid w:val="0043521D"/>
    <w:rsid w:val="004378E0"/>
    <w:rsid w:val="00443B27"/>
    <w:rsid w:val="00462AA2"/>
    <w:rsid w:val="00467A5F"/>
    <w:rsid w:val="00470179"/>
    <w:rsid w:val="004726DA"/>
    <w:rsid w:val="00474C19"/>
    <w:rsid w:val="00477597"/>
    <w:rsid w:val="004A5C0C"/>
    <w:rsid w:val="004A6975"/>
    <w:rsid w:val="004B22DF"/>
    <w:rsid w:val="004B62ED"/>
    <w:rsid w:val="004C13B6"/>
    <w:rsid w:val="004C4E6D"/>
    <w:rsid w:val="004C5CE7"/>
    <w:rsid w:val="004D2B06"/>
    <w:rsid w:val="004D3A0A"/>
    <w:rsid w:val="004F0ACF"/>
    <w:rsid w:val="004F3369"/>
    <w:rsid w:val="00527A12"/>
    <w:rsid w:val="00534910"/>
    <w:rsid w:val="00552595"/>
    <w:rsid w:val="005939C7"/>
    <w:rsid w:val="0059430C"/>
    <w:rsid w:val="0059487F"/>
    <w:rsid w:val="005960B5"/>
    <w:rsid w:val="0059725C"/>
    <w:rsid w:val="00597C0C"/>
    <w:rsid w:val="005A15CF"/>
    <w:rsid w:val="005B47BB"/>
    <w:rsid w:val="005D42C5"/>
    <w:rsid w:val="005D46B5"/>
    <w:rsid w:val="005E53A5"/>
    <w:rsid w:val="005F69B3"/>
    <w:rsid w:val="00600EC7"/>
    <w:rsid w:val="00610A82"/>
    <w:rsid w:val="00613300"/>
    <w:rsid w:val="006176CC"/>
    <w:rsid w:val="006227EC"/>
    <w:rsid w:val="00625964"/>
    <w:rsid w:val="00632873"/>
    <w:rsid w:val="00641DF0"/>
    <w:rsid w:val="00654EA8"/>
    <w:rsid w:val="006711AB"/>
    <w:rsid w:val="0069137F"/>
    <w:rsid w:val="00692F9A"/>
    <w:rsid w:val="006942C7"/>
    <w:rsid w:val="006A7506"/>
    <w:rsid w:val="006B1669"/>
    <w:rsid w:val="006C4BBE"/>
    <w:rsid w:val="006C5DEB"/>
    <w:rsid w:val="006D4AA2"/>
    <w:rsid w:val="006E391A"/>
    <w:rsid w:val="006F37E3"/>
    <w:rsid w:val="00724050"/>
    <w:rsid w:val="00740363"/>
    <w:rsid w:val="00766E41"/>
    <w:rsid w:val="00775F1C"/>
    <w:rsid w:val="007858F5"/>
    <w:rsid w:val="00785CF1"/>
    <w:rsid w:val="00785D5A"/>
    <w:rsid w:val="00786A1C"/>
    <w:rsid w:val="007B26D2"/>
    <w:rsid w:val="007C39DA"/>
    <w:rsid w:val="007D04D6"/>
    <w:rsid w:val="007D22B0"/>
    <w:rsid w:val="007D4294"/>
    <w:rsid w:val="007E1331"/>
    <w:rsid w:val="007E13A4"/>
    <w:rsid w:val="007F14C8"/>
    <w:rsid w:val="007F2C18"/>
    <w:rsid w:val="007F3EA1"/>
    <w:rsid w:val="0083150C"/>
    <w:rsid w:val="00832B73"/>
    <w:rsid w:val="008446BA"/>
    <w:rsid w:val="00854048"/>
    <w:rsid w:val="00866B09"/>
    <w:rsid w:val="0087549B"/>
    <w:rsid w:val="00894D5C"/>
    <w:rsid w:val="008964AB"/>
    <w:rsid w:val="008B11C4"/>
    <w:rsid w:val="008C5A38"/>
    <w:rsid w:val="008F08A5"/>
    <w:rsid w:val="008F1289"/>
    <w:rsid w:val="0091640B"/>
    <w:rsid w:val="00917D9B"/>
    <w:rsid w:val="00931D16"/>
    <w:rsid w:val="00937694"/>
    <w:rsid w:val="009450E2"/>
    <w:rsid w:val="00977C15"/>
    <w:rsid w:val="00986A66"/>
    <w:rsid w:val="009A11B8"/>
    <w:rsid w:val="009B0B9F"/>
    <w:rsid w:val="009B4C00"/>
    <w:rsid w:val="009C04AC"/>
    <w:rsid w:val="009C1D22"/>
    <w:rsid w:val="009C44A7"/>
    <w:rsid w:val="009D3F84"/>
    <w:rsid w:val="009D55CE"/>
    <w:rsid w:val="009D6A38"/>
    <w:rsid w:val="009E2CF7"/>
    <w:rsid w:val="009E3E43"/>
    <w:rsid w:val="009E7196"/>
    <w:rsid w:val="009F31D0"/>
    <w:rsid w:val="00A151AB"/>
    <w:rsid w:val="00A20F43"/>
    <w:rsid w:val="00A26DDA"/>
    <w:rsid w:val="00A3069B"/>
    <w:rsid w:val="00A307B0"/>
    <w:rsid w:val="00A3183C"/>
    <w:rsid w:val="00A41244"/>
    <w:rsid w:val="00A41E9D"/>
    <w:rsid w:val="00A44753"/>
    <w:rsid w:val="00A45E4D"/>
    <w:rsid w:val="00A570CE"/>
    <w:rsid w:val="00A72564"/>
    <w:rsid w:val="00A81491"/>
    <w:rsid w:val="00A84D13"/>
    <w:rsid w:val="00A86CFF"/>
    <w:rsid w:val="00AA582C"/>
    <w:rsid w:val="00AB15E2"/>
    <w:rsid w:val="00AD0A71"/>
    <w:rsid w:val="00AD23E6"/>
    <w:rsid w:val="00AD650F"/>
    <w:rsid w:val="00B04F1B"/>
    <w:rsid w:val="00B055D0"/>
    <w:rsid w:val="00B14D51"/>
    <w:rsid w:val="00B150DE"/>
    <w:rsid w:val="00B2111A"/>
    <w:rsid w:val="00B56B57"/>
    <w:rsid w:val="00B61960"/>
    <w:rsid w:val="00B61C81"/>
    <w:rsid w:val="00B72070"/>
    <w:rsid w:val="00B74DA1"/>
    <w:rsid w:val="00B97099"/>
    <w:rsid w:val="00BA12CA"/>
    <w:rsid w:val="00BA2BEF"/>
    <w:rsid w:val="00BA4511"/>
    <w:rsid w:val="00BA5355"/>
    <w:rsid w:val="00BC5FAD"/>
    <w:rsid w:val="00BD60F7"/>
    <w:rsid w:val="00C029B0"/>
    <w:rsid w:val="00C0435E"/>
    <w:rsid w:val="00C05096"/>
    <w:rsid w:val="00C113D0"/>
    <w:rsid w:val="00C11933"/>
    <w:rsid w:val="00C20EA3"/>
    <w:rsid w:val="00C33AA9"/>
    <w:rsid w:val="00C4542D"/>
    <w:rsid w:val="00C46F11"/>
    <w:rsid w:val="00C57583"/>
    <w:rsid w:val="00C66D13"/>
    <w:rsid w:val="00C71850"/>
    <w:rsid w:val="00C80F49"/>
    <w:rsid w:val="00C815F8"/>
    <w:rsid w:val="00C833F9"/>
    <w:rsid w:val="00C94C54"/>
    <w:rsid w:val="00CA284A"/>
    <w:rsid w:val="00CB4189"/>
    <w:rsid w:val="00CB74CE"/>
    <w:rsid w:val="00CC41B2"/>
    <w:rsid w:val="00CD5C0D"/>
    <w:rsid w:val="00D148F7"/>
    <w:rsid w:val="00D21254"/>
    <w:rsid w:val="00D5018C"/>
    <w:rsid w:val="00D506B5"/>
    <w:rsid w:val="00D52E52"/>
    <w:rsid w:val="00D53869"/>
    <w:rsid w:val="00D54998"/>
    <w:rsid w:val="00D65D2E"/>
    <w:rsid w:val="00D8069E"/>
    <w:rsid w:val="00D87EC2"/>
    <w:rsid w:val="00D93B3C"/>
    <w:rsid w:val="00DA04A0"/>
    <w:rsid w:val="00DA5E82"/>
    <w:rsid w:val="00DA7E53"/>
    <w:rsid w:val="00DB1B50"/>
    <w:rsid w:val="00DB3CC5"/>
    <w:rsid w:val="00DC1DCA"/>
    <w:rsid w:val="00DC760C"/>
    <w:rsid w:val="00DC788E"/>
    <w:rsid w:val="00DC7A71"/>
    <w:rsid w:val="00DD1128"/>
    <w:rsid w:val="00DE465C"/>
    <w:rsid w:val="00DF1693"/>
    <w:rsid w:val="00E06F45"/>
    <w:rsid w:val="00E1511A"/>
    <w:rsid w:val="00E15642"/>
    <w:rsid w:val="00E20052"/>
    <w:rsid w:val="00E209E5"/>
    <w:rsid w:val="00E31F6F"/>
    <w:rsid w:val="00E35502"/>
    <w:rsid w:val="00E43DBA"/>
    <w:rsid w:val="00E453B6"/>
    <w:rsid w:val="00E55B7C"/>
    <w:rsid w:val="00E64A57"/>
    <w:rsid w:val="00E74145"/>
    <w:rsid w:val="00E8005E"/>
    <w:rsid w:val="00E852FE"/>
    <w:rsid w:val="00E91847"/>
    <w:rsid w:val="00EA0E33"/>
    <w:rsid w:val="00EA755F"/>
    <w:rsid w:val="00EB1F60"/>
    <w:rsid w:val="00EB40D0"/>
    <w:rsid w:val="00EE72AA"/>
    <w:rsid w:val="00EF03D3"/>
    <w:rsid w:val="00EF2148"/>
    <w:rsid w:val="00F066E0"/>
    <w:rsid w:val="00F067BB"/>
    <w:rsid w:val="00F13CCF"/>
    <w:rsid w:val="00F14C81"/>
    <w:rsid w:val="00F23EFB"/>
    <w:rsid w:val="00F27716"/>
    <w:rsid w:val="00F52EDD"/>
    <w:rsid w:val="00F53D33"/>
    <w:rsid w:val="00F6572F"/>
    <w:rsid w:val="00F67EAB"/>
    <w:rsid w:val="00FA772C"/>
    <w:rsid w:val="00FD4ED5"/>
    <w:rsid w:val="00FD7C84"/>
    <w:rsid w:val="00FE306F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B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DBA"/>
    <w:rPr>
      <w:sz w:val="22"/>
      <w:lang w:val="cs-CZ" w:eastAsia="en-US" w:bidi="ar-D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8"/>
      </w:numPr>
      <w:tabs>
        <w:tab w:val="clear" w:pos="792"/>
        <w:tab w:val="num" w:pos="567"/>
      </w:tabs>
      <w:spacing w:before="240" w:after="60"/>
      <w:ind w:left="0" w:firstLine="0"/>
      <w:outlineLvl w:val="1"/>
    </w:pPr>
    <w:rPr>
      <w:rFonts w:cs="Arial"/>
      <w:bCs/>
      <w:iCs/>
      <w:szCs w:val="22"/>
      <w:u w:val="single"/>
    </w:rPr>
  </w:style>
  <w:style w:type="paragraph" w:styleId="Nadpis3">
    <w:name w:val="heading 3"/>
    <w:aliases w:val="quark"/>
    <w:basedOn w:val="Normln"/>
    <w:next w:val="Normln"/>
    <w:qFormat/>
    <w:pPr>
      <w:keepNext/>
      <w:keepLines/>
      <w:spacing w:before="120" w:after="80" w:line="260" w:lineRule="exact"/>
      <w:outlineLvl w:val="2"/>
    </w:pPr>
    <w:rPr>
      <w:b/>
      <w:kern w:val="28"/>
      <w:sz w:val="24"/>
      <w:lang w:bidi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200"/>
      <w:outlineLvl w:val="3"/>
    </w:pPr>
    <w:rPr>
      <w:rFonts w:ascii="Arial" w:hAnsi="Arial"/>
      <w:sz w:val="24"/>
      <w:lang w:bidi="ar-SA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lang w:bidi="ar-SA"/>
    </w:rPr>
  </w:style>
  <w:style w:type="paragraph" w:styleId="Nadpis8">
    <w:name w:val="heading 8"/>
    <w:basedOn w:val="Normln"/>
    <w:next w:val="Normln"/>
    <w:qFormat/>
    <w:pPr>
      <w:keepNext/>
      <w:tabs>
        <w:tab w:val="left" w:pos="-720"/>
      </w:tabs>
      <w:suppressAutoHyphens/>
      <w:jc w:val="center"/>
      <w:outlineLvl w:val="7"/>
    </w:pPr>
    <w:rPr>
      <w:b/>
      <w:lang w:eastAsia="es-E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"/>
    <w:next w:val="Normln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Zkladntextodsazen3">
    <w:name w:val="Body Text Indent 3"/>
    <w:basedOn w:val="Normln"/>
    <w:pPr>
      <w:tabs>
        <w:tab w:val="left" w:pos="7371"/>
      </w:tabs>
      <w:spacing w:line="260" w:lineRule="exact"/>
      <w:ind w:left="3969" w:hanging="3969"/>
    </w:pPr>
    <w:rPr>
      <w:noProof/>
      <w:lang w:bidi="ar-SA"/>
    </w:rPr>
  </w:style>
  <w:style w:type="paragraph" w:styleId="Zkladntextodsazen">
    <w:name w:val="Body Text Indent"/>
    <w:basedOn w:val="Normln"/>
    <w:pPr>
      <w:ind w:left="705" w:hanging="705"/>
      <w:jc w:val="both"/>
    </w:pPr>
    <w:rPr>
      <w:lang w:bidi="ar-SA"/>
    </w:rPr>
  </w:style>
  <w:style w:type="paragraph" w:styleId="Zkladntext">
    <w:name w:val="Body Text"/>
    <w:basedOn w:val="Normln"/>
    <w:pPr>
      <w:spacing w:after="160"/>
    </w:pPr>
    <w:rPr>
      <w:sz w:val="20"/>
      <w:lang w:bidi="ar-SA"/>
    </w:rPr>
  </w:style>
  <w:style w:type="character" w:styleId="slostrnky">
    <w:name w:val="page number"/>
    <w:basedOn w:val="Standardnpsmoodstavce"/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  <w:lang w:bidi="ar-SA"/>
    </w:rPr>
  </w:style>
  <w:style w:type="paragraph" w:customStyle="1" w:styleId="BulletToD">
    <w:name w:val="Bullet ToD"/>
    <w:basedOn w:val="Normln"/>
    <w:pPr>
      <w:numPr>
        <w:numId w:val="2"/>
      </w:numPr>
    </w:pPr>
  </w:style>
  <w:style w:type="paragraph" w:styleId="Zkladntext2">
    <w:name w:val="Body Text 2"/>
    <w:basedOn w:val="Normln"/>
    <w:pPr>
      <w:jc w:val="both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567"/>
    </w:pPr>
  </w:style>
  <w:style w:type="character" w:customStyle="1" w:styleId="content1">
    <w:name w:val="content1"/>
    <w:rPr>
      <w:rFonts w:ascii="Verdana" w:hAnsi="Verdana" w:hint="default"/>
      <w:color w:val="000000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cs-CZ" w:eastAsia="de-DE"/>
    </w:rPr>
  </w:style>
  <w:style w:type="paragraph" w:styleId="Textvysvtlivek">
    <w:name w:val="endnote text"/>
    <w:basedOn w:val="Normln"/>
    <w:semiHidden/>
    <w:pPr>
      <w:tabs>
        <w:tab w:val="left" w:pos="567"/>
      </w:tabs>
    </w:pPr>
    <w:rPr>
      <w:lang w:bidi="ar-SA"/>
    </w:rPr>
  </w:style>
  <w:style w:type="table" w:styleId="Mkatabulky">
    <w:name w:val="Table Grid"/>
    <w:basedOn w:val="Normlntabulka"/>
    <w:rsid w:val="00866B0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B1669"/>
    <w:rPr>
      <w:sz w:val="22"/>
      <w:lang w:val="cs-CZ" w:eastAsia="en-US" w:bidi="ar-DZ"/>
    </w:rPr>
  </w:style>
  <w:style w:type="paragraph" w:styleId="Podtitul">
    <w:name w:val="Subtitle"/>
    <w:basedOn w:val="Normln"/>
    <w:next w:val="Normln"/>
    <w:link w:val="PodtitulChar"/>
    <w:qFormat/>
    <w:rsid w:val="00EF214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F2148"/>
    <w:rPr>
      <w:rFonts w:ascii="Cambria" w:eastAsia="Times New Roman" w:hAnsi="Cambria" w:cs="Times New Roman"/>
      <w:sz w:val="24"/>
      <w:szCs w:val="24"/>
      <w:lang w:val="cs-CZ" w:eastAsia="en-US" w:bidi="ar-DZ"/>
    </w:rPr>
  </w:style>
  <w:style w:type="paragraph" w:styleId="Textbubliny">
    <w:name w:val="Balloon Text"/>
    <w:basedOn w:val="Normln"/>
    <w:link w:val="TextbublinyChar"/>
    <w:rsid w:val="00467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67A5F"/>
    <w:rPr>
      <w:rFonts w:ascii="Tahoma" w:hAnsi="Tahoma" w:cs="Tahoma"/>
      <w:sz w:val="16"/>
      <w:szCs w:val="16"/>
      <w:lang w:val="cs-CZ" w:eastAsia="en-US" w:bidi="ar-DZ"/>
    </w:rPr>
  </w:style>
  <w:style w:type="character" w:styleId="Odkaznakoment">
    <w:name w:val="annotation reference"/>
    <w:rsid w:val="006F3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37E3"/>
    <w:rPr>
      <w:sz w:val="20"/>
    </w:rPr>
  </w:style>
  <w:style w:type="character" w:customStyle="1" w:styleId="TextkomenteChar">
    <w:name w:val="Text komentáře Char"/>
    <w:link w:val="Textkomente"/>
    <w:rsid w:val="006F37E3"/>
    <w:rPr>
      <w:lang w:val="cs-CZ" w:eastAsia="en-US" w:bidi="ar-DZ"/>
    </w:rPr>
  </w:style>
  <w:style w:type="paragraph" w:styleId="Pedmtkomente">
    <w:name w:val="annotation subject"/>
    <w:basedOn w:val="Textkomente"/>
    <w:next w:val="Textkomente"/>
    <w:link w:val="PedmtkomenteChar"/>
    <w:rsid w:val="006F37E3"/>
    <w:rPr>
      <w:b/>
      <w:bCs/>
    </w:rPr>
  </w:style>
  <w:style w:type="character" w:customStyle="1" w:styleId="PedmtkomenteChar">
    <w:name w:val="Předmět komentáře Char"/>
    <w:link w:val="Pedmtkomente"/>
    <w:rsid w:val="006F37E3"/>
    <w:rPr>
      <w:b/>
      <w:bCs/>
      <w:lang w:val="cs-CZ" w:eastAsia="en-US" w:bidi="ar-DZ"/>
    </w:rPr>
  </w:style>
  <w:style w:type="character" w:customStyle="1" w:styleId="ZhlavChar">
    <w:name w:val="Záhlaví Char"/>
    <w:basedOn w:val="Standardnpsmoodstavce"/>
    <w:link w:val="Zhlav"/>
    <w:rsid w:val="009C1D22"/>
    <w:rPr>
      <w:rFonts w:ascii="Arial" w:hAnsi="Arial"/>
      <w:lang w:val="cs-CZ" w:eastAsia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DBA"/>
    <w:rPr>
      <w:sz w:val="22"/>
      <w:lang w:val="cs-CZ" w:eastAsia="en-US" w:bidi="ar-D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8"/>
      </w:numPr>
      <w:tabs>
        <w:tab w:val="clear" w:pos="792"/>
        <w:tab w:val="num" w:pos="567"/>
      </w:tabs>
      <w:spacing w:before="240" w:after="60"/>
      <w:ind w:left="0" w:firstLine="0"/>
      <w:outlineLvl w:val="1"/>
    </w:pPr>
    <w:rPr>
      <w:rFonts w:cs="Arial"/>
      <w:bCs/>
      <w:iCs/>
      <w:szCs w:val="22"/>
      <w:u w:val="single"/>
    </w:rPr>
  </w:style>
  <w:style w:type="paragraph" w:styleId="Nadpis3">
    <w:name w:val="heading 3"/>
    <w:aliases w:val="quark"/>
    <w:basedOn w:val="Normln"/>
    <w:next w:val="Normln"/>
    <w:qFormat/>
    <w:pPr>
      <w:keepNext/>
      <w:keepLines/>
      <w:spacing w:before="120" w:after="80" w:line="260" w:lineRule="exact"/>
      <w:outlineLvl w:val="2"/>
    </w:pPr>
    <w:rPr>
      <w:b/>
      <w:kern w:val="28"/>
      <w:sz w:val="24"/>
      <w:lang w:bidi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200"/>
      <w:outlineLvl w:val="3"/>
    </w:pPr>
    <w:rPr>
      <w:rFonts w:ascii="Arial" w:hAnsi="Arial"/>
      <w:sz w:val="24"/>
      <w:lang w:bidi="ar-SA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lang w:bidi="ar-SA"/>
    </w:rPr>
  </w:style>
  <w:style w:type="paragraph" w:styleId="Nadpis8">
    <w:name w:val="heading 8"/>
    <w:basedOn w:val="Normln"/>
    <w:next w:val="Normln"/>
    <w:qFormat/>
    <w:pPr>
      <w:keepNext/>
      <w:tabs>
        <w:tab w:val="left" w:pos="-720"/>
      </w:tabs>
      <w:suppressAutoHyphens/>
      <w:jc w:val="center"/>
      <w:outlineLvl w:val="7"/>
    </w:pPr>
    <w:rPr>
      <w:b/>
      <w:lang w:eastAsia="es-E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"/>
    <w:next w:val="Normln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Zkladntextodsazen3">
    <w:name w:val="Body Text Indent 3"/>
    <w:basedOn w:val="Normln"/>
    <w:pPr>
      <w:tabs>
        <w:tab w:val="left" w:pos="7371"/>
      </w:tabs>
      <w:spacing w:line="260" w:lineRule="exact"/>
      <w:ind w:left="3969" w:hanging="3969"/>
    </w:pPr>
    <w:rPr>
      <w:noProof/>
      <w:lang w:bidi="ar-SA"/>
    </w:rPr>
  </w:style>
  <w:style w:type="paragraph" w:styleId="Zkladntextodsazen">
    <w:name w:val="Body Text Indent"/>
    <w:basedOn w:val="Normln"/>
    <w:pPr>
      <w:ind w:left="705" w:hanging="705"/>
      <w:jc w:val="both"/>
    </w:pPr>
    <w:rPr>
      <w:lang w:bidi="ar-SA"/>
    </w:rPr>
  </w:style>
  <w:style w:type="paragraph" w:styleId="Zkladntext">
    <w:name w:val="Body Text"/>
    <w:basedOn w:val="Normln"/>
    <w:pPr>
      <w:spacing w:after="160"/>
    </w:pPr>
    <w:rPr>
      <w:sz w:val="20"/>
      <w:lang w:bidi="ar-SA"/>
    </w:rPr>
  </w:style>
  <w:style w:type="character" w:styleId="slostrnky">
    <w:name w:val="page number"/>
    <w:basedOn w:val="Standardnpsmoodstavce"/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  <w:lang w:bidi="ar-SA"/>
    </w:rPr>
  </w:style>
  <w:style w:type="paragraph" w:customStyle="1" w:styleId="BulletToD">
    <w:name w:val="Bullet ToD"/>
    <w:basedOn w:val="Normln"/>
    <w:pPr>
      <w:numPr>
        <w:numId w:val="2"/>
      </w:numPr>
    </w:pPr>
  </w:style>
  <w:style w:type="paragraph" w:styleId="Zkladntext2">
    <w:name w:val="Body Text 2"/>
    <w:basedOn w:val="Normln"/>
    <w:pPr>
      <w:jc w:val="both"/>
    </w:pPr>
    <w:rPr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567"/>
    </w:pPr>
  </w:style>
  <w:style w:type="character" w:customStyle="1" w:styleId="content1">
    <w:name w:val="content1"/>
    <w:rPr>
      <w:rFonts w:ascii="Verdana" w:hAnsi="Verdana" w:hint="default"/>
      <w:color w:val="000000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cs-CZ" w:eastAsia="de-DE"/>
    </w:rPr>
  </w:style>
  <w:style w:type="paragraph" w:styleId="Textvysvtlivek">
    <w:name w:val="endnote text"/>
    <w:basedOn w:val="Normln"/>
    <w:semiHidden/>
    <w:pPr>
      <w:tabs>
        <w:tab w:val="left" w:pos="567"/>
      </w:tabs>
    </w:pPr>
    <w:rPr>
      <w:lang w:bidi="ar-SA"/>
    </w:rPr>
  </w:style>
  <w:style w:type="table" w:styleId="Mkatabulky">
    <w:name w:val="Table Grid"/>
    <w:basedOn w:val="Normlntabulka"/>
    <w:rsid w:val="00866B0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B1669"/>
    <w:rPr>
      <w:sz w:val="22"/>
      <w:lang w:val="cs-CZ" w:eastAsia="en-US" w:bidi="ar-DZ"/>
    </w:rPr>
  </w:style>
  <w:style w:type="paragraph" w:styleId="Podtitul">
    <w:name w:val="Subtitle"/>
    <w:basedOn w:val="Normln"/>
    <w:next w:val="Normln"/>
    <w:link w:val="PodtitulChar"/>
    <w:qFormat/>
    <w:rsid w:val="00EF214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EF2148"/>
    <w:rPr>
      <w:rFonts w:ascii="Cambria" w:eastAsia="Times New Roman" w:hAnsi="Cambria" w:cs="Times New Roman"/>
      <w:sz w:val="24"/>
      <w:szCs w:val="24"/>
      <w:lang w:val="cs-CZ" w:eastAsia="en-US" w:bidi="ar-DZ"/>
    </w:rPr>
  </w:style>
  <w:style w:type="paragraph" w:styleId="Textbubliny">
    <w:name w:val="Balloon Text"/>
    <w:basedOn w:val="Normln"/>
    <w:link w:val="TextbublinyChar"/>
    <w:rsid w:val="00467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67A5F"/>
    <w:rPr>
      <w:rFonts w:ascii="Tahoma" w:hAnsi="Tahoma" w:cs="Tahoma"/>
      <w:sz w:val="16"/>
      <w:szCs w:val="16"/>
      <w:lang w:val="cs-CZ" w:eastAsia="en-US" w:bidi="ar-DZ"/>
    </w:rPr>
  </w:style>
  <w:style w:type="character" w:styleId="Odkaznakoment">
    <w:name w:val="annotation reference"/>
    <w:rsid w:val="006F3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37E3"/>
    <w:rPr>
      <w:sz w:val="20"/>
    </w:rPr>
  </w:style>
  <w:style w:type="character" w:customStyle="1" w:styleId="TextkomenteChar">
    <w:name w:val="Text komentáře Char"/>
    <w:link w:val="Textkomente"/>
    <w:rsid w:val="006F37E3"/>
    <w:rPr>
      <w:lang w:val="cs-CZ" w:eastAsia="en-US" w:bidi="ar-DZ"/>
    </w:rPr>
  </w:style>
  <w:style w:type="paragraph" w:styleId="Pedmtkomente">
    <w:name w:val="annotation subject"/>
    <w:basedOn w:val="Textkomente"/>
    <w:next w:val="Textkomente"/>
    <w:link w:val="PedmtkomenteChar"/>
    <w:rsid w:val="006F37E3"/>
    <w:rPr>
      <w:b/>
      <w:bCs/>
    </w:rPr>
  </w:style>
  <w:style w:type="character" w:customStyle="1" w:styleId="PedmtkomenteChar">
    <w:name w:val="Předmět komentáře Char"/>
    <w:link w:val="Pedmtkomente"/>
    <w:rsid w:val="006F37E3"/>
    <w:rPr>
      <w:b/>
      <w:bCs/>
      <w:lang w:val="cs-CZ" w:eastAsia="en-US" w:bidi="ar-DZ"/>
    </w:rPr>
  </w:style>
  <w:style w:type="character" w:customStyle="1" w:styleId="ZhlavChar">
    <w:name w:val="Záhlaví Char"/>
    <w:basedOn w:val="Standardnpsmoodstavce"/>
    <w:link w:val="Zhlav"/>
    <w:rsid w:val="009C1D22"/>
    <w:rPr>
      <w:rFonts w:ascii="Arial" w:hAnsi="Arial"/>
      <w:lang w:val="cs-CZ" w:eastAsia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1486</Words>
  <Characters>8770</Characters>
  <Application>Microsoft Office Word</Application>
  <DocSecurity>0</DocSecurity>
  <Lines>73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I</vt:lpstr>
      <vt:lpstr>ANNEX I</vt:lpstr>
      <vt:lpstr>ANNEX I</vt:lpstr>
    </vt:vector>
  </TitlesOfParts>
  <Company>EMEA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</dc:title>
  <dc:subject>General-EMEA/539142/2007</dc:subject>
  <dc:creator>Peter Verhoeve</dc:creator>
  <cp:lastModifiedBy>Dušek Daniel</cp:lastModifiedBy>
  <cp:revision>32</cp:revision>
  <cp:lastPrinted>2021-05-24T12:41:00Z</cp:lastPrinted>
  <dcterms:created xsi:type="dcterms:W3CDTF">2021-04-13T12:25:00Z</dcterms:created>
  <dcterms:modified xsi:type="dcterms:W3CDTF">2021-05-25T13:30:00Z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General-EMEA/539142/2007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Methoxasol-T EN</vt:lpwstr>
  </property>
  <property fmtid="{D5CDD505-2E9C-101B-9397-08002B2CF9AE}" pid="9" name="DM_Owner">
    <vt:lpwstr>Mozes-Stoddart Bernadett</vt:lpwstr>
  </property>
  <property fmtid="{D5CDD505-2E9C-101B-9397-08002B2CF9AE}" pid="10" name="DM_Creation_Date">
    <vt:lpwstr>16/11/2007 11:48:13</vt:lpwstr>
  </property>
  <property fmtid="{D5CDD505-2E9C-101B-9397-08002B2CF9AE}" pid="11" name="DM_Creator_Name">
    <vt:lpwstr>Mozes-Stoddart Bernadett</vt:lpwstr>
  </property>
  <property fmtid="{D5CDD505-2E9C-101B-9397-08002B2CF9AE}" pid="12" name="DM_Modifer_Name">
    <vt:lpwstr>Mozes-Stoddart Bernadett</vt:lpwstr>
  </property>
  <property fmtid="{D5CDD505-2E9C-101B-9397-08002B2CF9AE}" pid="13" name="DM_Modified_Date">
    <vt:lpwstr>16/11/2007 11:48:35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EMEA/539142/2007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539142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odule">
    <vt:lpwstr/>
  </property>
  <property fmtid="{D5CDD505-2E9C-101B-9397-08002B2CF9AE}" pid="33" name="DM_emea_procedure_ref">
    <vt:lpwstr>EMEA/V/REF/012/Article 33(4)</vt:lpwstr>
  </property>
  <property fmtid="{D5CDD505-2E9C-101B-9397-08002B2CF9AE}" pid="34" name="DM_emea_domain">
    <vt:lpwstr>V</vt:lpwstr>
  </property>
  <property fmtid="{D5CDD505-2E9C-101B-9397-08002B2CF9AE}" pid="35" name="DM_emea_procedure">
    <vt:lpwstr>REF</vt:lpwstr>
  </property>
  <property fmtid="{D5CDD505-2E9C-101B-9397-08002B2CF9AE}" pid="36" name="DM_emea_procedure_type">
    <vt:lpwstr>Article 33(4)</vt:lpwstr>
  </property>
  <property fmtid="{D5CDD505-2E9C-101B-9397-08002B2CF9AE}" pid="37" name="DM_emea_procedure_number">
    <vt:lpwstr/>
  </property>
  <property fmtid="{D5CDD505-2E9C-101B-9397-08002B2CF9AE}" pid="38" name="DM_emea_product_number">
    <vt:lpwstr>012</vt:lpwstr>
  </property>
  <property fmtid="{D5CDD505-2E9C-101B-9397-08002B2CF9AE}" pid="39" name="DM_emea_product_substance">
    <vt:lpwstr>Cobactan IV 4.5% solution for injection</vt:lpwstr>
  </property>
  <property fmtid="{D5CDD505-2E9C-101B-9397-08002B2CF9AE}" pid="40" name="DM_emea_par_dist">
    <vt:lpwstr/>
  </property>
  <property fmtid="{D5CDD505-2E9C-101B-9397-08002B2CF9AE}" pid="41" name="DM_emea_meeting_status">
    <vt:lpwstr/>
  </property>
  <property fmtid="{D5CDD505-2E9C-101B-9397-08002B2CF9AE}" pid="42" name="DM_emea_meeting_action">
    <vt:lpwstr/>
  </property>
  <property fmtid="{D5CDD505-2E9C-101B-9397-08002B2CF9AE}" pid="43" name="DM_emea_meeting_hyperlink">
    <vt:lpwstr/>
  </property>
  <property fmtid="{D5CDD505-2E9C-101B-9397-08002B2CF9AE}" pid="44" name="DM_emea_meeting_title">
    <vt:lpwstr/>
  </property>
  <property fmtid="{D5CDD505-2E9C-101B-9397-08002B2CF9AE}" pid="45" name="DM_emea_meeting_ref">
    <vt:lpwstr/>
  </property>
  <property fmtid="{D5CDD505-2E9C-101B-9397-08002B2CF9AE}" pid="46" name="DM_emea_meeting_flags">
    <vt:lpwstr/>
  </property>
</Properties>
</file>