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8724"/>
      </w:tblGrid>
      <w:tr w:rsidR="00102CC1" w:rsidRPr="00616108" w14:paraId="583E281E" w14:textId="77777777" w:rsidTr="00102CC1">
        <w:tc>
          <w:tcPr>
            <w:tcW w:w="9499" w:type="dxa"/>
          </w:tcPr>
          <w:p w14:paraId="2B8F42F5" w14:textId="2A9DF103" w:rsidR="00102CC1" w:rsidRPr="00616108" w:rsidRDefault="00102CC1" w:rsidP="00091AE2">
            <w:pPr>
              <w:pStyle w:val="Nadpis20"/>
              <w:keepNext/>
              <w:keepLines/>
              <w:shd w:val="clear" w:color="auto" w:fill="auto"/>
              <w:spacing w:after="0" w:line="240" w:lineRule="auto"/>
              <w:ind w:firstLine="0"/>
              <w:jc w:val="center"/>
            </w:pPr>
            <w:bookmarkStart w:id="0" w:name="bookmark0"/>
            <w:r w:rsidRPr="00616108">
              <w:t xml:space="preserve">PŘÍBALOVÁ INFORMACE </w:t>
            </w:r>
            <w:bookmarkEnd w:id="0"/>
          </w:p>
          <w:p w14:paraId="3314445C" w14:textId="5562C9A6" w:rsidR="00102CC1" w:rsidRPr="00616108" w:rsidRDefault="00102CC1" w:rsidP="00091AE2">
            <w:pPr>
              <w:pStyle w:val="Nadpis20"/>
              <w:keepNext/>
              <w:keepLines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</w:rPr>
            </w:pPr>
            <w:proofErr w:type="spellStart"/>
            <w:r w:rsidRPr="00616108">
              <w:rPr>
                <w:b w:val="0"/>
              </w:rPr>
              <w:t>Pronestesic</w:t>
            </w:r>
            <w:proofErr w:type="spellEnd"/>
            <w:r w:rsidRPr="00616108">
              <w:rPr>
                <w:b w:val="0"/>
              </w:rPr>
              <w:t xml:space="preserve"> 40 mg/ml </w:t>
            </w:r>
            <w:r w:rsidR="009D4CC3" w:rsidRPr="00616108">
              <w:rPr>
                <w:b w:val="0"/>
              </w:rPr>
              <w:t>+</w:t>
            </w:r>
            <w:r w:rsidRPr="00616108">
              <w:rPr>
                <w:b w:val="0"/>
              </w:rPr>
              <w:t xml:space="preserve"> 0,036 mg/ml injekční roztok pro koně, skot, prasata a ovce</w:t>
            </w:r>
          </w:p>
          <w:p w14:paraId="3159AC92" w14:textId="63684B0E" w:rsidR="00102CC1" w:rsidRPr="00616108" w:rsidRDefault="00102CC1" w:rsidP="00091AE2">
            <w:pPr>
              <w:pStyle w:val="Nadpis20"/>
              <w:keepNext/>
              <w:keepLines/>
              <w:shd w:val="clear" w:color="auto" w:fill="auto"/>
              <w:spacing w:after="0" w:line="240" w:lineRule="auto"/>
              <w:ind w:firstLine="0"/>
              <w:jc w:val="center"/>
            </w:pPr>
          </w:p>
        </w:tc>
      </w:tr>
    </w:tbl>
    <w:p w14:paraId="6792A1EF" w14:textId="77777777" w:rsidR="00A26234" w:rsidRPr="00616108" w:rsidRDefault="00A26234" w:rsidP="00091AE2">
      <w:pPr>
        <w:pStyle w:val="Zkladntext5"/>
        <w:shd w:val="clear" w:color="auto" w:fill="auto"/>
        <w:spacing w:before="0" w:after="0" w:line="240" w:lineRule="auto"/>
        <w:ind w:hanging="660"/>
      </w:pPr>
    </w:p>
    <w:p w14:paraId="5CB1AD93" w14:textId="77777777" w:rsidR="00706827" w:rsidRPr="00616108" w:rsidRDefault="00706827" w:rsidP="00091AE2">
      <w:pPr>
        <w:pStyle w:val="Zkladntext5"/>
        <w:shd w:val="clear" w:color="auto" w:fill="auto"/>
        <w:spacing w:before="0" w:after="0" w:line="240" w:lineRule="auto"/>
        <w:ind w:hanging="660"/>
      </w:pPr>
    </w:p>
    <w:p w14:paraId="7F5B2988" w14:textId="79F2B610" w:rsidR="00CF4360" w:rsidRPr="00616108" w:rsidRDefault="00916C3B" w:rsidP="00091AE2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</w:pPr>
      <w:bookmarkStart w:id="1" w:name="bookmark1"/>
      <w:r w:rsidRPr="00616108">
        <w:t>JMÉNO A ADRESA DRŽITELE ROZHODNUTÍ O REGISTRACI A DRŽITELE POVOLENÍ K VÝROBĚ ODPOVĚDNÉHO ZA UVOLNĚNÍ ŠARŽE, POKUD SE NESHODUJE</w:t>
      </w:r>
      <w:bookmarkEnd w:id="1"/>
    </w:p>
    <w:p w14:paraId="67555332" w14:textId="77777777" w:rsidR="003E19DA" w:rsidRPr="00616108" w:rsidRDefault="003E19DA" w:rsidP="00091AE2">
      <w:pPr>
        <w:pStyle w:val="Zkladntext5"/>
        <w:shd w:val="clear" w:color="auto" w:fill="auto"/>
        <w:spacing w:before="0" w:after="0" w:line="240" w:lineRule="auto"/>
        <w:ind w:firstLine="0"/>
      </w:pPr>
    </w:p>
    <w:p w14:paraId="534A664B" w14:textId="2F704D3F" w:rsidR="008E7E40" w:rsidRPr="00616108" w:rsidRDefault="008E7E40" w:rsidP="00091AE2">
      <w:pPr>
        <w:pStyle w:val="Zkladntext5"/>
        <w:shd w:val="clear" w:color="auto" w:fill="auto"/>
        <w:spacing w:before="0" w:after="0" w:line="240" w:lineRule="auto"/>
        <w:ind w:firstLine="0"/>
      </w:pPr>
      <w:r w:rsidRPr="00616108">
        <w:rPr>
          <w:iCs/>
          <w:u w:val="single"/>
        </w:rPr>
        <w:t>Držitel rozhodnutí o registraci a výrobce odpovědný za uvolnění šarže:</w:t>
      </w:r>
    </w:p>
    <w:p w14:paraId="1830ADC1" w14:textId="4C0E150D" w:rsidR="00277CF4" w:rsidRPr="00616108" w:rsidRDefault="00916C3B" w:rsidP="00091AE2">
      <w:pPr>
        <w:pStyle w:val="Zkladntext5"/>
        <w:shd w:val="clear" w:color="auto" w:fill="auto"/>
        <w:spacing w:before="0" w:after="0" w:line="240" w:lineRule="auto"/>
        <w:ind w:firstLine="0"/>
      </w:pPr>
      <w:r w:rsidRPr="00616108">
        <w:t xml:space="preserve">FATRO </w:t>
      </w:r>
      <w:proofErr w:type="spellStart"/>
      <w:proofErr w:type="gramStart"/>
      <w:r w:rsidRPr="00616108">
        <w:t>S.p.</w:t>
      </w:r>
      <w:proofErr w:type="gramEnd"/>
      <w:r w:rsidRPr="00616108">
        <w:t>A</w:t>
      </w:r>
      <w:proofErr w:type="spellEnd"/>
      <w:r w:rsidRPr="00616108">
        <w:t xml:space="preserve">. </w:t>
      </w:r>
    </w:p>
    <w:p w14:paraId="724D058E" w14:textId="77777777" w:rsidR="00277CF4" w:rsidRPr="00616108" w:rsidRDefault="00916C3B" w:rsidP="00091AE2">
      <w:pPr>
        <w:pStyle w:val="Zkladntext5"/>
        <w:shd w:val="clear" w:color="auto" w:fill="auto"/>
        <w:spacing w:before="0" w:after="0" w:line="240" w:lineRule="auto"/>
        <w:ind w:firstLine="0"/>
      </w:pPr>
      <w:r w:rsidRPr="00616108">
        <w:t xml:space="preserve">Via </w:t>
      </w:r>
      <w:proofErr w:type="gramStart"/>
      <w:r w:rsidRPr="00616108">
        <w:t>Emilia</w:t>
      </w:r>
      <w:proofErr w:type="gramEnd"/>
      <w:r w:rsidRPr="00616108">
        <w:t xml:space="preserve">, 285 </w:t>
      </w:r>
    </w:p>
    <w:p w14:paraId="52FBF823" w14:textId="6E70E348" w:rsidR="00277CF4" w:rsidRPr="00616108" w:rsidRDefault="00277CF4" w:rsidP="00091AE2">
      <w:pPr>
        <w:pStyle w:val="Zkladntext5"/>
        <w:shd w:val="clear" w:color="auto" w:fill="auto"/>
        <w:spacing w:before="0" w:after="0" w:line="240" w:lineRule="auto"/>
        <w:ind w:firstLine="0"/>
      </w:pPr>
      <w:r w:rsidRPr="00616108">
        <w:t xml:space="preserve">40064 </w:t>
      </w:r>
      <w:proofErr w:type="spellStart"/>
      <w:r w:rsidRPr="00616108">
        <w:t>Ozzano</w:t>
      </w:r>
      <w:proofErr w:type="spellEnd"/>
      <w:r w:rsidRPr="00616108">
        <w:t xml:space="preserve"> Emilia (Bologna)</w:t>
      </w:r>
    </w:p>
    <w:p w14:paraId="4F658AB1" w14:textId="51A8C78B" w:rsidR="00CF4360" w:rsidRPr="00616108" w:rsidRDefault="00916C3B" w:rsidP="00091AE2">
      <w:pPr>
        <w:pStyle w:val="Zkladntext5"/>
        <w:shd w:val="clear" w:color="auto" w:fill="auto"/>
        <w:spacing w:before="0" w:after="0" w:line="240" w:lineRule="auto"/>
        <w:ind w:firstLine="0"/>
      </w:pPr>
      <w:r w:rsidRPr="00616108">
        <w:t>Itálie</w:t>
      </w:r>
    </w:p>
    <w:p w14:paraId="058686DD" w14:textId="77777777" w:rsidR="003E19DA" w:rsidRPr="00616108" w:rsidRDefault="003E19DA" w:rsidP="00091AE2">
      <w:pPr>
        <w:pStyle w:val="Zkladntext5"/>
        <w:shd w:val="clear" w:color="auto" w:fill="auto"/>
        <w:spacing w:before="0" w:after="0" w:line="240" w:lineRule="auto"/>
        <w:ind w:firstLine="0"/>
      </w:pPr>
    </w:p>
    <w:p w14:paraId="14F0889B" w14:textId="77777777" w:rsidR="00CF4360" w:rsidRPr="00616108" w:rsidRDefault="00916C3B" w:rsidP="00091AE2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</w:pPr>
      <w:bookmarkStart w:id="2" w:name="bookmark2"/>
      <w:r w:rsidRPr="00616108">
        <w:t>NÁZEV VETERINÁRNÍHO LÉČIVÉHO PŘÍPRAVKU</w:t>
      </w:r>
      <w:bookmarkEnd w:id="2"/>
    </w:p>
    <w:p w14:paraId="6AB55E40" w14:textId="77777777" w:rsidR="003E19DA" w:rsidRPr="00616108" w:rsidRDefault="003E19DA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hanging="700"/>
      </w:pPr>
    </w:p>
    <w:p w14:paraId="4AEDA314" w14:textId="49DEB986" w:rsidR="003E19DA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proofErr w:type="spellStart"/>
      <w:r w:rsidRPr="00616108">
        <w:t>Pronestesic</w:t>
      </w:r>
      <w:proofErr w:type="spellEnd"/>
      <w:r w:rsidRPr="00616108">
        <w:t xml:space="preserve"> 40 mg/ml </w:t>
      </w:r>
      <w:r w:rsidR="00897DC7" w:rsidRPr="00616108">
        <w:t>+</w:t>
      </w:r>
      <w:r w:rsidRPr="00616108">
        <w:t xml:space="preserve"> 0,036 mg/ml injekční roztok pro koně, skot, prasata a ovce </w:t>
      </w:r>
    </w:p>
    <w:p w14:paraId="19960A56" w14:textId="77777777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proofErr w:type="spellStart"/>
      <w:r w:rsidRPr="00616108">
        <w:t>Procaini</w:t>
      </w:r>
      <w:proofErr w:type="spellEnd"/>
      <w:r w:rsidRPr="00616108">
        <w:t xml:space="preserve"> </w:t>
      </w:r>
      <w:proofErr w:type="spellStart"/>
      <w:r w:rsidRPr="00616108">
        <w:t>hydrochloridum</w:t>
      </w:r>
      <w:proofErr w:type="spellEnd"/>
      <w:r w:rsidRPr="00616108">
        <w:t xml:space="preserve"> / </w:t>
      </w:r>
      <w:proofErr w:type="spellStart"/>
      <w:r w:rsidRPr="00616108">
        <w:t>epinephrini</w:t>
      </w:r>
      <w:proofErr w:type="spellEnd"/>
      <w:r w:rsidRPr="00616108">
        <w:t xml:space="preserve"> </w:t>
      </w:r>
      <w:proofErr w:type="spellStart"/>
      <w:r w:rsidR="003E19DA" w:rsidRPr="00616108">
        <w:t>t</w:t>
      </w:r>
      <w:r w:rsidRPr="00616108">
        <w:t>artras</w:t>
      </w:r>
      <w:proofErr w:type="spellEnd"/>
    </w:p>
    <w:p w14:paraId="0D1A464E" w14:textId="11D9BDC5" w:rsidR="001E674A" w:rsidRPr="00616108" w:rsidRDefault="009A7EF9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>
        <w:t xml:space="preserve"> </w:t>
      </w:r>
      <w:bookmarkStart w:id="3" w:name="_GoBack"/>
      <w:bookmarkEnd w:id="3"/>
    </w:p>
    <w:p w14:paraId="2C175771" w14:textId="77777777" w:rsidR="00CF4360" w:rsidRPr="00616108" w:rsidRDefault="00916C3B" w:rsidP="00091AE2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40" w:lineRule="auto"/>
        <w:ind w:left="0" w:hanging="20"/>
        <w:jc w:val="both"/>
      </w:pPr>
      <w:bookmarkStart w:id="4" w:name="bookmark3"/>
      <w:r w:rsidRPr="00616108">
        <w:t>OBSAH LÉČIVÝCH A OSTATNÍCH LÁTEK</w:t>
      </w:r>
      <w:bookmarkEnd w:id="4"/>
    </w:p>
    <w:p w14:paraId="1682477F" w14:textId="77777777" w:rsidR="003E19DA" w:rsidRPr="00616108" w:rsidRDefault="003E19DA" w:rsidP="00091AE2">
      <w:pPr>
        <w:pStyle w:val="Zkladntext5"/>
        <w:shd w:val="clear" w:color="auto" w:fill="auto"/>
        <w:spacing w:before="0" w:after="0" w:line="240" w:lineRule="auto"/>
        <w:ind w:firstLine="0"/>
      </w:pPr>
    </w:p>
    <w:p w14:paraId="1EFD8484" w14:textId="4FD0EC20" w:rsidR="003E19DA" w:rsidRPr="00616108" w:rsidRDefault="004902C3" w:rsidP="00091AE2">
      <w:pPr>
        <w:pStyle w:val="Zkladntext5"/>
        <w:shd w:val="clear" w:color="auto" w:fill="auto"/>
        <w:spacing w:before="0" w:after="0" w:line="240" w:lineRule="auto"/>
        <w:ind w:firstLine="0"/>
      </w:pPr>
      <w:r w:rsidRPr="00616108">
        <w:t xml:space="preserve">Každý </w:t>
      </w:r>
      <w:r w:rsidR="00916C3B" w:rsidRPr="00616108">
        <w:t xml:space="preserve">ml obsahuje: </w:t>
      </w:r>
    </w:p>
    <w:p w14:paraId="7ED18A53" w14:textId="77777777" w:rsidR="00CF4360" w:rsidRPr="00616108" w:rsidRDefault="00916C3B" w:rsidP="00091AE2">
      <w:pPr>
        <w:pStyle w:val="Zkladntext5"/>
        <w:shd w:val="clear" w:color="auto" w:fill="auto"/>
        <w:spacing w:before="0" w:after="0" w:line="240" w:lineRule="auto"/>
        <w:ind w:firstLine="0"/>
      </w:pPr>
      <w:r w:rsidRPr="00616108">
        <w:rPr>
          <w:rStyle w:val="ZkladntextTun"/>
        </w:rPr>
        <w:t>Léčivé látky:</w:t>
      </w:r>
    </w:p>
    <w:p w14:paraId="5AC4B971" w14:textId="000E13EF" w:rsidR="008E7E40" w:rsidRPr="00616108" w:rsidRDefault="00916C3B" w:rsidP="00091AE2">
      <w:pPr>
        <w:pStyle w:val="Zkladntext5"/>
        <w:shd w:val="clear" w:color="auto" w:fill="auto"/>
        <w:tabs>
          <w:tab w:val="left" w:leader="dot" w:pos="3402"/>
        </w:tabs>
        <w:spacing w:before="0" w:after="0" w:line="240" w:lineRule="auto"/>
        <w:ind w:firstLine="0"/>
      </w:pPr>
      <w:proofErr w:type="spellStart"/>
      <w:r w:rsidRPr="00616108">
        <w:t>Procaini</w:t>
      </w:r>
      <w:proofErr w:type="spellEnd"/>
      <w:r w:rsidRPr="00616108">
        <w:t xml:space="preserve"> </w:t>
      </w:r>
      <w:proofErr w:type="spellStart"/>
      <w:r w:rsidRPr="00616108">
        <w:t>hydrochloridum</w:t>
      </w:r>
      <w:proofErr w:type="spellEnd"/>
      <w:r w:rsidRPr="00616108">
        <w:t xml:space="preserve"> </w:t>
      </w:r>
      <w:r w:rsidR="00556C42" w:rsidRPr="00616108">
        <w:tab/>
      </w:r>
      <w:r w:rsidRPr="00616108">
        <w:t xml:space="preserve">40 mg </w:t>
      </w:r>
    </w:p>
    <w:p w14:paraId="57237A13" w14:textId="0C1731B3" w:rsidR="008E7E40" w:rsidRPr="00616108" w:rsidRDefault="00916C3B" w:rsidP="00091AE2">
      <w:pPr>
        <w:pStyle w:val="Zkladntext5"/>
        <w:shd w:val="clear" w:color="auto" w:fill="auto"/>
        <w:spacing w:before="0" w:after="0" w:line="240" w:lineRule="auto"/>
        <w:ind w:firstLine="0"/>
      </w:pPr>
      <w:r w:rsidRPr="00616108">
        <w:t xml:space="preserve">(odpovídá 34,65 mg </w:t>
      </w:r>
      <w:proofErr w:type="spellStart"/>
      <w:r w:rsidRPr="00616108">
        <w:t>procainum</w:t>
      </w:r>
      <w:proofErr w:type="spellEnd"/>
      <w:r w:rsidRPr="00616108">
        <w:t>)</w:t>
      </w:r>
    </w:p>
    <w:p w14:paraId="6A29912C" w14:textId="5C8CE222" w:rsidR="008E7E40" w:rsidRPr="00616108" w:rsidRDefault="008E7E40" w:rsidP="00091AE2">
      <w:pPr>
        <w:pStyle w:val="Zkladntext5"/>
        <w:shd w:val="clear" w:color="auto" w:fill="auto"/>
        <w:tabs>
          <w:tab w:val="left" w:leader="dot" w:pos="3402"/>
        </w:tabs>
        <w:spacing w:before="0" w:after="0" w:line="240" w:lineRule="auto"/>
        <w:ind w:firstLine="0"/>
      </w:pPr>
      <w:proofErr w:type="spellStart"/>
      <w:r w:rsidRPr="00616108">
        <w:t>E</w:t>
      </w:r>
      <w:r w:rsidR="00916C3B" w:rsidRPr="00616108">
        <w:t>pinephrini</w:t>
      </w:r>
      <w:proofErr w:type="spellEnd"/>
      <w:r w:rsidR="00916C3B" w:rsidRPr="00616108">
        <w:t xml:space="preserve"> </w:t>
      </w:r>
      <w:proofErr w:type="spellStart"/>
      <w:r w:rsidR="00916C3B" w:rsidRPr="00616108">
        <w:t>tartras</w:t>
      </w:r>
      <w:proofErr w:type="spellEnd"/>
      <w:r w:rsidR="00556C42" w:rsidRPr="00616108">
        <w:tab/>
      </w:r>
      <w:r w:rsidR="00916C3B" w:rsidRPr="00616108">
        <w:t xml:space="preserve">0,036 mg </w:t>
      </w:r>
    </w:p>
    <w:p w14:paraId="47B49234" w14:textId="070F1F1F" w:rsidR="003E19DA" w:rsidRPr="00616108" w:rsidRDefault="00916C3B" w:rsidP="00091AE2">
      <w:pPr>
        <w:pStyle w:val="Zkladntext5"/>
        <w:shd w:val="clear" w:color="auto" w:fill="auto"/>
        <w:spacing w:before="0" w:after="0" w:line="240" w:lineRule="auto"/>
        <w:ind w:firstLine="0"/>
      </w:pPr>
      <w:r w:rsidRPr="00616108">
        <w:t xml:space="preserve">(odpovídá 0,02 mg </w:t>
      </w:r>
      <w:proofErr w:type="spellStart"/>
      <w:r w:rsidRPr="00616108">
        <w:t>epinephrinum</w:t>
      </w:r>
      <w:proofErr w:type="spellEnd"/>
      <w:r w:rsidRPr="00616108">
        <w:t xml:space="preserve">) </w:t>
      </w:r>
    </w:p>
    <w:p w14:paraId="0EB50AB0" w14:textId="77777777" w:rsidR="008E7E40" w:rsidRPr="00616108" w:rsidRDefault="008E7E40" w:rsidP="00616108">
      <w:pPr>
        <w:pStyle w:val="Zkladntext5"/>
        <w:widowControl w:val="0"/>
        <w:shd w:val="clear" w:color="auto" w:fill="auto"/>
        <w:spacing w:before="0" w:after="0" w:line="240" w:lineRule="auto"/>
        <w:ind w:firstLine="0"/>
        <w:rPr>
          <w:rStyle w:val="ZkladntextTun"/>
        </w:rPr>
      </w:pPr>
    </w:p>
    <w:p w14:paraId="0F03B16A" w14:textId="57B32591" w:rsidR="00CF4360" w:rsidRPr="00616108" w:rsidRDefault="00916C3B">
      <w:pPr>
        <w:pStyle w:val="Zkladntext5"/>
        <w:widowControl w:val="0"/>
        <w:shd w:val="clear" w:color="auto" w:fill="auto"/>
        <w:spacing w:before="0" w:after="0" w:line="240" w:lineRule="auto"/>
        <w:ind w:firstLine="0"/>
      </w:pPr>
      <w:r w:rsidRPr="00616108">
        <w:rPr>
          <w:rStyle w:val="ZkladntextTun"/>
        </w:rPr>
        <w:t>Pomocné látky:</w:t>
      </w:r>
    </w:p>
    <w:p w14:paraId="132FF801" w14:textId="446B0758" w:rsidR="008E7E40" w:rsidRPr="00616108" w:rsidRDefault="00916C3B">
      <w:pPr>
        <w:pStyle w:val="Zkladntext5"/>
        <w:widowControl w:val="0"/>
        <w:shd w:val="clear" w:color="auto" w:fill="auto"/>
        <w:tabs>
          <w:tab w:val="left" w:leader="dot" w:pos="3402"/>
        </w:tabs>
        <w:spacing w:before="0" w:after="0" w:line="240" w:lineRule="auto"/>
        <w:ind w:firstLine="0"/>
      </w:pPr>
      <w:proofErr w:type="spellStart"/>
      <w:r w:rsidRPr="00616108">
        <w:t>Disiřičitan</w:t>
      </w:r>
      <w:proofErr w:type="spellEnd"/>
      <w:r w:rsidRPr="00616108">
        <w:t xml:space="preserve"> sodný (E223)</w:t>
      </w:r>
      <w:r w:rsidR="00556C42" w:rsidRPr="00616108">
        <w:tab/>
      </w:r>
      <w:r w:rsidR="004902C3" w:rsidRPr="00616108">
        <w:t>1 mg</w:t>
      </w:r>
    </w:p>
    <w:p w14:paraId="691963DB" w14:textId="48CF8C74" w:rsidR="008E7E40" w:rsidRPr="00616108" w:rsidRDefault="008E7E40">
      <w:pPr>
        <w:pStyle w:val="Zkladntext5"/>
        <w:widowControl w:val="0"/>
        <w:shd w:val="clear" w:color="auto" w:fill="auto"/>
        <w:tabs>
          <w:tab w:val="left" w:leader="dot" w:pos="3402"/>
        </w:tabs>
        <w:spacing w:before="0" w:after="0" w:line="240" w:lineRule="auto"/>
        <w:ind w:firstLine="0"/>
      </w:pPr>
      <w:r w:rsidRPr="00616108">
        <w:t>S</w:t>
      </w:r>
      <w:r w:rsidR="00916C3B" w:rsidRPr="00616108">
        <w:t xml:space="preserve">odná sůl </w:t>
      </w:r>
      <w:proofErr w:type="spellStart"/>
      <w:r w:rsidR="00916C3B" w:rsidRPr="00616108">
        <w:t>methylparabenu</w:t>
      </w:r>
      <w:proofErr w:type="spellEnd"/>
      <w:r w:rsidR="00916C3B" w:rsidRPr="00616108">
        <w:t xml:space="preserve"> (E219)</w:t>
      </w:r>
      <w:r w:rsidR="00556C42" w:rsidRPr="00616108">
        <w:tab/>
      </w:r>
      <w:r w:rsidR="004902C3" w:rsidRPr="00616108">
        <w:t>1,15 mg</w:t>
      </w:r>
    </w:p>
    <w:p w14:paraId="1BB9F8DD" w14:textId="49FED857" w:rsidR="003E19DA" w:rsidRPr="00616108" w:rsidRDefault="008E7E40">
      <w:pPr>
        <w:pStyle w:val="Zkladntext5"/>
        <w:widowControl w:val="0"/>
        <w:shd w:val="clear" w:color="auto" w:fill="auto"/>
        <w:tabs>
          <w:tab w:val="left" w:leader="dot" w:pos="3402"/>
        </w:tabs>
        <w:spacing w:before="0" w:after="0" w:line="240" w:lineRule="auto"/>
        <w:ind w:firstLine="0"/>
      </w:pPr>
      <w:proofErr w:type="spellStart"/>
      <w:r w:rsidRPr="00616108">
        <w:t>D</w:t>
      </w:r>
      <w:r w:rsidR="00916C3B" w:rsidRPr="00616108">
        <w:t>inatrium-edetát</w:t>
      </w:r>
      <w:proofErr w:type="spellEnd"/>
      <w:r w:rsidR="004902C3" w:rsidRPr="00616108">
        <w:t xml:space="preserve"> </w:t>
      </w:r>
      <w:r w:rsidR="00556C42" w:rsidRPr="00616108">
        <w:tab/>
      </w:r>
      <w:r w:rsidR="004902C3" w:rsidRPr="00616108">
        <w:t>0,1 mg</w:t>
      </w:r>
      <w:r w:rsidRPr="00616108">
        <w:t>.</w:t>
      </w:r>
    </w:p>
    <w:p w14:paraId="488D0975" w14:textId="77777777" w:rsidR="003E19DA" w:rsidRPr="00616108" w:rsidRDefault="003E19DA">
      <w:pPr>
        <w:pStyle w:val="Zkladntext5"/>
        <w:widowControl w:val="0"/>
        <w:shd w:val="clear" w:color="auto" w:fill="auto"/>
        <w:spacing w:before="0" w:after="0" w:line="240" w:lineRule="auto"/>
        <w:ind w:firstLine="0"/>
      </w:pPr>
    </w:p>
    <w:p w14:paraId="65B098CE" w14:textId="77777777" w:rsidR="00CF4360" w:rsidRPr="00616108" w:rsidRDefault="00916C3B">
      <w:pPr>
        <w:pStyle w:val="Zkladntext5"/>
        <w:widowControl w:val="0"/>
        <w:shd w:val="clear" w:color="auto" w:fill="auto"/>
        <w:spacing w:before="0" w:after="0" w:line="240" w:lineRule="auto"/>
        <w:ind w:firstLine="0"/>
      </w:pPr>
      <w:r w:rsidRPr="00616108">
        <w:t>Čirý bezbarvý roztok bez viditelných částic.</w:t>
      </w:r>
    </w:p>
    <w:p w14:paraId="42E305BB" w14:textId="77777777" w:rsidR="003E19DA" w:rsidRPr="00616108" w:rsidRDefault="003E19DA">
      <w:pPr>
        <w:pStyle w:val="Zkladntext5"/>
        <w:widowControl w:val="0"/>
        <w:shd w:val="clear" w:color="auto" w:fill="auto"/>
        <w:spacing w:before="0" w:after="0" w:line="240" w:lineRule="auto"/>
        <w:ind w:firstLine="0"/>
      </w:pPr>
    </w:p>
    <w:p w14:paraId="1A5FAA2E" w14:textId="77777777" w:rsidR="00CF4360" w:rsidRPr="00616108" w:rsidRDefault="00916C3B" w:rsidP="00091AE2">
      <w:pPr>
        <w:pStyle w:val="Nadpis20"/>
        <w:widowControl w:val="0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</w:pPr>
      <w:bookmarkStart w:id="5" w:name="bookmark4"/>
      <w:r w:rsidRPr="00616108">
        <w:t>INDIKACE</w:t>
      </w:r>
      <w:bookmarkEnd w:id="5"/>
    </w:p>
    <w:p w14:paraId="631078FB" w14:textId="77777777" w:rsidR="003E19DA" w:rsidRPr="00616108" w:rsidRDefault="003E19DA">
      <w:pPr>
        <w:pStyle w:val="Zkladntext5"/>
        <w:widowControl w:val="0"/>
        <w:shd w:val="clear" w:color="auto" w:fill="auto"/>
        <w:tabs>
          <w:tab w:val="left" w:pos="709"/>
        </w:tabs>
        <w:spacing w:before="0" w:after="0" w:line="240" w:lineRule="auto"/>
        <w:ind w:hanging="697"/>
      </w:pPr>
    </w:p>
    <w:p w14:paraId="2753E3F1" w14:textId="77777777" w:rsidR="00396A60" w:rsidRPr="00616108" w:rsidRDefault="00396A60">
      <w:pPr>
        <w:pStyle w:val="Zkladntext5"/>
        <w:widowControl w:val="0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 xml:space="preserve">Koně, skot, prasata a ovce: </w:t>
      </w:r>
    </w:p>
    <w:p w14:paraId="09FE1FF6" w14:textId="21C92089" w:rsidR="00CF4360" w:rsidRPr="00616108" w:rsidRDefault="00396A60" w:rsidP="00091AE2">
      <w:pPr>
        <w:pStyle w:val="Zkladntext5"/>
        <w:widowControl w:val="0"/>
        <w:numPr>
          <w:ilvl w:val="0"/>
          <w:numId w:val="6"/>
        </w:numPr>
        <w:shd w:val="clear" w:color="auto" w:fill="auto"/>
        <w:tabs>
          <w:tab w:val="left" w:pos="709"/>
        </w:tabs>
        <w:spacing w:before="0" w:after="0" w:line="240" w:lineRule="auto"/>
      </w:pPr>
      <w:r w:rsidRPr="00616108">
        <w:t>l</w:t>
      </w:r>
      <w:r w:rsidR="00916C3B" w:rsidRPr="00616108">
        <w:t>okální anestezie s dlouhotrvajícím anestetickým účinkem.</w:t>
      </w:r>
    </w:p>
    <w:p w14:paraId="6ED902EA" w14:textId="77777777" w:rsidR="0092055B" w:rsidRPr="00616108" w:rsidRDefault="0092055B" w:rsidP="00616108">
      <w:pPr>
        <w:pStyle w:val="Zkladntext5"/>
        <w:widowControl w:val="0"/>
        <w:shd w:val="clear" w:color="auto" w:fill="auto"/>
        <w:tabs>
          <w:tab w:val="left" w:pos="709"/>
        </w:tabs>
        <w:spacing w:before="0" w:after="0" w:line="240" w:lineRule="auto"/>
        <w:ind w:firstLine="0"/>
      </w:pPr>
    </w:p>
    <w:p w14:paraId="751CCD9F" w14:textId="36358036" w:rsidR="00CF4360" w:rsidRPr="00616108" w:rsidRDefault="00916C3B" w:rsidP="00091AE2">
      <w:pPr>
        <w:pStyle w:val="Zkladntext5"/>
        <w:widowControl w:val="0"/>
        <w:numPr>
          <w:ilvl w:val="0"/>
          <w:numId w:val="6"/>
        </w:numPr>
        <w:shd w:val="clear" w:color="auto" w:fill="auto"/>
        <w:tabs>
          <w:tab w:val="left" w:pos="709"/>
        </w:tabs>
        <w:spacing w:before="0" w:after="0" w:line="240" w:lineRule="auto"/>
      </w:pPr>
      <w:r w:rsidRPr="00616108">
        <w:t xml:space="preserve">infiltrační anestezie a </w:t>
      </w:r>
      <w:proofErr w:type="spellStart"/>
      <w:r w:rsidRPr="00616108">
        <w:t>perineurální</w:t>
      </w:r>
      <w:proofErr w:type="spellEnd"/>
      <w:r w:rsidRPr="00616108">
        <w:t xml:space="preserve"> anestézie (viz</w:t>
      </w:r>
      <w:r w:rsidR="00102CC1" w:rsidRPr="00616108">
        <w:t xml:space="preserve"> </w:t>
      </w:r>
      <w:r w:rsidR="00277CF4" w:rsidRPr="00616108">
        <w:t>bod 12</w:t>
      </w:r>
      <w:r w:rsidRPr="00616108">
        <w:t>).</w:t>
      </w:r>
    </w:p>
    <w:p w14:paraId="6D0941DF" w14:textId="77777777" w:rsidR="003E19DA" w:rsidRPr="00616108" w:rsidRDefault="003E19DA" w:rsidP="00616108">
      <w:pPr>
        <w:pStyle w:val="Zkladntext5"/>
        <w:widowControl w:val="0"/>
        <w:shd w:val="clear" w:color="auto" w:fill="auto"/>
        <w:tabs>
          <w:tab w:val="left" w:pos="709"/>
        </w:tabs>
        <w:spacing w:before="0" w:after="0" w:line="240" w:lineRule="auto"/>
        <w:ind w:firstLine="0"/>
      </w:pPr>
    </w:p>
    <w:p w14:paraId="1731049F" w14:textId="77777777" w:rsidR="00CF4360" w:rsidRPr="00616108" w:rsidRDefault="00916C3B" w:rsidP="00091AE2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</w:pPr>
      <w:bookmarkStart w:id="6" w:name="bookmark5"/>
      <w:r w:rsidRPr="00616108">
        <w:t>KONTRAINDIKACE</w:t>
      </w:r>
      <w:bookmarkEnd w:id="6"/>
    </w:p>
    <w:p w14:paraId="4E8AFDEF" w14:textId="77777777" w:rsidR="003E19DA" w:rsidRPr="00616108" w:rsidRDefault="003E19DA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hanging="698"/>
      </w:pPr>
    </w:p>
    <w:p w14:paraId="453CA02D" w14:textId="77777777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>Nepoužívat u zvířat v šoku.</w:t>
      </w:r>
    </w:p>
    <w:p w14:paraId="41D9BCD5" w14:textId="77777777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>Nepoužívat u zvířat s kardiovaskulárními problémy.</w:t>
      </w:r>
    </w:p>
    <w:p w14:paraId="592E1317" w14:textId="77777777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>Nepoužívat u zvířat léčených sulfonamidy.</w:t>
      </w:r>
    </w:p>
    <w:p w14:paraId="579F3FC8" w14:textId="4DFDA24C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 xml:space="preserve">Nepoužívat u zvířat léčených </w:t>
      </w:r>
      <w:proofErr w:type="spellStart"/>
      <w:r w:rsidRPr="00616108">
        <w:t>fenothiaziny</w:t>
      </w:r>
      <w:proofErr w:type="spellEnd"/>
      <w:r w:rsidRPr="00616108">
        <w:t xml:space="preserve"> (</w:t>
      </w:r>
      <w:r w:rsidR="00277CF4" w:rsidRPr="00616108">
        <w:t>viz bod 12</w:t>
      </w:r>
      <w:r w:rsidRPr="00616108">
        <w:t>).</w:t>
      </w:r>
    </w:p>
    <w:p w14:paraId="135EC11D" w14:textId="0833BEE2" w:rsidR="00CF4360" w:rsidRPr="00616108" w:rsidRDefault="00BB6666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 xml:space="preserve">Nepoužívat </w:t>
      </w:r>
      <w:r w:rsidR="00916C3B" w:rsidRPr="00616108">
        <w:t>s</w:t>
      </w:r>
      <w:r w:rsidR="00396A60" w:rsidRPr="00616108">
        <w:t xml:space="preserve"> prchavými </w:t>
      </w:r>
      <w:r w:rsidR="00916C3B" w:rsidRPr="00616108">
        <w:t xml:space="preserve">anestetiky na bázi </w:t>
      </w:r>
      <w:proofErr w:type="spellStart"/>
      <w:r w:rsidR="00916C3B" w:rsidRPr="00616108">
        <w:t>cykloprop</w:t>
      </w:r>
      <w:r w:rsidR="00277CF4" w:rsidRPr="00616108">
        <w:rPr>
          <w:lang w:bidi="cs-CZ"/>
        </w:rPr>
        <w:t>á</w:t>
      </w:r>
      <w:r w:rsidR="00916C3B" w:rsidRPr="00616108">
        <w:t>nu</w:t>
      </w:r>
      <w:proofErr w:type="spellEnd"/>
      <w:r w:rsidR="00916C3B" w:rsidRPr="00616108">
        <w:t xml:space="preserve"> či </w:t>
      </w:r>
      <w:proofErr w:type="spellStart"/>
      <w:r w:rsidR="00916C3B" w:rsidRPr="00616108">
        <w:t>halotanu</w:t>
      </w:r>
      <w:proofErr w:type="spellEnd"/>
      <w:r w:rsidR="00916C3B" w:rsidRPr="00616108">
        <w:t xml:space="preserve"> (</w:t>
      </w:r>
      <w:r w:rsidR="00277CF4" w:rsidRPr="00616108">
        <w:t>viz bod 12</w:t>
      </w:r>
      <w:r w:rsidR="00916C3B" w:rsidRPr="00616108">
        <w:t>).</w:t>
      </w:r>
    </w:p>
    <w:p w14:paraId="3FB38E82" w14:textId="21FF540D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>Nepoužívat pro anestézii oblasti s terminálním oběhem (uši, ocas, penis, atd.), vzhledem k</w:t>
      </w:r>
      <w:r w:rsidR="00616108" w:rsidRPr="00616108">
        <w:t> </w:t>
      </w:r>
      <w:r w:rsidRPr="00616108">
        <w:t>nebezpečí odumření tkáně po úplné zástavě oběhu, v důsledku přítomnosti epinefrinu (látky</w:t>
      </w:r>
      <w:r w:rsidR="00616108" w:rsidRPr="00616108">
        <w:t xml:space="preserve"> </w:t>
      </w:r>
      <w:r w:rsidRPr="00616108">
        <w:t>s</w:t>
      </w:r>
      <w:r w:rsidR="00616108" w:rsidRPr="00616108">
        <w:t> </w:t>
      </w:r>
      <w:proofErr w:type="spellStart"/>
      <w:r w:rsidRPr="00616108">
        <w:t>vazokonstrikčním</w:t>
      </w:r>
      <w:proofErr w:type="spellEnd"/>
      <w:r w:rsidRPr="00616108">
        <w:t xml:space="preserve"> působením).</w:t>
      </w:r>
    </w:p>
    <w:p w14:paraId="666EFA93" w14:textId="5B4847CB" w:rsidR="00CF4360" w:rsidRPr="00616108" w:rsidRDefault="00916C3B" w:rsidP="00091AE2">
      <w:pPr>
        <w:pStyle w:val="Zkladntext5"/>
        <w:shd w:val="clear" w:color="auto" w:fill="auto"/>
        <w:tabs>
          <w:tab w:val="left" w:pos="1134"/>
        </w:tabs>
        <w:spacing w:before="0" w:after="0" w:line="240" w:lineRule="auto"/>
        <w:ind w:firstLine="0"/>
      </w:pPr>
      <w:r w:rsidRPr="00616108">
        <w:lastRenderedPageBreak/>
        <w:t>Nepoužívat v případ</w:t>
      </w:r>
      <w:r w:rsidR="00396A60" w:rsidRPr="00616108">
        <w:t>ech</w:t>
      </w:r>
      <w:r w:rsidRPr="00616108">
        <w:t xml:space="preserve"> přecitlivělosti na léčivou látku nebo na některou z pomocných látek. </w:t>
      </w:r>
      <w:r w:rsidR="00C045EE" w:rsidRPr="00D65DC5">
        <w:t>Nepodáv</w:t>
      </w:r>
      <w:r w:rsidR="00C045EE">
        <w:t>at</w:t>
      </w:r>
      <w:r w:rsidR="00C045EE" w:rsidRPr="00D65DC5">
        <w:t xml:space="preserve"> </w:t>
      </w:r>
      <w:r w:rsidRPr="00616108">
        <w:t xml:space="preserve">intravenózně nebo </w:t>
      </w:r>
      <w:proofErr w:type="spellStart"/>
      <w:r w:rsidRPr="00616108">
        <w:t>intraartikulárně</w:t>
      </w:r>
      <w:proofErr w:type="spellEnd"/>
      <w:r w:rsidRPr="00616108">
        <w:t>.</w:t>
      </w:r>
    </w:p>
    <w:p w14:paraId="4A8FC214" w14:textId="7EF7251D" w:rsidR="00CF4360" w:rsidRPr="00616108" w:rsidRDefault="00916C3B" w:rsidP="00091AE2">
      <w:pPr>
        <w:pStyle w:val="Zkladntext5"/>
        <w:shd w:val="clear" w:color="auto" w:fill="auto"/>
        <w:tabs>
          <w:tab w:val="left" w:pos="1276"/>
        </w:tabs>
        <w:spacing w:before="0" w:after="0" w:line="240" w:lineRule="auto"/>
        <w:ind w:firstLine="0"/>
      </w:pPr>
      <w:r w:rsidRPr="00616108">
        <w:t>Nepoužívat v případ</w:t>
      </w:r>
      <w:r w:rsidR="00396A60" w:rsidRPr="00616108">
        <w:t>ech</w:t>
      </w:r>
      <w:r w:rsidRPr="00616108">
        <w:t xml:space="preserve"> přecitlivělosti na lokální anestetika, které patří do podskupiny esterů nebo v případě možných alergických zkřížených reakcí na p-aminobenzoovou kyselinu </w:t>
      </w:r>
      <w:r w:rsidR="00616108" w:rsidRPr="00616108">
        <w:t>a </w:t>
      </w:r>
      <w:r w:rsidRPr="00616108">
        <w:t>sulfonamidy.</w:t>
      </w:r>
    </w:p>
    <w:p w14:paraId="08154998" w14:textId="77777777" w:rsidR="003E19DA" w:rsidRPr="00616108" w:rsidRDefault="003E19DA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</w:p>
    <w:p w14:paraId="33B4F4E8" w14:textId="77777777" w:rsidR="00CF4360" w:rsidRPr="00616108" w:rsidRDefault="00916C3B" w:rsidP="00091AE2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</w:pPr>
      <w:bookmarkStart w:id="7" w:name="bookmark6"/>
      <w:r w:rsidRPr="00616108">
        <w:t>NEŽÁDOUCÍ ÚČINKY</w:t>
      </w:r>
      <w:bookmarkEnd w:id="7"/>
    </w:p>
    <w:p w14:paraId="4407DEED" w14:textId="77777777" w:rsidR="001E674A" w:rsidRPr="00616108" w:rsidRDefault="001E674A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</w:p>
    <w:p w14:paraId="402433F6" w14:textId="1F52E7F1" w:rsidR="00CF4360" w:rsidRPr="00616108" w:rsidRDefault="00105006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>Ve vzácných případech může p</w:t>
      </w:r>
      <w:r w:rsidR="00916C3B" w:rsidRPr="00616108">
        <w:t xml:space="preserve">rokain způsobit pokles krevního </w:t>
      </w:r>
      <w:r w:rsidR="003E19DA" w:rsidRPr="00616108">
        <w:t>tlaku.</w:t>
      </w:r>
    </w:p>
    <w:p w14:paraId="7D422CE0" w14:textId="63212B4E" w:rsidR="00CF4360" w:rsidRPr="00616108" w:rsidRDefault="008E7E40" w:rsidP="00616108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6108">
        <w:rPr>
          <w:rFonts w:ascii="Times New Roman" w:hAnsi="Times New Roman" w:cs="Times New Roman"/>
          <w:bCs/>
          <w:iCs/>
          <w:sz w:val="22"/>
          <w:szCs w:val="22"/>
          <w:lang w:val="cs-CZ"/>
        </w:rPr>
        <w:t>Vzácně</w:t>
      </w:r>
      <w:r w:rsidR="00916C3B" w:rsidRPr="00616108">
        <w:rPr>
          <w:rFonts w:ascii="Times New Roman" w:hAnsi="Times New Roman" w:cs="Times New Roman"/>
          <w:sz w:val="22"/>
          <w:szCs w:val="22"/>
        </w:rPr>
        <w:t>, zejména u koní, může dojít po podání prokainu k podráždění CNS (neklid, třes, křeče).</w:t>
      </w:r>
    </w:p>
    <w:p w14:paraId="6EC087E1" w14:textId="77777777" w:rsidR="00CF4360" w:rsidRPr="00616108" w:rsidRDefault="00916C3B" w:rsidP="00091AE2">
      <w:pPr>
        <w:pStyle w:val="Zkladntext5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616108">
        <w:t>Alergické reakce na prokain jsou poměrně časté; pouze ve vzácných případech byly pozorovány anafylaktické reakce.</w:t>
      </w:r>
    </w:p>
    <w:p w14:paraId="45453A6E" w14:textId="77777777" w:rsidR="008A2932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 xml:space="preserve">Přecitlivělost na lokální anestetika, které patří do podskupiny esterů, je známá. </w:t>
      </w:r>
    </w:p>
    <w:p w14:paraId="6B29C257" w14:textId="31913137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 xml:space="preserve">Ve </w:t>
      </w:r>
      <w:r w:rsidR="00AB42BA" w:rsidRPr="00616108">
        <w:t xml:space="preserve">vzácných </w:t>
      </w:r>
      <w:r w:rsidRPr="00616108">
        <w:t>případech se může objevit tachykardie (epinefrin). V případě neúmyslné intravaskulární aplikace se často objevují toxické reakce. Tyto</w:t>
      </w:r>
      <w:r w:rsidR="00FE7119" w:rsidRPr="00616108">
        <w:t xml:space="preserve"> reakce</w:t>
      </w:r>
      <w:r w:rsidRPr="00616108">
        <w:t xml:space="preserve"> se projevují podrážděním centrálního nervového systému (neklid, třes, křeče) s následnou depresí </w:t>
      </w:r>
      <w:r w:rsidR="009D4CC3" w:rsidRPr="00616108">
        <w:t>S</w:t>
      </w:r>
      <w:r w:rsidRPr="00616108">
        <w:t xml:space="preserve">mrt </w:t>
      </w:r>
      <w:r w:rsidR="00AA3DF0" w:rsidRPr="00616108">
        <w:t xml:space="preserve">pak nastává </w:t>
      </w:r>
      <w:r w:rsidRPr="00616108">
        <w:t>důsledk</w:t>
      </w:r>
      <w:r w:rsidR="00C045EE">
        <w:t>em</w:t>
      </w:r>
      <w:r w:rsidRPr="00616108">
        <w:t xml:space="preserve"> paralýzy respirační soustavy. V případě podráždění </w:t>
      </w:r>
      <w:r w:rsidR="00FE7119" w:rsidRPr="00616108">
        <w:t xml:space="preserve">související s </w:t>
      </w:r>
      <w:r w:rsidRPr="00616108">
        <w:t xml:space="preserve">CNS je třeba podat krátkodobě působící barbituráty, stejně jako přípravky pro okyselení moči a podpořit </w:t>
      </w:r>
      <w:r w:rsidR="00D97995" w:rsidRPr="00616108">
        <w:t xml:space="preserve">tak </w:t>
      </w:r>
      <w:r w:rsidRPr="00616108">
        <w:t>vylučování ledvinami.</w:t>
      </w:r>
    </w:p>
    <w:p w14:paraId="3C116A55" w14:textId="2A19E8A4" w:rsidR="00CF4360" w:rsidRPr="00616108" w:rsidRDefault="006C1024" w:rsidP="00091AE2">
      <w:pPr>
        <w:pStyle w:val="Zkladntext5"/>
        <w:shd w:val="clear" w:color="auto" w:fill="auto"/>
        <w:tabs>
          <w:tab w:val="left" w:pos="1026"/>
        </w:tabs>
        <w:spacing w:before="0" w:after="0" w:line="240" w:lineRule="auto"/>
        <w:ind w:firstLine="0"/>
      </w:pPr>
      <w:r w:rsidRPr="00616108">
        <w:t xml:space="preserve">V </w:t>
      </w:r>
      <w:r w:rsidR="00916C3B" w:rsidRPr="00616108">
        <w:t xml:space="preserve">případě alergických reakcí mohou být podána antihistaminika nebo kortikoidy. Alergický </w:t>
      </w:r>
      <w:r w:rsidR="00425F0D" w:rsidRPr="00616108">
        <w:t>š</w:t>
      </w:r>
      <w:r w:rsidR="00916C3B" w:rsidRPr="00616108">
        <w:t xml:space="preserve">ok </w:t>
      </w:r>
      <w:r w:rsidR="00FE7119" w:rsidRPr="00616108">
        <w:t xml:space="preserve">by se měl léčit </w:t>
      </w:r>
      <w:r w:rsidR="00916C3B" w:rsidRPr="00616108">
        <w:t>epinefr</w:t>
      </w:r>
      <w:r w:rsidR="00425F0D" w:rsidRPr="00616108">
        <w:t>i</w:t>
      </w:r>
      <w:r w:rsidR="00916C3B" w:rsidRPr="00616108">
        <w:t>nem.</w:t>
      </w:r>
    </w:p>
    <w:p w14:paraId="51F6F514" w14:textId="0A24EEB7" w:rsidR="00724B3D" w:rsidRPr="00616108" w:rsidRDefault="00724B3D" w:rsidP="00091AE2">
      <w:pPr>
        <w:pStyle w:val="Zkladntext5"/>
        <w:shd w:val="clear" w:color="auto" w:fill="auto"/>
        <w:tabs>
          <w:tab w:val="left" w:pos="1026"/>
        </w:tabs>
        <w:spacing w:before="0" w:after="0" w:line="240" w:lineRule="auto"/>
        <w:ind w:firstLine="0"/>
      </w:pPr>
    </w:p>
    <w:p w14:paraId="3496E31B" w14:textId="77777777" w:rsidR="00724B3D" w:rsidRPr="00616108" w:rsidRDefault="00724B3D" w:rsidP="00091AE2">
      <w:pPr>
        <w:shd w:val="clear" w:color="auto" w:fill="FFFFFF"/>
        <w:tabs>
          <w:tab w:val="left" w:pos="0"/>
          <w:tab w:val="left" w:pos="916"/>
        </w:tabs>
        <w:ind w:right="4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16108">
        <w:rPr>
          <w:rFonts w:ascii="Times New Roman" w:eastAsia="Times New Roman" w:hAnsi="Times New Roman" w:cs="Times New Roman"/>
          <w:sz w:val="22"/>
          <w:szCs w:val="22"/>
        </w:rPr>
        <w:t>Četnost nežádoucích účinků je charakterizována podle následujících pravidel:</w:t>
      </w:r>
    </w:p>
    <w:p w14:paraId="1B93481F" w14:textId="77777777" w:rsidR="00724B3D" w:rsidRPr="00616108" w:rsidRDefault="00724B3D" w:rsidP="00091AE2">
      <w:pPr>
        <w:shd w:val="clear" w:color="auto" w:fill="FFFFFF"/>
        <w:tabs>
          <w:tab w:val="left" w:pos="0"/>
          <w:tab w:val="left" w:pos="916"/>
        </w:tabs>
        <w:ind w:right="4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16108">
        <w:rPr>
          <w:rFonts w:ascii="Times New Roman" w:eastAsia="Times New Roman" w:hAnsi="Times New Roman" w:cs="Times New Roman"/>
          <w:sz w:val="22"/>
          <w:szCs w:val="22"/>
        </w:rPr>
        <w:t xml:space="preserve">- velmi časté (nežádoucí </w:t>
      </w:r>
      <w:proofErr w:type="gramStart"/>
      <w:r w:rsidRPr="00616108">
        <w:rPr>
          <w:rFonts w:ascii="Times New Roman" w:eastAsia="Times New Roman" w:hAnsi="Times New Roman" w:cs="Times New Roman"/>
          <w:sz w:val="22"/>
          <w:szCs w:val="22"/>
        </w:rPr>
        <w:t>účinek(</w:t>
      </w:r>
      <w:proofErr w:type="spellStart"/>
      <w:r w:rsidRPr="00616108">
        <w:rPr>
          <w:rFonts w:ascii="Times New Roman" w:eastAsia="Times New Roman" w:hAnsi="Times New Roman" w:cs="Times New Roman"/>
          <w:sz w:val="22"/>
          <w:szCs w:val="22"/>
        </w:rPr>
        <w:t>nky</w:t>
      </w:r>
      <w:proofErr w:type="spellEnd"/>
      <w:proofErr w:type="gramEnd"/>
      <w:r w:rsidRPr="00616108">
        <w:rPr>
          <w:rFonts w:ascii="Times New Roman" w:eastAsia="Times New Roman" w:hAnsi="Times New Roman" w:cs="Times New Roman"/>
          <w:sz w:val="22"/>
          <w:szCs w:val="22"/>
        </w:rPr>
        <w:t>) se projevil(y) u více než 1 z 10 ošetřených zvířat)</w:t>
      </w:r>
    </w:p>
    <w:p w14:paraId="7C428169" w14:textId="77777777" w:rsidR="00724B3D" w:rsidRPr="00616108" w:rsidRDefault="00724B3D" w:rsidP="00091AE2">
      <w:pPr>
        <w:shd w:val="clear" w:color="auto" w:fill="FFFFFF"/>
        <w:tabs>
          <w:tab w:val="left" w:pos="0"/>
          <w:tab w:val="left" w:pos="916"/>
        </w:tabs>
        <w:ind w:right="4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16108">
        <w:rPr>
          <w:rFonts w:ascii="Times New Roman" w:eastAsia="Times New Roman" w:hAnsi="Times New Roman" w:cs="Times New Roman"/>
          <w:sz w:val="22"/>
          <w:szCs w:val="22"/>
        </w:rPr>
        <w:t>- časté (u více než 1, ale méně než 10 ze 100 ošetřených zvířat)</w:t>
      </w:r>
    </w:p>
    <w:p w14:paraId="1E6B832C" w14:textId="77777777" w:rsidR="00724B3D" w:rsidRPr="00616108" w:rsidRDefault="00724B3D" w:rsidP="00091AE2">
      <w:pPr>
        <w:shd w:val="clear" w:color="auto" w:fill="FFFFFF"/>
        <w:tabs>
          <w:tab w:val="left" w:pos="0"/>
          <w:tab w:val="left" w:pos="916"/>
        </w:tabs>
        <w:ind w:right="4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16108">
        <w:rPr>
          <w:rFonts w:ascii="Times New Roman" w:eastAsia="Times New Roman" w:hAnsi="Times New Roman" w:cs="Times New Roman"/>
          <w:sz w:val="22"/>
          <w:szCs w:val="22"/>
        </w:rPr>
        <w:t>- neobvyklé (u více než 1, ale méně než 10 z 1000 ošetřených zvířat)</w:t>
      </w:r>
    </w:p>
    <w:p w14:paraId="1D93E35D" w14:textId="77777777" w:rsidR="00724B3D" w:rsidRPr="00616108" w:rsidRDefault="00724B3D" w:rsidP="00091AE2">
      <w:pPr>
        <w:shd w:val="clear" w:color="auto" w:fill="FFFFFF"/>
        <w:tabs>
          <w:tab w:val="left" w:pos="0"/>
          <w:tab w:val="left" w:pos="916"/>
        </w:tabs>
        <w:ind w:right="4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16108">
        <w:rPr>
          <w:rFonts w:ascii="Times New Roman" w:eastAsia="Times New Roman" w:hAnsi="Times New Roman" w:cs="Times New Roman"/>
          <w:sz w:val="22"/>
          <w:szCs w:val="22"/>
        </w:rPr>
        <w:t xml:space="preserve">- vzácné (u více než 1, ale méně než </w:t>
      </w:r>
      <w:proofErr w:type="gramStart"/>
      <w:r w:rsidRPr="00616108">
        <w:rPr>
          <w:rFonts w:ascii="Times New Roman" w:eastAsia="Times New Roman" w:hAnsi="Times New Roman" w:cs="Times New Roman"/>
          <w:sz w:val="22"/>
          <w:szCs w:val="22"/>
        </w:rPr>
        <w:t>10 z  10000</w:t>
      </w:r>
      <w:proofErr w:type="gramEnd"/>
      <w:r w:rsidRPr="00616108">
        <w:rPr>
          <w:rFonts w:ascii="Times New Roman" w:eastAsia="Times New Roman" w:hAnsi="Times New Roman" w:cs="Times New Roman"/>
          <w:sz w:val="22"/>
          <w:szCs w:val="22"/>
        </w:rPr>
        <w:t xml:space="preserve"> ošetřených zvířat)</w:t>
      </w:r>
    </w:p>
    <w:p w14:paraId="4D8618FD" w14:textId="77777777" w:rsidR="00724B3D" w:rsidRPr="00616108" w:rsidRDefault="00724B3D" w:rsidP="00091AE2">
      <w:pPr>
        <w:shd w:val="clear" w:color="auto" w:fill="FFFFFF"/>
        <w:tabs>
          <w:tab w:val="left" w:pos="0"/>
          <w:tab w:val="left" w:pos="916"/>
        </w:tabs>
        <w:ind w:right="4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16108">
        <w:rPr>
          <w:rFonts w:ascii="Times New Roman" w:eastAsia="Times New Roman" w:hAnsi="Times New Roman" w:cs="Times New Roman"/>
          <w:sz w:val="22"/>
          <w:szCs w:val="22"/>
        </w:rPr>
        <w:t>- velmi vzácné (u méně než 1 z 10000 ošetřených zvířat, včetně ojedinělých hlášení).</w:t>
      </w:r>
    </w:p>
    <w:p w14:paraId="45E68BEA" w14:textId="77777777" w:rsidR="00724B3D" w:rsidRPr="00616108" w:rsidRDefault="00724B3D" w:rsidP="00091AE2">
      <w:pPr>
        <w:pStyle w:val="Zkladntext5"/>
        <w:shd w:val="clear" w:color="auto" w:fill="auto"/>
        <w:tabs>
          <w:tab w:val="left" w:pos="1026"/>
        </w:tabs>
        <w:spacing w:before="0" w:after="0" w:line="240" w:lineRule="auto"/>
        <w:ind w:firstLine="0"/>
      </w:pPr>
    </w:p>
    <w:p w14:paraId="6565E3E6" w14:textId="4CCD582E" w:rsidR="00C045EE" w:rsidRDefault="009D4CC3" w:rsidP="00616108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cs-CZ" w:eastAsia="en-US"/>
        </w:rPr>
      </w:pPr>
      <w:r w:rsidRPr="00616108">
        <w:rPr>
          <w:rFonts w:ascii="Times New Roman" w:hAnsi="Times New Roman" w:cs="Times New Roman"/>
          <w:sz w:val="22"/>
          <w:szCs w:val="22"/>
          <w:lang w:val="cs-CZ"/>
        </w:rPr>
        <w:t>Jestliže zaznamenáte kterýkoliv z nežádoucích účinků a to i takové, které nejsou uvedeny v této příbalové informaci, nebo si myslíte, že léčivo nefunguje, oznamte to, prosím, vašemu veterinárnímu lékaři.</w:t>
      </w:r>
      <w:r w:rsidR="00C045EE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236ABA" w:rsidRPr="00616108">
        <w:rPr>
          <w:rFonts w:ascii="Times New Roman" w:eastAsia="Times New Roman" w:hAnsi="Times New Roman" w:cs="Times New Roman"/>
          <w:color w:val="auto"/>
          <w:sz w:val="22"/>
          <w:szCs w:val="22"/>
          <w:lang w:val="cs-CZ" w:eastAsia="en-US"/>
        </w:rPr>
        <w:t xml:space="preserve">Můžete také hlásit prostřednictvím </w:t>
      </w:r>
      <w:r w:rsidR="00C045EE">
        <w:rPr>
          <w:rFonts w:ascii="Times New Roman" w:eastAsia="Times New Roman" w:hAnsi="Times New Roman" w:cs="Times New Roman"/>
          <w:color w:val="auto"/>
          <w:sz w:val="22"/>
          <w:szCs w:val="22"/>
          <w:lang w:val="cs-CZ" w:eastAsia="en-US"/>
        </w:rPr>
        <w:t>celostátního</w:t>
      </w:r>
      <w:r w:rsidR="00C045EE" w:rsidRPr="00616108">
        <w:rPr>
          <w:rFonts w:ascii="Times New Roman" w:eastAsia="Times New Roman" w:hAnsi="Times New Roman" w:cs="Times New Roman"/>
          <w:color w:val="auto"/>
          <w:sz w:val="22"/>
          <w:szCs w:val="22"/>
          <w:lang w:val="cs-CZ" w:eastAsia="en-US"/>
        </w:rPr>
        <w:t xml:space="preserve"> </w:t>
      </w:r>
      <w:r w:rsidR="00236ABA" w:rsidRPr="00616108">
        <w:rPr>
          <w:rFonts w:ascii="Times New Roman" w:eastAsia="Times New Roman" w:hAnsi="Times New Roman" w:cs="Times New Roman"/>
          <w:color w:val="auto"/>
          <w:sz w:val="22"/>
          <w:szCs w:val="22"/>
          <w:lang w:val="cs-CZ" w:eastAsia="en-US"/>
        </w:rPr>
        <w:t>systému hlášení nežádoucích účinků</w:t>
      </w:r>
      <w:r w:rsidR="00C045EE">
        <w:rPr>
          <w:rFonts w:ascii="Times New Roman" w:eastAsia="Times New Roman" w:hAnsi="Times New Roman" w:cs="Times New Roman"/>
          <w:color w:val="auto"/>
          <w:sz w:val="22"/>
          <w:szCs w:val="22"/>
          <w:lang w:val="cs-CZ" w:eastAsia="en-US"/>
        </w:rPr>
        <w:t xml:space="preserve">: </w:t>
      </w:r>
    </w:p>
    <w:p w14:paraId="252AFEDE" w14:textId="77777777" w:rsidR="00C045EE" w:rsidRPr="00C045EE" w:rsidRDefault="00C045EE" w:rsidP="00C045EE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cs-CZ" w:eastAsia="en-US"/>
        </w:rPr>
      </w:pPr>
      <w:r w:rsidRPr="00C045EE">
        <w:rPr>
          <w:rFonts w:ascii="Times New Roman" w:eastAsia="Times New Roman" w:hAnsi="Times New Roman" w:cs="Times New Roman"/>
          <w:color w:val="auto"/>
          <w:sz w:val="22"/>
          <w:szCs w:val="22"/>
          <w:lang w:val="cs-CZ" w:eastAsia="en-US"/>
        </w:rPr>
        <w:t xml:space="preserve">Nežádoucí účinky můžete hlásit prostřednictvím formuláře na webových stránkách ÚSKVBL elektronicky, nebo také přímo na adresu: </w:t>
      </w:r>
    </w:p>
    <w:p w14:paraId="7D805114" w14:textId="77777777" w:rsidR="00C045EE" w:rsidRPr="00C045EE" w:rsidRDefault="00C045EE" w:rsidP="00C045EE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cs-CZ" w:eastAsia="en-US"/>
        </w:rPr>
      </w:pPr>
      <w:r w:rsidRPr="00C045EE">
        <w:rPr>
          <w:rFonts w:ascii="Times New Roman" w:eastAsia="Times New Roman" w:hAnsi="Times New Roman" w:cs="Times New Roman"/>
          <w:color w:val="auto"/>
          <w:sz w:val="22"/>
          <w:szCs w:val="22"/>
          <w:lang w:val="cs-CZ" w:eastAsia="en-US"/>
        </w:rPr>
        <w:t xml:space="preserve">Ústav pro státní kontrolu veterinárních biopreparátů a léčiv </w:t>
      </w:r>
    </w:p>
    <w:p w14:paraId="3EB36294" w14:textId="77777777" w:rsidR="00C045EE" w:rsidRPr="00C045EE" w:rsidRDefault="00C045EE" w:rsidP="00C045EE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cs-CZ" w:eastAsia="en-US"/>
        </w:rPr>
      </w:pPr>
      <w:r w:rsidRPr="00C045EE">
        <w:rPr>
          <w:rFonts w:ascii="Times New Roman" w:eastAsia="Times New Roman" w:hAnsi="Times New Roman" w:cs="Times New Roman"/>
          <w:color w:val="auto"/>
          <w:sz w:val="22"/>
          <w:szCs w:val="22"/>
          <w:lang w:val="cs-CZ" w:eastAsia="en-US"/>
        </w:rPr>
        <w:t>Hudcova 56a</w:t>
      </w:r>
    </w:p>
    <w:p w14:paraId="02D99A6A" w14:textId="77777777" w:rsidR="00C045EE" w:rsidRPr="00C045EE" w:rsidRDefault="00C045EE" w:rsidP="00C045EE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cs-CZ" w:eastAsia="en-US"/>
        </w:rPr>
      </w:pPr>
      <w:r w:rsidRPr="00C045EE">
        <w:rPr>
          <w:rFonts w:ascii="Times New Roman" w:eastAsia="Times New Roman" w:hAnsi="Times New Roman" w:cs="Times New Roman"/>
          <w:color w:val="auto"/>
          <w:sz w:val="22"/>
          <w:szCs w:val="22"/>
          <w:lang w:val="cs-CZ" w:eastAsia="en-US"/>
        </w:rPr>
        <w:t>621 00 Brno</w:t>
      </w:r>
    </w:p>
    <w:p w14:paraId="71059565" w14:textId="77777777" w:rsidR="00C045EE" w:rsidRPr="00C045EE" w:rsidRDefault="00C045EE" w:rsidP="00C045EE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cs-CZ" w:eastAsia="en-US"/>
        </w:rPr>
      </w:pPr>
      <w:r w:rsidRPr="00C045EE">
        <w:rPr>
          <w:rFonts w:ascii="Times New Roman" w:eastAsia="Times New Roman" w:hAnsi="Times New Roman" w:cs="Times New Roman"/>
          <w:color w:val="auto"/>
          <w:sz w:val="22"/>
          <w:szCs w:val="22"/>
          <w:lang w:val="cs-CZ" w:eastAsia="en-US"/>
        </w:rPr>
        <w:t xml:space="preserve">Mail: </w:t>
      </w:r>
      <w:hyperlink r:id="rId8" w:history="1">
        <w:r w:rsidRPr="00C045EE">
          <w:rPr>
            <w:rStyle w:val="Hypertextovodkaz"/>
            <w:rFonts w:ascii="Times New Roman" w:eastAsia="Times New Roman" w:hAnsi="Times New Roman" w:cs="Times New Roman"/>
            <w:sz w:val="22"/>
            <w:szCs w:val="22"/>
            <w:lang w:val="cs-CZ" w:eastAsia="en-US"/>
          </w:rPr>
          <w:t>adr@uskvbl.cz</w:t>
        </w:r>
      </w:hyperlink>
    </w:p>
    <w:p w14:paraId="26239801" w14:textId="7E412911" w:rsidR="00236ABA" w:rsidRPr="00616108" w:rsidRDefault="00C045EE" w:rsidP="00C045EE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cs-CZ" w:eastAsia="en-US"/>
        </w:rPr>
      </w:pPr>
      <w:r w:rsidRPr="00C045EE">
        <w:rPr>
          <w:rFonts w:ascii="Times New Roman" w:eastAsia="Times New Roman" w:hAnsi="Times New Roman" w:cs="Times New Roman"/>
          <w:color w:val="auto"/>
          <w:sz w:val="22"/>
          <w:szCs w:val="22"/>
          <w:lang w:val="cs-CZ" w:eastAsia="en-US"/>
        </w:rPr>
        <w:t xml:space="preserve">Webové stránky: </w:t>
      </w:r>
      <w:hyperlink r:id="rId9" w:history="1">
        <w:r w:rsidRPr="00C045EE">
          <w:rPr>
            <w:rStyle w:val="Hypertextovodkaz"/>
            <w:rFonts w:ascii="Times New Roman" w:eastAsia="Times New Roman" w:hAnsi="Times New Roman" w:cs="Times New Roman"/>
            <w:sz w:val="22"/>
            <w:szCs w:val="22"/>
            <w:lang w:val="cs-CZ" w:eastAsia="en-US"/>
          </w:rPr>
          <w:t>http://www.uskvbl.cz/cs/farmakovigilance</w:t>
        </w:r>
      </w:hyperlink>
      <w:r w:rsidR="00236ABA" w:rsidRPr="00616108">
        <w:rPr>
          <w:rFonts w:ascii="Times New Roman" w:eastAsia="Times New Roman" w:hAnsi="Times New Roman" w:cs="Times New Roman"/>
          <w:color w:val="auto"/>
          <w:sz w:val="22"/>
          <w:szCs w:val="22"/>
          <w:lang w:val="cs-CZ" w:eastAsia="en-US"/>
        </w:rPr>
        <w:t>.</w:t>
      </w:r>
    </w:p>
    <w:p w14:paraId="5AD41A72" w14:textId="77777777" w:rsidR="00425F0D" w:rsidRPr="00616108" w:rsidRDefault="00425F0D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</w:p>
    <w:p w14:paraId="16076B99" w14:textId="77777777" w:rsidR="00425F0D" w:rsidRPr="00616108" w:rsidRDefault="00916C3B" w:rsidP="00616108">
      <w:pPr>
        <w:pStyle w:val="Zkladntext5"/>
        <w:widowControl w:val="0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40" w:lineRule="auto"/>
        <w:ind w:left="0" w:hanging="20"/>
        <w:rPr>
          <w:b/>
        </w:rPr>
      </w:pPr>
      <w:r w:rsidRPr="00616108">
        <w:rPr>
          <w:b/>
        </w:rPr>
        <w:t>CÍLOVÝ DRUH ZVÍŘAT</w:t>
      </w:r>
      <w:r w:rsidR="00425F0D" w:rsidRPr="00616108">
        <w:rPr>
          <w:b/>
        </w:rPr>
        <w:t xml:space="preserve">                                                                                                 </w:t>
      </w:r>
    </w:p>
    <w:p w14:paraId="35B79171" w14:textId="77777777" w:rsidR="00425F0D" w:rsidRPr="00616108" w:rsidRDefault="00425F0D">
      <w:pPr>
        <w:pStyle w:val="Zkladntext5"/>
        <w:widowControl w:val="0"/>
        <w:shd w:val="clear" w:color="auto" w:fill="auto"/>
        <w:tabs>
          <w:tab w:val="left" w:pos="672"/>
          <w:tab w:val="left" w:pos="709"/>
        </w:tabs>
        <w:spacing w:before="0" w:after="0" w:line="240" w:lineRule="auto"/>
        <w:ind w:firstLine="0"/>
      </w:pPr>
    </w:p>
    <w:p w14:paraId="5E53731E" w14:textId="56D79062" w:rsidR="00CF4360" w:rsidRPr="00616108" w:rsidRDefault="00916C3B">
      <w:pPr>
        <w:pStyle w:val="Zkladntext5"/>
        <w:widowControl w:val="0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>Koně, skot, prasata a ovce</w:t>
      </w:r>
      <w:r w:rsidR="003E6935" w:rsidRPr="00616108">
        <w:t>.</w:t>
      </w:r>
    </w:p>
    <w:p w14:paraId="42742249" w14:textId="77777777" w:rsidR="00425F0D" w:rsidRPr="00616108" w:rsidRDefault="00425F0D">
      <w:pPr>
        <w:pStyle w:val="Zkladntext5"/>
        <w:widowControl w:val="0"/>
        <w:shd w:val="clear" w:color="auto" w:fill="auto"/>
        <w:tabs>
          <w:tab w:val="left" w:pos="672"/>
          <w:tab w:val="left" w:pos="709"/>
        </w:tabs>
        <w:spacing w:before="0" w:after="0" w:line="240" w:lineRule="auto"/>
        <w:ind w:firstLine="0"/>
      </w:pPr>
    </w:p>
    <w:p w14:paraId="7C5422EE" w14:textId="77777777" w:rsidR="00CF4360" w:rsidRPr="00616108" w:rsidRDefault="00916C3B" w:rsidP="00091AE2">
      <w:pPr>
        <w:pStyle w:val="Nadpis220"/>
        <w:widowControl w:val="0"/>
        <w:numPr>
          <w:ilvl w:val="0"/>
          <w:numId w:val="3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b/>
        </w:rPr>
      </w:pPr>
      <w:bookmarkStart w:id="8" w:name="bookmark7"/>
      <w:r w:rsidRPr="00616108">
        <w:rPr>
          <w:b/>
        </w:rPr>
        <w:t xml:space="preserve">DÁVKOVÁNÍ PRO KAŽDÝ DRUH, </w:t>
      </w:r>
      <w:proofErr w:type="gramStart"/>
      <w:r w:rsidRPr="00616108">
        <w:rPr>
          <w:b/>
        </w:rPr>
        <w:t>CESTA(Y) A ZPŮSOB</w:t>
      </w:r>
      <w:proofErr w:type="gramEnd"/>
      <w:r w:rsidRPr="00616108">
        <w:rPr>
          <w:b/>
        </w:rPr>
        <w:t xml:space="preserve"> PODÁNÍ</w:t>
      </w:r>
      <w:bookmarkEnd w:id="8"/>
    </w:p>
    <w:p w14:paraId="42CD118D" w14:textId="77777777" w:rsidR="00425F0D" w:rsidRPr="00616108" w:rsidRDefault="00425F0D">
      <w:pPr>
        <w:pStyle w:val="Zkladntext5"/>
        <w:widowControl w:val="0"/>
        <w:shd w:val="clear" w:color="auto" w:fill="auto"/>
        <w:tabs>
          <w:tab w:val="left" w:pos="709"/>
          <w:tab w:val="left" w:pos="1026"/>
        </w:tabs>
        <w:spacing w:before="0" w:after="0" w:line="240" w:lineRule="auto"/>
        <w:ind w:firstLine="0"/>
      </w:pPr>
    </w:p>
    <w:p w14:paraId="50272943" w14:textId="182B3548" w:rsidR="00CF4360" w:rsidRPr="00616108" w:rsidRDefault="00916C3B">
      <w:pPr>
        <w:pStyle w:val="Zkladntext5"/>
        <w:widowControl w:val="0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 xml:space="preserve">Subkutánní a </w:t>
      </w:r>
      <w:proofErr w:type="spellStart"/>
      <w:r w:rsidRPr="00616108">
        <w:t>perineurální</w:t>
      </w:r>
      <w:proofErr w:type="spellEnd"/>
      <w:r w:rsidRPr="00616108">
        <w:t xml:space="preserve"> použití.</w:t>
      </w:r>
    </w:p>
    <w:p w14:paraId="457D6FB0" w14:textId="77777777" w:rsidR="00425F0D" w:rsidRPr="00616108" w:rsidRDefault="00425F0D">
      <w:pPr>
        <w:pStyle w:val="Zkladntext5"/>
        <w:widowControl w:val="0"/>
        <w:shd w:val="clear" w:color="auto" w:fill="auto"/>
        <w:tabs>
          <w:tab w:val="left" w:pos="709"/>
          <w:tab w:val="left" w:pos="1021"/>
        </w:tabs>
        <w:spacing w:before="0" w:after="0" w:line="240" w:lineRule="auto"/>
        <w:ind w:firstLine="0"/>
      </w:pPr>
    </w:p>
    <w:p w14:paraId="78328727" w14:textId="7CBCBE0A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rPr>
          <w:rStyle w:val="Zkladntext1"/>
        </w:rPr>
        <w:t xml:space="preserve">Lokální nebo </w:t>
      </w:r>
      <w:r w:rsidR="00425F0D" w:rsidRPr="00616108">
        <w:rPr>
          <w:rStyle w:val="Zkladntext1"/>
        </w:rPr>
        <w:t>infiltrační</w:t>
      </w:r>
      <w:r w:rsidRPr="00616108">
        <w:rPr>
          <w:rStyle w:val="Zkladntext1"/>
        </w:rPr>
        <w:t xml:space="preserve"> anestezie: </w:t>
      </w:r>
      <w:r w:rsidR="00425F0D" w:rsidRPr="00616108">
        <w:rPr>
          <w:rStyle w:val="Zkladntext1"/>
        </w:rPr>
        <w:t>injekční</w:t>
      </w:r>
      <w:r w:rsidRPr="00616108">
        <w:rPr>
          <w:rStyle w:val="Zkladntext1"/>
        </w:rPr>
        <w:t xml:space="preserve"> </w:t>
      </w:r>
      <w:r w:rsidR="00C045EE" w:rsidRPr="00C045EE">
        <w:rPr>
          <w:u w:val="single"/>
        </w:rPr>
        <w:t>podán</w:t>
      </w:r>
      <w:r w:rsidR="00C045EE" w:rsidRPr="00C045EE">
        <w:rPr>
          <w:u w:val="single"/>
          <w:lang w:val="cs-CZ"/>
        </w:rPr>
        <w:t>í</w:t>
      </w:r>
      <w:r w:rsidR="00C045EE" w:rsidRPr="00C045EE">
        <w:rPr>
          <w:u w:val="single"/>
        </w:rPr>
        <w:t xml:space="preserve"> </w:t>
      </w:r>
      <w:r w:rsidRPr="00616108">
        <w:rPr>
          <w:rStyle w:val="Zkladntext1"/>
        </w:rPr>
        <w:t>do podkoží nebo v blízkosti příslušné oblasti</w:t>
      </w:r>
    </w:p>
    <w:p w14:paraId="4577E9AA" w14:textId="77777777" w:rsidR="00425F0D" w:rsidRPr="00616108" w:rsidRDefault="00425F0D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</w:p>
    <w:p w14:paraId="244BFA66" w14:textId="3B6AD96B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>2,5-10 ml přípravku / pro</w:t>
      </w:r>
      <w:r w:rsidRPr="00616108">
        <w:rPr>
          <w:rStyle w:val="ZkladntextKurzva"/>
        </w:rPr>
        <w:t xml:space="preserve"> toto</w:t>
      </w:r>
      <w:r w:rsidRPr="00616108">
        <w:t xml:space="preserve"> (odpovídá 100-400 mg prokain </w:t>
      </w:r>
      <w:proofErr w:type="spellStart"/>
      <w:r w:rsidRPr="00616108">
        <w:t>hydrochloridu</w:t>
      </w:r>
      <w:proofErr w:type="spellEnd"/>
      <w:r w:rsidRPr="00616108">
        <w:t xml:space="preserve"> + 0,09 až 0,36 mg epinefrin tartrátu)</w:t>
      </w:r>
    </w:p>
    <w:p w14:paraId="11D1D427" w14:textId="77777777" w:rsidR="00425F0D" w:rsidRPr="00616108" w:rsidRDefault="00425F0D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</w:p>
    <w:p w14:paraId="39C49F61" w14:textId="6FD383F6" w:rsidR="00CF4360" w:rsidRPr="00616108" w:rsidRDefault="00916C3B" w:rsidP="00091AE2">
      <w:pPr>
        <w:pStyle w:val="Zkladntext5"/>
        <w:keepNext/>
        <w:shd w:val="clear" w:color="auto" w:fill="auto"/>
        <w:tabs>
          <w:tab w:val="left" w:pos="709"/>
        </w:tabs>
        <w:spacing w:before="0" w:after="0" w:line="240" w:lineRule="auto"/>
        <w:ind w:firstLine="0"/>
      </w:pPr>
      <w:proofErr w:type="spellStart"/>
      <w:r w:rsidRPr="00616108">
        <w:rPr>
          <w:rStyle w:val="Zkladntext1"/>
        </w:rPr>
        <w:t>Perineurální</w:t>
      </w:r>
      <w:proofErr w:type="spellEnd"/>
      <w:r w:rsidRPr="00616108">
        <w:rPr>
          <w:rStyle w:val="Zkladntext1"/>
        </w:rPr>
        <w:t xml:space="preserve"> anestezie: injekční </w:t>
      </w:r>
      <w:r w:rsidR="00C045EE" w:rsidRPr="00D65DC5">
        <w:rPr>
          <w:rStyle w:val="Zkladntext3"/>
        </w:rPr>
        <w:t>podán</w:t>
      </w:r>
      <w:r w:rsidR="00C045EE" w:rsidRPr="00D65DC5">
        <w:rPr>
          <w:u w:val="single"/>
          <w:lang w:val="cs-CZ"/>
        </w:rPr>
        <w:t>í</w:t>
      </w:r>
      <w:r w:rsidR="00C045EE" w:rsidRPr="00D65DC5">
        <w:rPr>
          <w:rStyle w:val="Zkladntext3"/>
        </w:rPr>
        <w:t xml:space="preserve"> </w:t>
      </w:r>
      <w:r w:rsidRPr="00616108">
        <w:rPr>
          <w:rStyle w:val="Zkladntext1"/>
        </w:rPr>
        <w:t>v blízkosti větve nervu</w:t>
      </w:r>
    </w:p>
    <w:p w14:paraId="47232374" w14:textId="77777777" w:rsidR="00425F0D" w:rsidRPr="00616108" w:rsidRDefault="00425F0D" w:rsidP="00091AE2">
      <w:pPr>
        <w:pStyle w:val="Zkladntext5"/>
        <w:keepNext/>
        <w:shd w:val="clear" w:color="auto" w:fill="auto"/>
        <w:tabs>
          <w:tab w:val="left" w:pos="709"/>
        </w:tabs>
        <w:spacing w:before="0" w:after="0" w:line="240" w:lineRule="auto"/>
        <w:ind w:firstLine="0"/>
      </w:pPr>
    </w:p>
    <w:p w14:paraId="2A140377" w14:textId="61DCCC68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>5-10 ml přípravku / pro</w:t>
      </w:r>
      <w:r w:rsidRPr="00616108">
        <w:rPr>
          <w:rStyle w:val="ZkladntextKurzva"/>
        </w:rPr>
        <w:t xml:space="preserve"> toto</w:t>
      </w:r>
      <w:r w:rsidRPr="00616108">
        <w:t xml:space="preserve"> (odpovídá 200-400 mg prokain </w:t>
      </w:r>
      <w:proofErr w:type="spellStart"/>
      <w:r w:rsidRPr="00616108">
        <w:t>hydrochloridu</w:t>
      </w:r>
      <w:proofErr w:type="spellEnd"/>
      <w:r w:rsidRPr="00616108">
        <w:t xml:space="preserve"> + 0,18 až 0,36 mg epinefrin tartrátu)</w:t>
      </w:r>
    </w:p>
    <w:p w14:paraId="5CD5BC67" w14:textId="77777777" w:rsidR="00425F0D" w:rsidRPr="00616108" w:rsidRDefault="00425F0D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</w:p>
    <w:p w14:paraId="0EA9A2E6" w14:textId="527CC808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 xml:space="preserve">Pro znecitlivění </w:t>
      </w:r>
      <w:r w:rsidR="00425F0D" w:rsidRPr="00616108">
        <w:t>distální</w:t>
      </w:r>
      <w:r w:rsidRPr="00616108">
        <w:t xml:space="preserve"> části končetiny u koní by měla být dávka rozdělena mezi dvě nebo více míst injekčního podání v závislosti na dávce. Viz také </w:t>
      </w:r>
      <w:r w:rsidR="00277CF4" w:rsidRPr="00616108">
        <w:t>bod 12</w:t>
      </w:r>
      <w:r w:rsidRPr="00616108">
        <w:t>.</w:t>
      </w:r>
    </w:p>
    <w:p w14:paraId="1CDAFF1D" w14:textId="77777777" w:rsidR="00425F0D" w:rsidRPr="00616108" w:rsidRDefault="00425F0D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</w:p>
    <w:p w14:paraId="1879BFCC" w14:textId="6E9AA578" w:rsidR="00CF4360" w:rsidRPr="00616108" w:rsidRDefault="008E7E40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>Z</w:t>
      </w:r>
      <w:r w:rsidR="00916C3B" w:rsidRPr="00616108">
        <w:t xml:space="preserve">átka může být propíchnutá až </w:t>
      </w:r>
      <w:proofErr w:type="gramStart"/>
      <w:r w:rsidR="00916C3B" w:rsidRPr="00616108">
        <w:t>20-krát</w:t>
      </w:r>
      <w:proofErr w:type="gramEnd"/>
      <w:r w:rsidR="00916C3B" w:rsidRPr="00616108">
        <w:t>.</w:t>
      </w:r>
    </w:p>
    <w:p w14:paraId="11BFBACC" w14:textId="77777777" w:rsidR="00425F0D" w:rsidRPr="00616108" w:rsidRDefault="00425F0D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</w:p>
    <w:p w14:paraId="27872C15" w14:textId="77777777" w:rsidR="00CF4360" w:rsidRPr="00616108" w:rsidRDefault="00916C3B" w:rsidP="00091AE2">
      <w:pPr>
        <w:pStyle w:val="Nadpis220"/>
        <w:keepNext/>
        <w:keepLines/>
        <w:numPr>
          <w:ilvl w:val="0"/>
          <w:numId w:val="3"/>
        </w:numPr>
        <w:shd w:val="clear" w:color="auto" w:fill="auto"/>
        <w:tabs>
          <w:tab w:val="left" w:pos="567"/>
        </w:tabs>
        <w:spacing w:line="240" w:lineRule="auto"/>
        <w:ind w:left="0" w:firstLine="0"/>
        <w:jc w:val="both"/>
        <w:rPr>
          <w:b/>
        </w:rPr>
      </w:pPr>
      <w:bookmarkStart w:id="9" w:name="bookmark8"/>
      <w:r w:rsidRPr="00616108">
        <w:rPr>
          <w:b/>
        </w:rPr>
        <w:t>POKYNY PRO SPRÁVNÉ PODÁNÍ</w:t>
      </w:r>
      <w:bookmarkEnd w:id="9"/>
    </w:p>
    <w:p w14:paraId="07B2D7CE" w14:textId="77777777" w:rsidR="00425F0D" w:rsidRPr="00616108" w:rsidRDefault="00425F0D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</w:p>
    <w:p w14:paraId="730DB9D2" w14:textId="708FE0EE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 xml:space="preserve">Nepodávat </w:t>
      </w:r>
      <w:r w:rsidR="00B614CB" w:rsidRPr="00616108">
        <w:t xml:space="preserve">intravenózně nebo </w:t>
      </w:r>
      <w:proofErr w:type="spellStart"/>
      <w:r w:rsidRPr="00616108">
        <w:t>intraartikulárně</w:t>
      </w:r>
      <w:proofErr w:type="spellEnd"/>
      <w:r w:rsidRPr="00616108">
        <w:t>.</w:t>
      </w:r>
    </w:p>
    <w:p w14:paraId="709EB222" w14:textId="275BE75D" w:rsidR="00425F0D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>Aby nedošlo k neúmyslnému</w:t>
      </w:r>
      <w:r w:rsidR="00B614CB" w:rsidRPr="00616108">
        <w:t xml:space="preserve"> intravaskulárnímu </w:t>
      </w:r>
      <w:proofErr w:type="gramStart"/>
      <w:r w:rsidRPr="00616108">
        <w:t>podání</w:t>
      </w:r>
      <w:r w:rsidR="00C045EE">
        <w:t>,</w:t>
      </w:r>
      <w:r w:rsidRPr="00616108">
        <w:t xml:space="preserve">, </w:t>
      </w:r>
      <w:r w:rsidR="00B614CB" w:rsidRPr="00616108">
        <w:t>správné</w:t>
      </w:r>
      <w:proofErr w:type="gramEnd"/>
      <w:r w:rsidR="00B614CB" w:rsidRPr="00616108">
        <w:t xml:space="preserve"> umístění injekční jehly by mělo být důkladně ověřeno aspirací, aby se před </w:t>
      </w:r>
      <w:r w:rsidR="00C045EE">
        <w:t>aplikací</w:t>
      </w:r>
      <w:r w:rsidR="00C045EE" w:rsidRPr="00616108">
        <w:t xml:space="preserve"> </w:t>
      </w:r>
      <w:r w:rsidR="00B614CB" w:rsidRPr="00616108">
        <w:t>zkontrolovala nepřítomnost krve.</w:t>
      </w:r>
      <w:r w:rsidRPr="00616108">
        <w:t xml:space="preserve"> </w:t>
      </w:r>
    </w:p>
    <w:p w14:paraId="0F801D95" w14:textId="13192DF3" w:rsidR="00277CF4" w:rsidRPr="00616108" w:rsidRDefault="00277CF4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 xml:space="preserve">Gumová zátka může být propíchnutá až </w:t>
      </w:r>
      <w:proofErr w:type="gramStart"/>
      <w:r w:rsidRPr="00616108">
        <w:t>20-krát</w:t>
      </w:r>
      <w:proofErr w:type="gramEnd"/>
      <w:r w:rsidRPr="00616108">
        <w:t>.</w:t>
      </w:r>
    </w:p>
    <w:p w14:paraId="63918385" w14:textId="77777777" w:rsidR="00616108" w:rsidRPr="00616108" w:rsidRDefault="00616108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</w:p>
    <w:p w14:paraId="09A43060" w14:textId="1993A8B5" w:rsidR="00616108" w:rsidRPr="00616108" w:rsidRDefault="00916C3B" w:rsidP="00091AE2">
      <w:pPr>
        <w:pStyle w:val="Zkladntext5"/>
        <w:numPr>
          <w:ilvl w:val="0"/>
          <w:numId w:val="3"/>
        </w:numPr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left="0" w:firstLine="0"/>
        <w:rPr>
          <w:b/>
        </w:rPr>
      </w:pPr>
      <w:r w:rsidRPr="00616108">
        <w:rPr>
          <w:b/>
        </w:rPr>
        <w:t>OCHRANNÁ</w:t>
      </w:r>
      <w:r w:rsidR="009D4CC3" w:rsidRPr="00616108">
        <w:rPr>
          <w:b/>
        </w:rPr>
        <w:t>(</w:t>
      </w:r>
      <w:r w:rsidR="009568B8" w:rsidRPr="00616108">
        <w:rPr>
          <w:b/>
        </w:rPr>
        <w:t>É</w:t>
      </w:r>
      <w:r w:rsidR="009D4CC3" w:rsidRPr="00616108">
        <w:rPr>
          <w:b/>
        </w:rPr>
        <w:t>)</w:t>
      </w:r>
      <w:r w:rsidRPr="00616108">
        <w:rPr>
          <w:b/>
        </w:rPr>
        <w:t xml:space="preserve"> </w:t>
      </w:r>
      <w:proofErr w:type="gramStart"/>
      <w:r w:rsidRPr="00616108">
        <w:rPr>
          <w:b/>
        </w:rPr>
        <w:t>LHŮTA</w:t>
      </w:r>
      <w:r w:rsidR="009D4CC3" w:rsidRPr="00616108">
        <w:rPr>
          <w:b/>
        </w:rPr>
        <w:t>(</w:t>
      </w:r>
      <w:r w:rsidR="009568B8" w:rsidRPr="00616108">
        <w:rPr>
          <w:b/>
        </w:rPr>
        <w:t>Y</w:t>
      </w:r>
      <w:r w:rsidR="009D4CC3" w:rsidRPr="00616108">
        <w:rPr>
          <w:b/>
        </w:rPr>
        <w:t>)</w:t>
      </w:r>
      <w:proofErr w:type="gramEnd"/>
    </w:p>
    <w:p w14:paraId="50BBF767" w14:textId="77777777" w:rsidR="00616108" w:rsidRPr="00616108" w:rsidRDefault="00616108" w:rsidP="00091AE2">
      <w:pPr>
        <w:pStyle w:val="Zkladntext5"/>
        <w:shd w:val="clear" w:color="auto" w:fill="auto"/>
        <w:tabs>
          <w:tab w:val="left" w:pos="662"/>
          <w:tab w:val="left" w:pos="709"/>
        </w:tabs>
        <w:spacing w:before="0" w:after="0" w:line="240" w:lineRule="auto"/>
        <w:ind w:firstLine="0"/>
      </w:pPr>
    </w:p>
    <w:p w14:paraId="226FC565" w14:textId="77777777" w:rsidR="00CF4360" w:rsidRPr="00616108" w:rsidRDefault="00916C3B" w:rsidP="00091AE2">
      <w:pPr>
        <w:pStyle w:val="Zkladntext5"/>
        <w:shd w:val="clear" w:color="auto" w:fill="auto"/>
        <w:tabs>
          <w:tab w:val="left" w:pos="662"/>
          <w:tab w:val="left" w:pos="709"/>
        </w:tabs>
        <w:spacing w:before="0" w:after="0" w:line="240" w:lineRule="auto"/>
        <w:ind w:firstLine="0"/>
      </w:pPr>
      <w:r w:rsidRPr="00616108">
        <w:t>Koně, skot a ovce:</w:t>
      </w:r>
    </w:p>
    <w:p w14:paraId="34F4878A" w14:textId="77777777" w:rsidR="00425F0D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 xml:space="preserve">Maso: Bez ochranných lhůt. </w:t>
      </w:r>
    </w:p>
    <w:p w14:paraId="2400766D" w14:textId="77777777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>Mléko: Bez ochranných lhůt.</w:t>
      </w:r>
    </w:p>
    <w:p w14:paraId="1651C0B9" w14:textId="77777777" w:rsidR="0092055B" w:rsidRPr="00616108" w:rsidRDefault="0092055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</w:p>
    <w:p w14:paraId="40CBFD67" w14:textId="77777777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>Prasata:</w:t>
      </w:r>
    </w:p>
    <w:p w14:paraId="6CC52F08" w14:textId="77777777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>Maso: Bez ochranných lhůt.</w:t>
      </w:r>
    </w:p>
    <w:p w14:paraId="7A857240" w14:textId="77777777" w:rsidR="00FD712A" w:rsidRPr="00616108" w:rsidRDefault="00FD712A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</w:p>
    <w:p w14:paraId="63AA4535" w14:textId="77777777" w:rsidR="00CF4360" w:rsidRPr="00616108" w:rsidRDefault="00916C3B" w:rsidP="00091AE2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</w:pPr>
      <w:bookmarkStart w:id="10" w:name="bookmark10"/>
      <w:r w:rsidRPr="00616108">
        <w:t>ZVLÁŠTNÍ OPATŘENÍ PRO UCHOVÁVÁNÍ</w:t>
      </w:r>
      <w:bookmarkEnd w:id="10"/>
    </w:p>
    <w:p w14:paraId="162DF379" w14:textId="77777777" w:rsidR="00AF2B28" w:rsidRPr="00616108" w:rsidRDefault="00AF2B28" w:rsidP="00091AE2">
      <w:pPr>
        <w:pStyle w:val="Nadpis20"/>
        <w:keepNext/>
        <w:keepLines/>
        <w:shd w:val="clear" w:color="auto" w:fill="auto"/>
        <w:tabs>
          <w:tab w:val="left" w:pos="709"/>
        </w:tabs>
        <w:spacing w:after="0" w:line="240" w:lineRule="auto"/>
        <w:ind w:firstLine="0"/>
        <w:jc w:val="both"/>
      </w:pPr>
    </w:p>
    <w:p w14:paraId="7BE22E0A" w14:textId="067D7A68" w:rsidR="00AF2B28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>Uchovávat mimo do</w:t>
      </w:r>
      <w:r w:rsidR="002C3FE1" w:rsidRPr="00616108">
        <w:t>hled</w:t>
      </w:r>
      <w:r w:rsidRPr="00616108">
        <w:t xml:space="preserve"> </w:t>
      </w:r>
      <w:r w:rsidR="00AD1B1B" w:rsidRPr="00616108">
        <w:t>a do</w:t>
      </w:r>
      <w:r w:rsidR="002C3FE1" w:rsidRPr="00616108">
        <w:t>sah</w:t>
      </w:r>
      <w:r w:rsidR="00AD1B1B" w:rsidRPr="00616108">
        <w:t xml:space="preserve"> </w:t>
      </w:r>
      <w:r w:rsidRPr="00616108">
        <w:t xml:space="preserve">dětí. </w:t>
      </w:r>
    </w:p>
    <w:p w14:paraId="2F0D219B" w14:textId="578C2695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 xml:space="preserve">Uchovávejte </w:t>
      </w:r>
      <w:r w:rsidR="00A35577" w:rsidRPr="00616108">
        <w:t>při teplotě do 25°C</w:t>
      </w:r>
      <w:r w:rsidRPr="00616108">
        <w:t>.</w:t>
      </w:r>
    </w:p>
    <w:p w14:paraId="4081AA4E" w14:textId="77777777" w:rsidR="00091945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 xml:space="preserve">Uchovávejte injekční lahvičku v krabičce, aby byla chráněna před světlem. </w:t>
      </w:r>
    </w:p>
    <w:p w14:paraId="25CF0769" w14:textId="679F1219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 xml:space="preserve">Nepoužívejte tento veterinární léčivý přípravek po uplynutí doby použitelnosti uvedené na </w:t>
      </w:r>
      <w:r w:rsidR="00556C42" w:rsidRPr="00616108">
        <w:t xml:space="preserve">etiketě </w:t>
      </w:r>
      <w:r w:rsidRPr="00616108">
        <w:t>a na krabičce po "EXP". Doba použitelnosti končí posledním dnem v uvedeném měsíci.</w:t>
      </w:r>
    </w:p>
    <w:p w14:paraId="125C014B" w14:textId="5C862910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 xml:space="preserve">Doba použitelnosti po prvním otevření </w:t>
      </w:r>
      <w:r w:rsidR="00095356" w:rsidRPr="00616108">
        <w:t>obalu</w:t>
      </w:r>
      <w:r w:rsidRPr="00616108">
        <w:t>: 28 dní</w:t>
      </w:r>
      <w:r w:rsidR="00AF2B28" w:rsidRPr="00616108">
        <w:t>.</w:t>
      </w:r>
    </w:p>
    <w:p w14:paraId="385A3AE7" w14:textId="77777777" w:rsidR="00AF2B28" w:rsidRPr="00616108" w:rsidRDefault="00AF2B28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</w:p>
    <w:p w14:paraId="78928316" w14:textId="4E048AE7" w:rsidR="00CF4360" w:rsidRDefault="00916C3B" w:rsidP="00091AE2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</w:pPr>
      <w:bookmarkStart w:id="11" w:name="bookmark11"/>
      <w:r w:rsidRPr="00616108">
        <w:t>ZVLÁŠTNÍ UPOZORNĚNÍ</w:t>
      </w:r>
      <w:bookmarkEnd w:id="11"/>
    </w:p>
    <w:p w14:paraId="69917B9A" w14:textId="77777777" w:rsidR="00616108" w:rsidRPr="00616108" w:rsidRDefault="00616108" w:rsidP="00091AE2">
      <w:pPr>
        <w:pStyle w:val="Nadpis20"/>
        <w:keepNext/>
        <w:keepLines/>
        <w:shd w:val="clear" w:color="auto" w:fill="auto"/>
        <w:tabs>
          <w:tab w:val="left" w:pos="567"/>
        </w:tabs>
        <w:spacing w:after="0" w:line="240" w:lineRule="auto"/>
        <w:ind w:firstLine="0"/>
        <w:jc w:val="both"/>
      </w:pPr>
    </w:p>
    <w:p w14:paraId="27BBD4A9" w14:textId="77777777" w:rsidR="00AF2B28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Style w:val="Zkladntext21"/>
          <w:b/>
          <w:bCs/>
        </w:rPr>
      </w:pPr>
      <w:r w:rsidRPr="00616108">
        <w:rPr>
          <w:rStyle w:val="Zkladntext21"/>
        </w:rPr>
        <w:t>Zvláštní upozorněn</w:t>
      </w:r>
      <w:r w:rsidR="00072EF4" w:rsidRPr="00616108">
        <w:rPr>
          <w:rStyle w:val="Zkladntext21"/>
        </w:rPr>
        <w:t>í</w:t>
      </w:r>
      <w:r w:rsidRPr="00616108">
        <w:rPr>
          <w:rStyle w:val="Zkladntext21"/>
        </w:rPr>
        <w:t xml:space="preserve"> pro každý cílový druh: </w:t>
      </w:r>
    </w:p>
    <w:p w14:paraId="6BDA1FFF" w14:textId="214225C5" w:rsidR="00CF4360" w:rsidRDefault="00916C3B" w:rsidP="00616108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>Nejsou</w:t>
      </w:r>
      <w:r w:rsidR="00F428D5" w:rsidRPr="00616108">
        <w:t>.</w:t>
      </w:r>
    </w:p>
    <w:p w14:paraId="0D3FC0E7" w14:textId="77777777" w:rsidR="00616108" w:rsidRPr="00616108" w:rsidRDefault="00616108" w:rsidP="00616108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</w:p>
    <w:p w14:paraId="2A0A7A37" w14:textId="77777777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rPr>
          <w:rStyle w:val="Zkladntext21"/>
        </w:rPr>
        <w:t>Zvláštní opatření pro použití u zvířat:</w:t>
      </w:r>
    </w:p>
    <w:p w14:paraId="55CB0322" w14:textId="77777777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>Anestézie prováděná lokálními anestetiky může být ztížena v důsledku místního poškození tkáně poraněními nebo abscesy.</w:t>
      </w:r>
    </w:p>
    <w:p w14:paraId="684425F6" w14:textId="77777777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>Proveďte lokální anestezii při pokojové teplotě. Při vyšších teplotách je riziko toxických reakcí větší vzhledem ke zvyšování absorpce prokainu.</w:t>
      </w:r>
    </w:p>
    <w:p w14:paraId="19713CD0" w14:textId="21E23ECE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 xml:space="preserve">Stejně jako u jiných lokálních anestetik obsahujících prokain by měl být přípravek používán </w:t>
      </w:r>
      <w:r w:rsidR="00616108" w:rsidRPr="00616108">
        <w:t>s </w:t>
      </w:r>
      <w:r w:rsidRPr="00616108">
        <w:t xml:space="preserve">opatrností u zvířat s epilepsií nebo se změnami </w:t>
      </w:r>
      <w:r w:rsidR="00055986" w:rsidRPr="00616108">
        <w:t>f</w:t>
      </w:r>
      <w:r w:rsidRPr="00616108">
        <w:t>unkce dýchacích cest nebo ledvin.</w:t>
      </w:r>
    </w:p>
    <w:p w14:paraId="11FE5EA9" w14:textId="77777777" w:rsidR="008C1B2C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 xml:space="preserve">Po aplikaci v blízkosti okraje rány může přípravek vést k nekróze podél okrajů. </w:t>
      </w:r>
    </w:p>
    <w:p w14:paraId="2836C75D" w14:textId="7F901F34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 xml:space="preserve">Přípravek by měl být používán s opatrností u znecitlivění distální části končetiny vzhledem </w:t>
      </w:r>
      <w:r w:rsidR="00616108" w:rsidRPr="00616108">
        <w:t>k </w:t>
      </w:r>
      <w:r w:rsidRPr="00616108">
        <w:t>riziku vzniku digitální ischemie.</w:t>
      </w:r>
    </w:p>
    <w:p w14:paraId="588AFF6B" w14:textId="77777777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>Podávejte opatrně u koní z důvodu rizika, že barva srsti v místě injekčního podání trvale vybledne.</w:t>
      </w:r>
    </w:p>
    <w:p w14:paraId="56C07335" w14:textId="77777777" w:rsidR="00F14DC5" w:rsidRPr="00616108" w:rsidRDefault="00F14DC5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Style w:val="Zkladntext21"/>
        </w:rPr>
      </w:pPr>
    </w:p>
    <w:p w14:paraId="67759465" w14:textId="1272BCC4" w:rsidR="002D5CC4" w:rsidRPr="00616108" w:rsidRDefault="00916C3B" w:rsidP="00091AE2">
      <w:pPr>
        <w:pStyle w:val="Zkladntext5"/>
        <w:keepNext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Style w:val="Zkladntext21"/>
        </w:rPr>
      </w:pPr>
      <w:r w:rsidRPr="00616108">
        <w:rPr>
          <w:rStyle w:val="Zkladntext21"/>
        </w:rPr>
        <w:t>Zvláštní opatření určené osobám, které podávají veterinární léčiv</w:t>
      </w:r>
      <w:r w:rsidR="0072744B" w:rsidRPr="00616108">
        <w:rPr>
          <w:rStyle w:val="Zkladntext21"/>
        </w:rPr>
        <w:t>ý</w:t>
      </w:r>
      <w:r w:rsidRPr="00616108">
        <w:rPr>
          <w:rStyle w:val="Zkladntext21"/>
        </w:rPr>
        <w:t xml:space="preserve"> přípravek zvířatům: </w:t>
      </w:r>
    </w:p>
    <w:p w14:paraId="24CACF71" w14:textId="4AB186B5" w:rsidR="00CF4360" w:rsidRPr="00616108" w:rsidRDefault="00AD6B29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>Přípravek může</w:t>
      </w:r>
      <w:r w:rsidR="002C3FE1" w:rsidRPr="00616108">
        <w:t xml:space="preserve"> </w:t>
      </w:r>
      <w:r w:rsidRPr="00616108">
        <w:t>podráždit kůži, oči nebo úst</w:t>
      </w:r>
      <w:r w:rsidR="003F112E" w:rsidRPr="00616108">
        <w:t>ní sliznici.</w:t>
      </w:r>
      <w:r w:rsidRPr="00616108">
        <w:t xml:space="preserve"> </w:t>
      </w:r>
      <w:r w:rsidR="00916C3B" w:rsidRPr="00616108">
        <w:t>Zabraňte přímému kontaktu</w:t>
      </w:r>
      <w:r w:rsidRPr="00616108">
        <w:t xml:space="preserve"> s veterinárním léčivým přípravkem. </w:t>
      </w:r>
      <w:r w:rsidR="00916C3B" w:rsidRPr="00616108">
        <w:t xml:space="preserve"> V případě potřísnění kůže</w:t>
      </w:r>
      <w:r w:rsidR="00140666" w:rsidRPr="00616108">
        <w:t xml:space="preserve">, očí </w:t>
      </w:r>
      <w:r w:rsidR="00916C3B" w:rsidRPr="00616108">
        <w:t xml:space="preserve">nebo </w:t>
      </w:r>
      <w:r w:rsidR="00140666" w:rsidRPr="00616108">
        <w:t>úst</w:t>
      </w:r>
      <w:r w:rsidR="0017686C" w:rsidRPr="00616108">
        <w:t xml:space="preserve">ní </w:t>
      </w:r>
      <w:r w:rsidR="002C3FE1" w:rsidRPr="00616108">
        <w:t xml:space="preserve">sliznice je </w:t>
      </w:r>
      <w:r w:rsidR="00916C3B" w:rsidRPr="00616108">
        <w:t>ihned</w:t>
      </w:r>
      <w:r w:rsidR="002C3FE1" w:rsidRPr="00616108">
        <w:t xml:space="preserve"> </w:t>
      </w:r>
      <w:r w:rsidR="00916C3B" w:rsidRPr="00616108">
        <w:t xml:space="preserve">vypláchněte </w:t>
      </w:r>
      <w:r w:rsidR="002C3FE1" w:rsidRPr="00616108">
        <w:t xml:space="preserve">velkým množstvím </w:t>
      </w:r>
      <w:r w:rsidR="00916C3B" w:rsidRPr="00616108">
        <w:t>vod</w:t>
      </w:r>
      <w:r w:rsidR="002C3FE1" w:rsidRPr="00616108">
        <w:t>y</w:t>
      </w:r>
      <w:r w:rsidR="00916C3B" w:rsidRPr="00616108">
        <w:t>. Dojde-li k podráždění, vyhledejte ihned lékařskou pomoc a ukažte příbalovou informaci nebo etiketu praktickému lékaři.</w:t>
      </w:r>
    </w:p>
    <w:p w14:paraId="03071BCE" w14:textId="0E8F190E" w:rsidR="00140666" w:rsidRPr="00616108" w:rsidRDefault="00140666" w:rsidP="00091AE2">
      <w:pPr>
        <w:shd w:val="clear" w:color="auto" w:fill="FFFFFF"/>
        <w:tabs>
          <w:tab w:val="left" w:pos="916"/>
        </w:tabs>
        <w:ind w:right="-23" w:firstLine="2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1610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Náhodné </w:t>
      </w:r>
      <w:proofErr w:type="spellStart"/>
      <w:r w:rsidRPr="00616108">
        <w:rPr>
          <w:rFonts w:ascii="Times New Roman" w:eastAsia="Times New Roman" w:hAnsi="Times New Roman" w:cs="Times New Roman"/>
          <w:color w:val="auto"/>
          <w:sz w:val="22"/>
          <w:szCs w:val="22"/>
        </w:rPr>
        <w:t>samopodání</w:t>
      </w:r>
      <w:proofErr w:type="spellEnd"/>
      <w:r w:rsidRPr="0061610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může </w:t>
      </w:r>
      <w:r w:rsidR="00DA3999" w:rsidRPr="0061610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mít </w:t>
      </w:r>
      <w:r w:rsidRPr="0061610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kardiorespirační a/nebo CNS účinek. </w:t>
      </w:r>
      <w:r w:rsidR="002C3FE1" w:rsidRPr="0061610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Zabraňte </w:t>
      </w:r>
      <w:r w:rsidRPr="0061610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náhodnému </w:t>
      </w:r>
      <w:proofErr w:type="spellStart"/>
      <w:r w:rsidRPr="00616108">
        <w:rPr>
          <w:rFonts w:ascii="Times New Roman" w:eastAsia="Times New Roman" w:hAnsi="Times New Roman" w:cs="Times New Roman"/>
          <w:color w:val="auto"/>
          <w:sz w:val="22"/>
          <w:szCs w:val="22"/>
        </w:rPr>
        <w:t>samopodání</w:t>
      </w:r>
      <w:proofErr w:type="spellEnd"/>
      <w:r w:rsidRPr="0061610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. V případě náhodného </w:t>
      </w:r>
      <w:r w:rsidR="002C3FE1" w:rsidRPr="0061610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sebepoškození injekčně aplikovaným </w:t>
      </w:r>
      <w:r w:rsidR="00573F3D" w:rsidRPr="0061610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přípravkem </w:t>
      </w:r>
      <w:r w:rsidRPr="00616108">
        <w:rPr>
          <w:rFonts w:ascii="Times New Roman" w:eastAsia="Times New Roman" w:hAnsi="Times New Roman" w:cs="Times New Roman"/>
          <w:color w:val="auto"/>
          <w:sz w:val="22"/>
          <w:szCs w:val="22"/>
        </w:rPr>
        <w:t>vyhledejte ihned lékařskou pomoc a ukažte příbalovou informaci nebo etiketu praktickému lékaři. Ne</w:t>
      </w:r>
      <w:r w:rsidR="00573F3D" w:rsidRPr="00616108">
        <w:rPr>
          <w:rFonts w:ascii="Times New Roman" w:eastAsia="Times New Roman" w:hAnsi="Times New Roman" w:cs="Times New Roman"/>
          <w:color w:val="auto"/>
          <w:sz w:val="22"/>
          <w:szCs w:val="22"/>
        </w:rPr>
        <w:t>řiďte motorové vozidlo</w:t>
      </w:r>
      <w:r w:rsidRPr="0061610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. </w:t>
      </w:r>
    </w:p>
    <w:p w14:paraId="42C257A5" w14:textId="1660761B" w:rsidR="00140666" w:rsidRPr="00616108" w:rsidRDefault="00140666" w:rsidP="00091AE2">
      <w:pPr>
        <w:ind w:right="-23" w:firstLine="2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16108">
        <w:rPr>
          <w:rFonts w:ascii="Times New Roman" w:eastAsia="Times New Roman" w:hAnsi="Times New Roman" w:cs="Times New Roman"/>
          <w:color w:val="auto"/>
          <w:sz w:val="22"/>
          <w:szCs w:val="22"/>
        </w:rPr>
        <w:t>Lidé se známou přecitlivělostí na prokain, epinefrin nebo jiná lokální anestetika esterové skupiny, stejně jako deriváty p-aminobenzoové kyseliny a sulfonamidy</w:t>
      </w:r>
      <w:r w:rsidR="00573F3D" w:rsidRPr="0061610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616108">
        <w:rPr>
          <w:rFonts w:ascii="Times New Roman" w:eastAsia="Times New Roman" w:hAnsi="Times New Roman" w:cs="Times New Roman"/>
          <w:color w:val="auto"/>
          <w:sz w:val="22"/>
          <w:szCs w:val="22"/>
        </w:rPr>
        <w:t>by se měli vyhnout kontaktu s</w:t>
      </w:r>
      <w:r w:rsidR="00573F3D" w:rsidRPr="00616108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 w:rsidRPr="00616108">
        <w:rPr>
          <w:rFonts w:ascii="Times New Roman" w:eastAsia="Times New Roman" w:hAnsi="Times New Roman" w:cs="Times New Roman"/>
          <w:color w:val="auto"/>
          <w:sz w:val="22"/>
          <w:szCs w:val="22"/>
        </w:rPr>
        <w:t>veterinárním léčivým přípravkem.</w:t>
      </w:r>
    </w:p>
    <w:p w14:paraId="0729069D" w14:textId="77777777" w:rsidR="00A9465D" w:rsidRPr="00616108" w:rsidRDefault="00A9465D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Style w:val="Zkladntext21"/>
        </w:rPr>
      </w:pPr>
    </w:p>
    <w:p w14:paraId="14F7969C" w14:textId="28CE2332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Style w:val="Zkladntext21"/>
        </w:rPr>
      </w:pPr>
      <w:r w:rsidRPr="00616108">
        <w:rPr>
          <w:rStyle w:val="Zkladntext21"/>
        </w:rPr>
        <w:t>Březost a laktace:</w:t>
      </w:r>
    </w:p>
    <w:p w14:paraId="7E64F529" w14:textId="77777777" w:rsidR="002D5CC4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>Prokain prochází placentární bariérou a vylučuje se do mléka. Použít pouze po zvážení poměru terapeutického prospěchu a rizika příslušným veterinárním lékařem.</w:t>
      </w:r>
    </w:p>
    <w:p w14:paraId="3A0C1601" w14:textId="77777777" w:rsidR="00274B6A" w:rsidRPr="00616108" w:rsidRDefault="00274B6A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</w:p>
    <w:p w14:paraId="587D6C47" w14:textId="77777777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rPr>
          <w:rStyle w:val="Zkladntext3"/>
        </w:rPr>
        <w:t xml:space="preserve">Interakce s dalšími léčivými přípravky a další </w:t>
      </w:r>
      <w:r w:rsidR="002D5CC4" w:rsidRPr="00616108">
        <w:rPr>
          <w:rStyle w:val="Zkladntext3"/>
        </w:rPr>
        <w:t>formy</w:t>
      </w:r>
      <w:r w:rsidRPr="00616108">
        <w:rPr>
          <w:rStyle w:val="Zkladntext3"/>
        </w:rPr>
        <w:t xml:space="preserve"> interakce:</w:t>
      </w:r>
    </w:p>
    <w:p w14:paraId="5EAFC6BF" w14:textId="0D9FB783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>Prokain inhibuje působení sulfonamidů vzhledem k biotransformaci na kyselinu</w:t>
      </w:r>
      <w:r w:rsidR="00616108">
        <w:t xml:space="preserve"> </w:t>
      </w:r>
      <w:r w:rsidRPr="00616108">
        <w:t>p-aminobenzoovou, což je antagonista sulfonamidu.</w:t>
      </w:r>
    </w:p>
    <w:p w14:paraId="18686DE6" w14:textId="77777777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 xml:space="preserve">Prokain prodlužuje působení </w:t>
      </w:r>
      <w:proofErr w:type="spellStart"/>
      <w:r w:rsidRPr="00616108">
        <w:t>myorelaxancií</w:t>
      </w:r>
      <w:proofErr w:type="spellEnd"/>
      <w:r w:rsidRPr="00616108">
        <w:t>.</w:t>
      </w:r>
    </w:p>
    <w:p w14:paraId="794CC23B" w14:textId="77777777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 xml:space="preserve">Prokain zesiluje účinek </w:t>
      </w:r>
      <w:proofErr w:type="spellStart"/>
      <w:r w:rsidRPr="00616108">
        <w:t>antiarytmik</w:t>
      </w:r>
      <w:proofErr w:type="spellEnd"/>
      <w:r w:rsidRPr="00616108">
        <w:t xml:space="preserve"> např. </w:t>
      </w:r>
      <w:proofErr w:type="spellStart"/>
      <w:r w:rsidRPr="00616108">
        <w:t>prokainamidu</w:t>
      </w:r>
      <w:proofErr w:type="spellEnd"/>
      <w:r w:rsidRPr="00616108">
        <w:t>.</w:t>
      </w:r>
    </w:p>
    <w:p w14:paraId="10C43BAF" w14:textId="77777777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>Epinefrin zesiluje účinek analgetických anestetik na srdce.</w:t>
      </w:r>
    </w:p>
    <w:p w14:paraId="533271EE" w14:textId="41C468D2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>Nepoužívat s</w:t>
      </w:r>
      <w:r w:rsidR="00452634" w:rsidRPr="00616108">
        <w:t xml:space="preserve"> prchavými </w:t>
      </w:r>
      <w:r w:rsidRPr="00616108">
        <w:t xml:space="preserve">anestetiky na bázi cyklopropanu či </w:t>
      </w:r>
      <w:proofErr w:type="spellStart"/>
      <w:r w:rsidRPr="00616108">
        <w:t>halotanu</w:t>
      </w:r>
      <w:proofErr w:type="spellEnd"/>
      <w:r w:rsidRPr="00616108">
        <w:t>, protože zvyšují srdeční citlivost na epinefrin (sympatomimetikum) a mohou způsobovat arytmii.</w:t>
      </w:r>
    </w:p>
    <w:p w14:paraId="51498AA1" w14:textId="476960DB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>V důsledku těchto interakcí může veterinární lékař upravit dávkování a měl by pozorně sledovat účinky na zvíře.</w:t>
      </w:r>
    </w:p>
    <w:p w14:paraId="3DD16D22" w14:textId="77777777" w:rsidR="00543666" w:rsidRPr="00616108" w:rsidRDefault="00543666" w:rsidP="00091AE2">
      <w:pPr>
        <w:ind w:right="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16108">
        <w:rPr>
          <w:rFonts w:ascii="Times New Roman" w:eastAsia="Times New Roman" w:hAnsi="Times New Roman" w:cs="Times New Roman"/>
          <w:color w:val="auto"/>
          <w:sz w:val="22"/>
          <w:szCs w:val="22"/>
        </w:rPr>
        <w:t>Nepodávat s jinými sympatomimetiky, protože můžou způsobit zvýšení toxicity.</w:t>
      </w:r>
    </w:p>
    <w:p w14:paraId="265486FF" w14:textId="77777777" w:rsidR="00543666" w:rsidRPr="00616108" w:rsidRDefault="00543666" w:rsidP="00091AE2">
      <w:pPr>
        <w:ind w:right="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1610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Při použití adrenalinu s jinými </w:t>
      </w:r>
      <w:proofErr w:type="spellStart"/>
      <w:r w:rsidRPr="00616108">
        <w:rPr>
          <w:rFonts w:ascii="Times New Roman" w:eastAsia="Times New Roman" w:hAnsi="Times New Roman" w:cs="Times New Roman"/>
          <w:color w:val="auto"/>
          <w:sz w:val="22"/>
          <w:szCs w:val="22"/>
        </w:rPr>
        <w:t>oxytocinovými</w:t>
      </w:r>
      <w:proofErr w:type="spellEnd"/>
      <w:r w:rsidRPr="0061610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přípravky může způsobit hypertenzi.   </w:t>
      </w:r>
    </w:p>
    <w:p w14:paraId="13CBAFB8" w14:textId="77777777" w:rsidR="00543666" w:rsidRPr="00616108" w:rsidRDefault="00543666" w:rsidP="00091AE2">
      <w:pPr>
        <w:ind w:right="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1610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Při současném užití adrenalinu s </w:t>
      </w:r>
      <w:proofErr w:type="spellStart"/>
      <w:r w:rsidRPr="00616108">
        <w:rPr>
          <w:rFonts w:ascii="Times New Roman" w:eastAsia="Times New Roman" w:hAnsi="Times New Roman" w:cs="Times New Roman"/>
          <w:color w:val="auto"/>
          <w:sz w:val="22"/>
          <w:szCs w:val="22"/>
        </w:rPr>
        <w:t>digitalisovými</w:t>
      </w:r>
      <w:proofErr w:type="spellEnd"/>
      <w:r w:rsidRPr="0061610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glykosidy (digoxin) může dojít ke zvýšenému riziku arytmií.</w:t>
      </w:r>
    </w:p>
    <w:p w14:paraId="30B591EB" w14:textId="2BB3B1C2" w:rsidR="00DA3999" w:rsidRPr="00616108" w:rsidRDefault="00543666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rPr>
          <w:rFonts w:eastAsia="Arial Unicode MS"/>
        </w:rPr>
        <w:t>Některá antihistaminika (</w:t>
      </w:r>
      <w:proofErr w:type="spellStart"/>
      <w:r w:rsidRPr="00616108">
        <w:rPr>
          <w:rFonts w:eastAsia="Arial Unicode MS"/>
        </w:rPr>
        <w:t>chlorfeniramin</w:t>
      </w:r>
      <w:proofErr w:type="spellEnd"/>
      <w:r w:rsidRPr="00616108">
        <w:rPr>
          <w:rFonts w:eastAsia="Arial Unicode MS"/>
        </w:rPr>
        <w:t>) můžou zvýšit účinek adrenalinu</w:t>
      </w:r>
      <w:r w:rsidR="005D0663" w:rsidRPr="00616108">
        <w:rPr>
          <w:rFonts w:eastAsia="Arial Unicode MS"/>
        </w:rPr>
        <w:t>.</w:t>
      </w:r>
    </w:p>
    <w:p w14:paraId="1D3C5975" w14:textId="77777777" w:rsidR="0092055B" w:rsidRPr="00616108" w:rsidRDefault="0092055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</w:p>
    <w:p w14:paraId="0D583428" w14:textId="77777777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rPr>
          <w:rStyle w:val="Zkladntext3"/>
        </w:rPr>
        <w:t xml:space="preserve">Předávkování (symptomy, první pomoc, </w:t>
      </w:r>
      <w:proofErr w:type="spellStart"/>
      <w:r w:rsidRPr="00616108">
        <w:rPr>
          <w:rStyle w:val="Zkladntext3"/>
        </w:rPr>
        <w:t>antidota</w:t>
      </w:r>
      <w:proofErr w:type="spellEnd"/>
      <w:r w:rsidRPr="00616108">
        <w:rPr>
          <w:rStyle w:val="Zkladntext3"/>
        </w:rPr>
        <w:t>):</w:t>
      </w:r>
    </w:p>
    <w:p w14:paraId="0BD5AB11" w14:textId="434FDDED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>Příznaky spojené s předávkováním korelují s příznaky, které na</w:t>
      </w:r>
      <w:r w:rsidR="00277CF4" w:rsidRPr="00616108">
        <w:t>staly po neúmyslné intravaskulárn</w:t>
      </w:r>
      <w:r w:rsidRPr="00616108">
        <w:t xml:space="preserve">í </w:t>
      </w:r>
      <w:r w:rsidR="00971128" w:rsidRPr="00D65DC5">
        <w:t>aplikaci</w:t>
      </w:r>
      <w:r w:rsidRPr="00616108">
        <w:t>, jak je popsáno v</w:t>
      </w:r>
      <w:r w:rsidR="00277CF4" w:rsidRPr="00616108">
        <w:t> bodu 6</w:t>
      </w:r>
      <w:r w:rsidR="008C1B2C" w:rsidRPr="00616108">
        <w:t>.</w:t>
      </w:r>
    </w:p>
    <w:p w14:paraId="1F10580F" w14:textId="2FA95848" w:rsidR="00106C28" w:rsidRPr="00616108" w:rsidRDefault="00106C28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rStyle w:val="Zkladntext3"/>
        </w:rPr>
      </w:pPr>
    </w:p>
    <w:p w14:paraId="510F09B8" w14:textId="77777777" w:rsidR="00CF4360" w:rsidRPr="00616108" w:rsidRDefault="00106C28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rPr>
          <w:rStyle w:val="Zkladntext3"/>
        </w:rPr>
        <w:t>Inkompatibility</w:t>
      </w:r>
      <w:r w:rsidR="00916C3B" w:rsidRPr="00616108">
        <w:t>:</w:t>
      </w:r>
    </w:p>
    <w:p w14:paraId="48F4C29E" w14:textId="77777777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>Studie kompatibility nejsou k dispozici, a proto tento veterinární léčivý přípravek nesmí být</w:t>
      </w:r>
      <w:r w:rsidR="00106C28" w:rsidRPr="00616108">
        <w:t xml:space="preserve"> </w:t>
      </w:r>
      <w:r w:rsidRPr="00616108">
        <w:t>m</w:t>
      </w:r>
      <w:r w:rsidR="00A3142B" w:rsidRPr="00616108">
        <w:t>í</w:t>
      </w:r>
      <w:r w:rsidRPr="00616108">
        <w:t>sen s žádnými dalšími veterinárními léčivými přípravky.</w:t>
      </w:r>
    </w:p>
    <w:p w14:paraId="70DAFB04" w14:textId="77777777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>Roztok není kompatibilní s alkalickými produkty, taninem nebo ionty kovů.</w:t>
      </w:r>
    </w:p>
    <w:p w14:paraId="1BDCBD92" w14:textId="77777777" w:rsidR="00106C28" w:rsidRPr="00616108" w:rsidRDefault="00106C28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</w:p>
    <w:p w14:paraId="7E6139EA" w14:textId="77777777" w:rsidR="00CF4360" w:rsidRPr="00616108" w:rsidRDefault="00916C3B" w:rsidP="00091AE2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40" w:lineRule="auto"/>
        <w:ind w:left="0" w:hanging="567"/>
        <w:jc w:val="both"/>
      </w:pPr>
      <w:bookmarkStart w:id="12" w:name="bookmark12"/>
      <w:r w:rsidRPr="00616108">
        <w:t>ZVLÁŠTNÍ OPATŘENÍ PRO ZNEŠKODŇOVÁNÍ NEPOUŽITÝCH PŘÍPRAVKŮ NEBO ODPADU, POKUD JE JICH TŘEBA</w:t>
      </w:r>
      <w:bookmarkEnd w:id="12"/>
    </w:p>
    <w:p w14:paraId="72F7C8D4" w14:textId="77777777" w:rsidR="00106C28" w:rsidRPr="00616108" w:rsidRDefault="00106C28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</w:p>
    <w:p w14:paraId="26E072EA" w14:textId="77777777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>Všechen nepoužitý veterinární léčivý přípravek nebo odpad, který pochází z tohoto přípravku, musí být likvidován podle místních právních předpisů.</w:t>
      </w:r>
    </w:p>
    <w:p w14:paraId="37EB34A7" w14:textId="77777777" w:rsidR="0092055B" w:rsidRPr="00616108" w:rsidRDefault="0092055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</w:p>
    <w:p w14:paraId="0BA54544" w14:textId="77777777" w:rsidR="00CF4360" w:rsidRPr="00616108" w:rsidRDefault="00916C3B" w:rsidP="00091AE2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left="-567" w:firstLine="0"/>
        <w:jc w:val="both"/>
      </w:pPr>
      <w:bookmarkStart w:id="13" w:name="bookmark13"/>
      <w:r w:rsidRPr="00616108">
        <w:t>DATUM POSLEDNÍ REVIZE PŘÍBALOVÉ INFORMACE</w:t>
      </w:r>
      <w:bookmarkEnd w:id="13"/>
    </w:p>
    <w:p w14:paraId="5E5EF567" w14:textId="77777777" w:rsidR="00106C28" w:rsidRPr="00616108" w:rsidRDefault="00106C28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</w:p>
    <w:p w14:paraId="7BF956FE" w14:textId="375264F5" w:rsidR="00CF4360" w:rsidRDefault="00971128" w:rsidP="00091AE2">
      <w:pPr>
        <w:pStyle w:val="Zkladntext5"/>
        <w:shd w:val="clear" w:color="auto" w:fill="auto"/>
        <w:spacing w:before="0" w:after="0" w:line="240" w:lineRule="auto"/>
        <w:ind w:firstLine="0"/>
      </w:pPr>
      <w:r w:rsidRPr="00D65DC5">
        <w:t>Květen 2021</w:t>
      </w:r>
    </w:p>
    <w:p w14:paraId="5B0F2DF5" w14:textId="77777777" w:rsidR="00616108" w:rsidRPr="00616108" w:rsidRDefault="00616108" w:rsidP="00091AE2">
      <w:pPr>
        <w:pStyle w:val="Zkladntext5"/>
        <w:shd w:val="clear" w:color="auto" w:fill="auto"/>
        <w:spacing w:before="0" w:after="0" w:line="240" w:lineRule="auto"/>
        <w:ind w:firstLine="0"/>
      </w:pPr>
    </w:p>
    <w:p w14:paraId="278B41AA" w14:textId="77777777" w:rsidR="00106C28" w:rsidRDefault="00916C3B" w:rsidP="00091AE2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left="-567" w:firstLine="0"/>
        <w:jc w:val="both"/>
      </w:pPr>
      <w:bookmarkStart w:id="14" w:name="bookmark14"/>
      <w:r w:rsidRPr="00616108">
        <w:t xml:space="preserve">DALŠÍ INFORMACE </w:t>
      </w:r>
    </w:p>
    <w:p w14:paraId="49AF0993" w14:textId="77777777" w:rsidR="00616108" w:rsidRPr="00616108" w:rsidRDefault="00616108" w:rsidP="00091AE2">
      <w:pPr>
        <w:pStyle w:val="Nadpis20"/>
        <w:keepNext/>
        <w:keepLines/>
        <w:shd w:val="clear" w:color="auto" w:fill="auto"/>
        <w:tabs>
          <w:tab w:val="left" w:pos="0"/>
        </w:tabs>
        <w:spacing w:after="0" w:line="240" w:lineRule="auto"/>
        <w:ind w:left="-567" w:firstLine="0"/>
        <w:jc w:val="both"/>
      </w:pPr>
    </w:p>
    <w:p w14:paraId="2462E61C" w14:textId="2BB6669D" w:rsidR="00CF4360" w:rsidRPr="00616108" w:rsidRDefault="00916C3B" w:rsidP="00616108">
      <w:pPr>
        <w:pStyle w:val="Nadpis20"/>
        <w:keepNext/>
        <w:keepLines/>
        <w:shd w:val="clear" w:color="auto" w:fill="auto"/>
        <w:tabs>
          <w:tab w:val="left" w:pos="709"/>
        </w:tabs>
        <w:spacing w:after="0" w:line="240" w:lineRule="auto"/>
        <w:ind w:firstLine="0"/>
        <w:jc w:val="both"/>
      </w:pPr>
      <w:r w:rsidRPr="00616108">
        <w:rPr>
          <w:rStyle w:val="Nadpis2Netun"/>
        </w:rPr>
        <w:t>Pouze pro zvířata.</w:t>
      </w:r>
      <w:bookmarkEnd w:id="14"/>
    </w:p>
    <w:p w14:paraId="0122815D" w14:textId="77777777" w:rsidR="00CF4360" w:rsidRPr="00616108" w:rsidRDefault="00916C3B" w:rsidP="00091AE2">
      <w:pPr>
        <w:pStyle w:val="Zkladntext5"/>
        <w:shd w:val="clear" w:color="auto" w:fill="auto"/>
        <w:tabs>
          <w:tab w:val="left" w:pos="709"/>
        </w:tabs>
        <w:spacing w:before="0" w:after="0" w:line="240" w:lineRule="auto"/>
        <w:ind w:firstLine="0"/>
      </w:pPr>
      <w:r w:rsidRPr="00616108">
        <w:t>Veterinární léčivý přípravek je vydáván pouze na předpis.</w:t>
      </w:r>
    </w:p>
    <w:p w14:paraId="38DBCBD5" w14:textId="77777777" w:rsidR="00CF4360" w:rsidRPr="00616108" w:rsidRDefault="00CF4360" w:rsidP="0061610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3278C9C" w14:textId="77777777" w:rsidR="00C82721" w:rsidRPr="00616108" w:rsidRDefault="00C8272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F4A1B87" w14:textId="77777777" w:rsidR="00982101" w:rsidRDefault="00982101">
      <w:pPr>
        <w:jc w:val="both"/>
        <w:rPr>
          <w:rFonts w:ascii="Times New Roman" w:hAnsi="Times New Roman" w:cs="Times New Roman"/>
          <w:sz w:val="22"/>
          <w:szCs w:val="22"/>
        </w:rPr>
        <w:sectPr w:rsidR="00982101" w:rsidSect="001E674A">
          <w:headerReference w:type="default" r:id="rId10"/>
          <w:type w:val="continuous"/>
          <w:pgSz w:w="11905" w:h="16837"/>
          <w:pgMar w:top="1701" w:right="1701" w:bottom="1701" w:left="1701" w:header="0" w:footer="3" w:gutter="0"/>
          <w:cols w:space="720"/>
          <w:noEndnote/>
          <w:docGrid w:linePitch="360"/>
        </w:sectPr>
      </w:pPr>
    </w:p>
    <w:p w14:paraId="590F0898" w14:textId="77777777" w:rsidR="00CF4360" w:rsidRPr="00616108" w:rsidRDefault="00916C3B" w:rsidP="00091AE2">
      <w:pPr>
        <w:pStyle w:val="Zkladntext31"/>
        <w:shd w:val="clear" w:color="auto" w:fill="auto"/>
        <w:spacing w:before="0" w:after="0" w:line="240" w:lineRule="auto"/>
      </w:pPr>
      <w:bookmarkStart w:id="15" w:name="bookmark18"/>
      <w:r w:rsidRPr="00616108">
        <w:t>Velikosti balení:</w:t>
      </w:r>
      <w:bookmarkEnd w:id="15"/>
    </w:p>
    <w:p w14:paraId="2A8FDD1A" w14:textId="77777777" w:rsidR="009206AE" w:rsidRPr="00616108" w:rsidRDefault="009206AE" w:rsidP="00616108">
      <w:pPr>
        <w:rPr>
          <w:rFonts w:ascii="Times New Roman" w:hAnsi="Times New Roman" w:cs="Times New Roman"/>
          <w:sz w:val="22"/>
          <w:szCs w:val="22"/>
        </w:rPr>
      </w:pPr>
      <w:r w:rsidRPr="00616108">
        <w:rPr>
          <w:rFonts w:ascii="Times New Roman" w:hAnsi="Times New Roman" w:cs="Times New Roman"/>
          <w:sz w:val="22"/>
          <w:szCs w:val="22"/>
        </w:rPr>
        <w:t xml:space="preserve">krabička s 1 lahvičkou 50 ml </w:t>
      </w:r>
    </w:p>
    <w:p w14:paraId="6C220A4E" w14:textId="77777777" w:rsidR="009206AE" w:rsidRPr="00616108" w:rsidRDefault="009206AE" w:rsidP="00091AE2">
      <w:pPr>
        <w:ind w:left="40" w:right="-23" w:hanging="4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1610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krabička s 1 lahvičkou 100 ml </w:t>
      </w:r>
    </w:p>
    <w:p w14:paraId="70F246B2" w14:textId="77777777" w:rsidR="009206AE" w:rsidRPr="00616108" w:rsidRDefault="009206AE" w:rsidP="00091AE2">
      <w:pPr>
        <w:ind w:left="40" w:right="-23" w:hanging="4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16108">
        <w:rPr>
          <w:rFonts w:ascii="Times New Roman" w:eastAsia="Times New Roman" w:hAnsi="Times New Roman" w:cs="Times New Roman"/>
          <w:color w:val="auto"/>
          <w:sz w:val="22"/>
          <w:szCs w:val="22"/>
        </w:rPr>
        <w:t>krabička s 1 lahvičkou 250 ml</w:t>
      </w:r>
    </w:p>
    <w:p w14:paraId="198F1E51" w14:textId="77777777" w:rsidR="009206AE" w:rsidRPr="00616108" w:rsidRDefault="009206AE" w:rsidP="00091AE2">
      <w:pPr>
        <w:ind w:left="40" w:right="-23" w:hanging="4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16108">
        <w:rPr>
          <w:rFonts w:ascii="Times New Roman" w:eastAsia="Times New Roman" w:hAnsi="Times New Roman" w:cs="Times New Roman"/>
          <w:color w:val="auto"/>
          <w:sz w:val="22"/>
          <w:szCs w:val="22"/>
        </w:rPr>
        <w:t>krabička s 10 lahvičkami 100 ml</w:t>
      </w:r>
    </w:p>
    <w:p w14:paraId="6C4EF109" w14:textId="77777777" w:rsidR="009206AE" w:rsidRPr="00616108" w:rsidRDefault="009206AE" w:rsidP="00091AE2">
      <w:pPr>
        <w:pStyle w:val="Zkladntext5"/>
        <w:shd w:val="clear" w:color="auto" w:fill="auto"/>
        <w:spacing w:before="0" w:after="0" w:line="240" w:lineRule="auto"/>
        <w:ind w:firstLine="0"/>
      </w:pPr>
    </w:p>
    <w:p w14:paraId="0A91596C" w14:textId="77777777" w:rsidR="00982101" w:rsidRDefault="00916C3B" w:rsidP="00091AE2">
      <w:pPr>
        <w:pStyle w:val="Zkladntext5"/>
        <w:shd w:val="clear" w:color="auto" w:fill="auto"/>
        <w:spacing w:before="0" w:after="0" w:line="240" w:lineRule="auto"/>
        <w:ind w:firstLine="0"/>
        <w:sectPr w:rsidR="00982101" w:rsidSect="001E674A">
          <w:type w:val="continuous"/>
          <w:pgSz w:w="11905" w:h="16837"/>
          <w:pgMar w:top="1701" w:right="1701" w:bottom="1701" w:left="1701" w:header="0" w:footer="3" w:gutter="0"/>
          <w:cols w:space="720"/>
          <w:noEndnote/>
          <w:docGrid w:linePitch="360"/>
        </w:sectPr>
      </w:pPr>
      <w:r w:rsidRPr="00616108">
        <w:t>Na trhu nemusí být všechny velikosti balení.</w:t>
      </w:r>
    </w:p>
    <w:p w14:paraId="05204B6C" w14:textId="77777777" w:rsidR="00CF4360" w:rsidRPr="00091AE2" w:rsidRDefault="00916C3B" w:rsidP="00616108">
      <w:pPr>
        <w:jc w:val="both"/>
        <w:rPr>
          <w:rFonts w:ascii="Times New Roman" w:hAnsi="Times New Roman" w:cs="Times New Roman"/>
          <w:sz w:val="22"/>
          <w:szCs w:val="22"/>
        </w:rPr>
        <w:sectPr w:rsidR="00CF4360" w:rsidRPr="00091AE2" w:rsidSect="001E674A">
          <w:type w:val="continuous"/>
          <w:pgSz w:w="11905" w:h="16837"/>
          <w:pgMar w:top="1701" w:right="1701" w:bottom="1701" w:left="1701" w:header="0" w:footer="3" w:gutter="0"/>
          <w:cols w:space="720"/>
          <w:noEndnote/>
          <w:docGrid w:linePitch="360"/>
        </w:sectPr>
      </w:pPr>
      <w:r w:rsidRPr="00091A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2FA10C7" w14:textId="77777777" w:rsidR="00CF4360" w:rsidRPr="00616108" w:rsidRDefault="00CF4360" w:rsidP="00091AE2">
      <w:pPr>
        <w:pStyle w:val="Zkladntext5"/>
        <w:shd w:val="clear" w:color="auto" w:fill="auto"/>
        <w:spacing w:before="0" w:after="0" w:line="240" w:lineRule="auto"/>
        <w:ind w:firstLine="0"/>
        <w:jc w:val="center"/>
      </w:pPr>
    </w:p>
    <w:sectPr w:rsidR="00CF4360" w:rsidRPr="00616108" w:rsidSect="00706827">
      <w:type w:val="continuous"/>
      <w:pgSz w:w="11905" w:h="16837"/>
      <w:pgMar w:top="1417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C9A1A" w14:textId="77777777" w:rsidR="00D506CA" w:rsidRDefault="00D506CA">
      <w:r>
        <w:separator/>
      </w:r>
    </w:p>
  </w:endnote>
  <w:endnote w:type="continuationSeparator" w:id="0">
    <w:p w14:paraId="2F261778" w14:textId="77777777" w:rsidR="00D506CA" w:rsidRDefault="00D5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44E67" w14:textId="77777777" w:rsidR="00D506CA" w:rsidRDefault="00D506CA"/>
  </w:footnote>
  <w:footnote w:type="continuationSeparator" w:id="0">
    <w:p w14:paraId="13B70172" w14:textId="77777777" w:rsidR="00D506CA" w:rsidRDefault="00D506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2D2FD" w14:textId="1AD607B7" w:rsidR="00802411" w:rsidRDefault="00802411" w:rsidP="00802411">
    <w:pPr>
      <w:pStyle w:val="Zhlav"/>
    </w:pPr>
  </w:p>
  <w:p w14:paraId="2088558E" w14:textId="77777777" w:rsidR="00802411" w:rsidRDefault="0080241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590"/>
    <w:multiLevelType w:val="hybridMultilevel"/>
    <w:tmpl w:val="D6285238"/>
    <w:lvl w:ilvl="0" w:tplc="47923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F4F46"/>
    <w:multiLevelType w:val="multilevel"/>
    <w:tmpl w:val="DBCA85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F871FA"/>
    <w:multiLevelType w:val="multilevel"/>
    <w:tmpl w:val="818EBC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start w:val="5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3">
      <w:start w:val="7"/>
      <w:numFmt w:val="decimal"/>
      <w:lvlText w:val="%4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5E7FAE"/>
    <w:multiLevelType w:val="hybridMultilevel"/>
    <w:tmpl w:val="6672A258"/>
    <w:lvl w:ilvl="0" w:tplc="0410000F">
      <w:start w:val="1"/>
      <w:numFmt w:val="decimal"/>
      <w:lvlText w:val="%1."/>
      <w:lvlJc w:val="left"/>
      <w:pPr>
        <w:ind w:left="729" w:hanging="360"/>
      </w:pPr>
    </w:lvl>
    <w:lvl w:ilvl="1" w:tplc="04100019" w:tentative="1">
      <w:start w:val="1"/>
      <w:numFmt w:val="lowerLetter"/>
      <w:lvlText w:val="%2."/>
      <w:lvlJc w:val="left"/>
      <w:pPr>
        <w:ind w:left="1449" w:hanging="360"/>
      </w:pPr>
    </w:lvl>
    <w:lvl w:ilvl="2" w:tplc="0410001B" w:tentative="1">
      <w:start w:val="1"/>
      <w:numFmt w:val="lowerRoman"/>
      <w:lvlText w:val="%3."/>
      <w:lvlJc w:val="right"/>
      <w:pPr>
        <w:ind w:left="2169" w:hanging="180"/>
      </w:pPr>
    </w:lvl>
    <w:lvl w:ilvl="3" w:tplc="0410000F" w:tentative="1">
      <w:start w:val="1"/>
      <w:numFmt w:val="decimal"/>
      <w:lvlText w:val="%4."/>
      <w:lvlJc w:val="left"/>
      <w:pPr>
        <w:ind w:left="2889" w:hanging="360"/>
      </w:pPr>
    </w:lvl>
    <w:lvl w:ilvl="4" w:tplc="04100019" w:tentative="1">
      <w:start w:val="1"/>
      <w:numFmt w:val="lowerLetter"/>
      <w:lvlText w:val="%5."/>
      <w:lvlJc w:val="left"/>
      <w:pPr>
        <w:ind w:left="3609" w:hanging="360"/>
      </w:pPr>
    </w:lvl>
    <w:lvl w:ilvl="5" w:tplc="0410001B" w:tentative="1">
      <w:start w:val="1"/>
      <w:numFmt w:val="lowerRoman"/>
      <w:lvlText w:val="%6."/>
      <w:lvlJc w:val="right"/>
      <w:pPr>
        <w:ind w:left="4329" w:hanging="180"/>
      </w:pPr>
    </w:lvl>
    <w:lvl w:ilvl="6" w:tplc="0410000F" w:tentative="1">
      <w:start w:val="1"/>
      <w:numFmt w:val="decimal"/>
      <w:lvlText w:val="%7."/>
      <w:lvlJc w:val="left"/>
      <w:pPr>
        <w:ind w:left="5049" w:hanging="360"/>
      </w:pPr>
    </w:lvl>
    <w:lvl w:ilvl="7" w:tplc="04100019" w:tentative="1">
      <w:start w:val="1"/>
      <w:numFmt w:val="lowerLetter"/>
      <w:lvlText w:val="%8."/>
      <w:lvlJc w:val="left"/>
      <w:pPr>
        <w:ind w:left="5769" w:hanging="360"/>
      </w:pPr>
    </w:lvl>
    <w:lvl w:ilvl="8" w:tplc="0410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">
    <w:nsid w:val="5A6F0E77"/>
    <w:multiLevelType w:val="hybridMultilevel"/>
    <w:tmpl w:val="29DE7ED2"/>
    <w:lvl w:ilvl="0" w:tplc="47923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7397B"/>
    <w:multiLevelType w:val="hybridMultilevel"/>
    <w:tmpl w:val="A4D2AA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9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60"/>
    <w:rsid w:val="00012BE8"/>
    <w:rsid w:val="00055225"/>
    <w:rsid w:val="00055986"/>
    <w:rsid w:val="00057253"/>
    <w:rsid w:val="0006284E"/>
    <w:rsid w:val="000729C2"/>
    <w:rsid w:val="00072EF4"/>
    <w:rsid w:val="00091945"/>
    <w:rsid w:val="00091AE2"/>
    <w:rsid w:val="00095356"/>
    <w:rsid w:val="000E3B96"/>
    <w:rsid w:val="00102CC1"/>
    <w:rsid w:val="00105006"/>
    <w:rsid w:val="00106C28"/>
    <w:rsid w:val="00125811"/>
    <w:rsid w:val="00140666"/>
    <w:rsid w:val="0017686C"/>
    <w:rsid w:val="00184600"/>
    <w:rsid w:val="001E674A"/>
    <w:rsid w:val="001F7E9E"/>
    <w:rsid w:val="002326A0"/>
    <w:rsid w:val="00236ABA"/>
    <w:rsid w:val="0024038C"/>
    <w:rsid w:val="00274B6A"/>
    <w:rsid w:val="00277504"/>
    <w:rsid w:val="00277CF4"/>
    <w:rsid w:val="002C3FE1"/>
    <w:rsid w:val="002D069E"/>
    <w:rsid w:val="002D5CC4"/>
    <w:rsid w:val="002E63E0"/>
    <w:rsid w:val="00307B3B"/>
    <w:rsid w:val="00381A24"/>
    <w:rsid w:val="0038571E"/>
    <w:rsid w:val="00392C11"/>
    <w:rsid w:val="00396A60"/>
    <w:rsid w:val="003A7281"/>
    <w:rsid w:val="003B1EFA"/>
    <w:rsid w:val="003E19DA"/>
    <w:rsid w:val="003E6935"/>
    <w:rsid w:val="003F112E"/>
    <w:rsid w:val="00425F0D"/>
    <w:rsid w:val="00435538"/>
    <w:rsid w:val="00452634"/>
    <w:rsid w:val="004629AE"/>
    <w:rsid w:val="00464E28"/>
    <w:rsid w:val="004902C3"/>
    <w:rsid w:val="004B0BBE"/>
    <w:rsid w:val="004C26DD"/>
    <w:rsid w:val="004F1447"/>
    <w:rsid w:val="00510DB7"/>
    <w:rsid w:val="005421EB"/>
    <w:rsid w:val="00543666"/>
    <w:rsid w:val="00552341"/>
    <w:rsid w:val="00556C42"/>
    <w:rsid w:val="005617FD"/>
    <w:rsid w:val="00573F3D"/>
    <w:rsid w:val="0059400C"/>
    <w:rsid w:val="005D0663"/>
    <w:rsid w:val="005D3DEA"/>
    <w:rsid w:val="005F07AA"/>
    <w:rsid w:val="00604E68"/>
    <w:rsid w:val="00616108"/>
    <w:rsid w:val="00644DB6"/>
    <w:rsid w:val="0066489D"/>
    <w:rsid w:val="0068742A"/>
    <w:rsid w:val="0068746D"/>
    <w:rsid w:val="006C1024"/>
    <w:rsid w:val="006F7AE7"/>
    <w:rsid w:val="00706827"/>
    <w:rsid w:val="00724B3D"/>
    <w:rsid w:val="0072744B"/>
    <w:rsid w:val="007405D0"/>
    <w:rsid w:val="00761F4D"/>
    <w:rsid w:val="0078550E"/>
    <w:rsid w:val="007A5A2F"/>
    <w:rsid w:val="00802411"/>
    <w:rsid w:val="00871576"/>
    <w:rsid w:val="008724AF"/>
    <w:rsid w:val="00876842"/>
    <w:rsid w:val="00890175"/>
    <w:rsid w:val="00897DC7"/>
    <w:rsid w:val="008A2932"/>
    <w:rsid w:val="008C1B2C"/>
    <w:rsid w:val="008E7E40"/>
    <w:rsid w:val="0091556F"/>
    <w:rsid w:val="00915F6C"/>
    <w:rsid w:val="00916C3B"/>
    <w:rsid w:val="0092055B"/>
    <w:rsid w:val="009206AE"/>
    <w:rsid w:val="009568B8"/>
    <w:rsid w:val="00971128"/>
    <w:rsid w:val="00982101"/>
    <w:rsid w:val="009A583C"/>
    <w:rsid w:val="009A7EF9"/>
    <w:rsid w:val="009D4CC3"/>
    <w:rsid w:val="00A06FD2"/>
    <w:rsid w:val="00A14B98"/>
    <w:rsid w:val="00A26234"/>
    <w:rsid w:val="00A3142B"/>
    <w:rsid w:val="00A35577"/>
    <w:rsid w:val="00A629B5"/>
    <w:rsid w:val="00A66323"/>
    <w:rsid w:val="00A9110E"/>
    <w:rsid w:val="00A9465D"/>
    <w:rsid w:val="00AA3DF0"/>
    <w:rsid w:val="00AB42BA"/>
    <w:rsid w:val="00AD1B1B"/>
    <w:rsid w:val="00AD6B29"/>
    <w:rsid w:val="00AF2B28"/>
    <w:rsid w:val="00B20625"/>
    <w:rsid w:val="00B21CA1"/>
    <w:rsid w:val="00B50C3A"/>
    <w:rsid w:val="00B614CB"/>
    <w:rsid w:val="00B637F0"/>
    <w:rsid w:val="00BA2AA1"/>
    <w:rsid w:val="00BB6666"/>
    <w:rsid w:val="00BC37DA"/>
    <w:rsid w:val="00BE6298"/>
    <w:rsid w:val="00BE7419"/>
    <w:rsid w:val="00BF4896"/>
    <w:rsid w:val="00C045EE"/>
    <w:rsid w:val="00C30D5D"/>
    <w:rsid w:val="00C3667F"/>
    <w:rsid w:val="00C82721"/>
    <w:rsid w:val="00C911C0"/>
    <w:rsid w:val="00CC75B6"/>
    <w:rsid w:val="00CF4360"/>
    <w:rsid w:val="00D36ECD"/>
    <w:rsid w:val="00D44D26"/>
    <w:rsid w:val="00D506CA"/>
    <w:rsid w:val="00D663EF"/>
    <w:rsid w:val="00D67560"/>
    <w:rsid w:val="00D97995"/>
    <w:rsid w:val="00DA3999"/>
    <w:rsid w:val="00DD38FD"/>
    <w:rsid w:val="00DE00F4"/>
    <w:rsid w:val="00E24F88"/>
    <w:rsid w:val="00E26308"/>
    <w:rsid w:val="00E60375"/>
    <w:rsid w:val="00EA39DD"/>
    <w:rsid w:val="00EC23E1"/>
    <w:rsid w:val="00EE5E72"/>
    <w:rsid w:val="00F14DC5"/>
    <w:rsid w:val="00F36D75"/>
    <w:rsid w:val="00F428D5"/>
    <w:rsid w:val="00F43D53"/>
    <w:rsid w:val="00F512B9"/>
    <w:rsid w:val="00FA040C"/>
    <w:rsid w:val="00FD712A"/>
    <w:rsid w:val="00F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4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Kurzva">
    <w:name w:val="Základní text + Kurzíva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pacing w:val="-10"/>
      <w:sz w:val="16"/>
      <w:szCs w:val="16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3">
    <w:name w:val="Základní text3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dpis2Netun">
    <w:name w:val="Nadpis #2 + Ne tučné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obrzku2">
    <w:name w:val="Titulek obrázku (2)_"/>
    <w:basedOn w:val="Standardnpsmoodstavce"/>
    <w:link w:val="Titulekobrzku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21"/>
      <w:szCs w:val="21"/>
    </w:rPr>
  </w:style>
  <w:style w:type="character" w:customStyle="1" w:styleId="Titulekobrzku21">
    <w:name w:val="Titulek obrázku (2)"/>
    <w:basedOn w:val="Titulekobrzku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21"/>
      <w:szCs w:val="21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Titulekobrzku1">
    <w:name w:val="Titulek obrázku"/>
    <w:basedOn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Zkladntext4">
    <w:name w:val="Základní text4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30">
    <w:name w:val="Základní text (3)_"/>
    <w:basedOn w:val="Standardnpsmoodstavce"/>
    <w:link w:val="Zkladn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0">
    <w:name w:val="Základní text (4)_"/>
    <w:basedOn w:val="Standardnpsmoodstavce"/>
    <w:link w:val="Zkladntext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411ptNetunNemalpsmena">
    <w:name w:val="Základní text (4) + 11 pt;Ne tučné;Ne malá písmena"/>
    <w:basedOn w:val="Zkladntext40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2"/>
      <w:szCs w:val="22"/>
    </w:rPr>
  </w:style>
  <w:style w:type="character" w:customStyle="1" w:styleId="Zkladntext50">
    <w:name w:val="Základní text (5)_"/>
    <w:basedOn w:val="Standardnpsmoodstavce"/>
    <w:link w:val="Zkladntext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3"/>
      <w:szCs w:val="53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3"/>
      <w:szCs w:val="53"/>
    </w:rPr>
  </w:style>
  <w:style w:type="paragraph" w:customStyle="1" w:styleId="Zkladntext5">
    <w:name w:val="Základní text5"/>
    <w:basedOn w:val="Normln"/>
    <w:link w:val="Zkladntext"/>
    <w:pPr>
      <w:shd w:val="clear" w:color="auto" w:fill="FFFFFF"/>
      <w:spacing w:before="60" w:after="780" w:line="0" w:lineRule="atLeast"/>
      <w:ind w:hanging="6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ind w:hanging="66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528" w:lineRule="exact"/>
      <w:ind w:hanging="680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680"/>
    </w:pPr>
    <w:rPr>
      <w:spacing w:val="-10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187" w:lineRule="exact"/>
      <w:jc w:val="center"/>
    </w:pPr>
    <w:rPr>
      <w:rFonts w:ascii="Times New Roman" w:eastAsia="Times New Roman" w:hAnsi="Times New Roman" w:cs="Times New Roman"/>
      <w:b/>
      <w:bCs/>
      <w:smallCaps/>
      <w:sz w:val="18"/>
      <w:szCs w:val="18"/>
    </w:rPr>
  </w:style>
  <w:style w:type="paragraph" w:customStyle="1" w:styleId="Zkladntext51">
    <w:name w:val="Základní text (5)"/>
    <w:basedOn w:val="Normln"/>
    <w:link w:val="Zkladntext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9"/>
      <w:szCs w:val="3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53"/>
      <w:szCs w:val="5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3D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D53"/>
    <w:rPr>
      <w:rFonts w:ascii="Segoe U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24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4F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4F88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4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4F88"/>
    <w:rPr>
      <w:b/>
      <w:bCs/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102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024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241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024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241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Kurzva">
    <w:name w:val="Základní text + Kurzíva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pacing w:val="-10"/>
      <w:sz w:val="16"/>
      <w:szCs w:val="16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3">
    <w:name w:val="Základní text3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dpis2Netun">
    <w:name w:val="Nadpis #2 + Ne tučné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obrzku2">
    <w:name w:val="Titulek obrázku (2)_"/>
    <w:basedOn w:val="Standardnpsmoodstavce"/>
    <w:link w:val="Titulekobrzku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21"/>
      <w:szCs w:val="21"/>
    </w:rPr>
  </w:style>
  <w:style w:type="character" w:customStyle="1" w:styleId="Titulekobrzku21">
    <w:name w:val="Titulek obrázku (2)"/>
    <w:basedOn w:val="Titulekobrzku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21"/>
      <w:szCs w:val="21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Titulekobrzku1">
    <w:name w:val="Titulek obrázku"/>
    <w:basedOn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Zkladntext4">
    <w:name w:val="Základní text4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30">
    <w:name w:val="Základní text (3)_"/>
    <w:basedOn w:val="Standardnpsmoodstavce"/>
    <w:link w:val="Zkladn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0">
    <w:name w:val="Základní text (4)_"/>
    <w:basedOn w:val="Standardnpsmoodstavce"/>
    <w:link w:val="Zkladntext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411ptNetunNemalpsmena">
    <w:name w:val="Základní text (4) + 11 pt;Ne tučné;Ne malá písmena"/>
    <w:basedOn w:val="Zkladntext40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22"/>
      <w:szCs w:val="22"/>
    </w:rPr>
  </w:style>
  <w:style w:type="character" w:customStyle="1" w:styleId="Zkladntext50">
    <w:name w:val="Základní text (5)_"/>
    <w:basedOn w:val="Standardnpsmoodstavce"/>
    <w:link w:val="Zkladntext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9"/>
      <w:szCs w:val="39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3"/>
      <w:szCs w:val="53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3"/>
      <w:szCs w:val="53"/>
    </w:rPr>
  </w:style>
  <w:style w:type="paragraph" w:customStyle="1" w:styleId="Zkladntext5">
    <w:name w:val="Základní text5"/>
    <w:basedOn w:val="Normln"/>
    <w:link w:val="Zkladntext"/>
    <w:pPr>
      <w:shd w:val="clear" w:color="auto" w:fill="FFFFFF"/>
      <w:spacing w:before="60" w:after="780" w:line="0" w:lineRule="atLeast"/>
      <w:ind w:hanging="6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ind w:hanging="66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528" w:lineRule="exact"/>
      <w:ind w:hanging="680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680"/>
    </w:pPr>
    <w:rPr>
      <w:spacing w:val="-10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187" w:lineRule="exact"/>
      <w:jc w:val="center"/>
    </w:pPr>
    <w:rPr>
      <w:rFonts w:ascii="Times New Roman" w:eastAsia="Times New Roman" w:hAnsi="Times New Roman" w:cs="Times New Roman"/>
      <w:b/>
      <w:bCs/>
      <w:smallCaps/>
      <w:sz w:val="18"/>
      <w:szCs w:val="18"/>
    </w:rPr>
  </w:style>
  <w:style w:type="paragraph" w:customStyle="1" w:styleId="Zkladntext51">
    <w:name w:val="Základní text (5)"/>
    <w:basedOn w:val="Normln"/>
    <w:link w:val="Zkladntext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9"/>
      <w:szCs w:val="3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53"/>
      <w:szCs w:val="5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3D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D53"/>
    <w:rPr>
      <w:rFonts w:ascii="Segoe U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24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4F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4F88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4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4F88"/>
    <w:rPr>
      <w:b/>
      <w:bCs/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102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024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241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024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241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1390</Words>
  <Characters>8207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KM_C224e-20170124112513</vt:lpstr>
      <vt:lpstr>KM_C224e-20170124112513</vt:lpstr>
    </vt:vector>
  </TitlesOfParts>
  <Company>Hewlett-Packard Company</Company>
  <LinksUpToDate>false</LinksUpToDate>
  <CharactersWithSpaces>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KM_C224e-20170124112513</dc:title>
  <dc:subject/>
  <dc:creator>Tana Spindlerova</dc:creator>
  <cp:keywords/>
  <cp:lastModifiedBy>Neugebauerová Kateřina</cp:lastModifiedBy>
  <cp:revision>17</cp:revision>
  <cp:lastPrinted>2021-05-28T08:59:00Z</cp:lastPrinted>
  <dcterms:created xsi:type="dcterms:W3CDTF">2021-04-16T06:31:00Z</dcterms:created>
  <dcterms:modified xsi:type="dcterms:W3CDTF">2021-05-28T08:59:00Z</dcterms:modified>
</cp:coreProperties>
</file>