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80B3E" w14:textId="77777777" w:rsidR="00AC388F" w:rsidRPr="00BB0234" w:rsidRDefault="00153AE3">
      <w:pPr>
        <w:rPr>
          <w:b/>
        </w:rPr>
      </w:pPr>
      <w:r w:rsidRPr="00BB0234">
        <w:rPr>
          <w:b/>
        </w:rPr>
        <w:t>Testovací souprava na průkaz antigenů viru klasického moru prasat (CSFV) – sérum plus</w:t>
      </w:r>
    </w:p>
    <w:p w14:paraId="66940E02" w14:textId="77777777" w:rsidR="00153AE3" w:rsidRPr="00BB0234" w:rsidRDefault="00153AE3">
      <w:pPr>
        <w:rPr>
          <w:b/>
        </w:rPr>
      </w:pPr>
      <w:r w:rsidRPr="00BB0234">
        <w:rPr>
          <w:b/>
        </w:rPr>
        <w:t>Pouze k veterinárnímu užití.</w:t>
      </w:r>
    </w:p>
    <w:p w14:paraId="58EA3D50" w14:textId="77777777" w:rsidR="00153AE3" w:rsidRPr="00BB0234" w:rsidRDefault="00153AE3">
      <w:pPr>
        <w:rPr>
          <w:b/>
        </w:rPr>
      </w:pPr>
      <w:r w:rsidRPr="00BB0234">
        <w:rPr>
          <w:b/>
        </w:rPr>
        <w:t>Název a zamýšlené užití</w:t>
      </w:r>
    </w:p>
    <w:p w14:paraId="2D3F170E" w14:textId="1CC19CDE" w:rsidR="00153AE3" w:rsidRPr="00C02C55" w:rsidRDefault="00DC759A" w:rsidP="00C02C55">
      <w:pPr>
        <w:spacing w:before="120" w:after="120" w:line="240" w:lineRule="auto"/>
        <w:ind w:right="-1"/>
        <w:rPr>
          <w:rFonts w:eastAsia="Times New Roman" w:cs="Calibri"/>
          <w:b/>
          <w:bCs/>
          <w:lang w:eastAsia="cs-CZ"/>
        </w:rPr>
      </w:pPr>
      <w:sdt>
        <w:sdtPr>
          <w:rPr>
            <w:rFonts w:eastAsia="Times New Roman" w:cs="Calibri"/>
            <w:b/>
            <w:bCs/>
            <w:lang w:eastAsia="cs-CZ"/>
          </w:rPr>
          <w:id w:val="601610737"/>
          <w:placeholder>
            <w:docPart w:val="01AD125694D14F0B93B790AA344C90C0"/>
          </w:placeholder>
          <w:text/>
        </w:sdtPr>
        <w:sdtEndPr/>
        <w:sdtContent>
          <w:proofErr w:type="spellStart"/>
          <w:r w:rsidR="00A67493" w:rsidRPr="006B05A6">
            <w:rPr>
              <w:rFonts w:eastAsia="Times New Roman" w:cs="Calibri"/>
              <w:b/>
              <w:bCs/>
              <w:lang w:eastAsia="cs-CZ"/>
            </w:rPr>
            <w:t>Classical</w:t>
          </w:r>
          <w:proofErr w:type="spellEnd"/>
          <w:r w:rsidR="00A67493" w:rsidRPr="006B05A6">
            <w:rPr>
              <w:rFonts w:eastAsia="Times New Roman" w:cs="Calibri"/>
              <w:b/>
              <w:bCs/>
              <w:lang w:eastAsia="cs-CZ"/>
            </w:rPr>
            <w:t xml:space="preserve"> </w:t>
          </w:r>
          <w:proofErr w:type="spellStart"/>
          <w:r w:rsidR="00A67493" w:rsidRPr="006B05A6">
            <w:rPr>
              <w:rFonts w:eastAsia="Times New Roman" w:cs="Calibri"/>
              <w:b/>
              <w:bCs/>
              <w:lang w:eastAsia="cs-CZ"/>
            </w:rPr>
            <w:t>Swine</w:t>
          </w:r>
          <w:proofErr w:type="spellEnd"/>
          <w:r w:rsidR="00A67493" w:rsidRPr="006B05A6">
            <w:rPr>
              <w:rFonts w:eastAsia="Times New Roman" w:cs="Calibri"/>
              <w:b/>
              <w:bCs/>
              <w:lang w:eastAsia="cs-CZ"/>
            </w:rPr>
            <w:t xml:space="preserve"> </w:t>
          </w:r>
          <w:proofErr w:type="spellStart"/>
          <w:r w:rsidR="00A67493" w:rsidRPr="006B05A6">
            <w:rPr>
              <w:rFonts w:eastAsia="Times New Roman" w:cs="Calibri"/>
              <w:b/>
              <w:bCs/>
              <w:lang w:eastAsia="cs-CZ"/>
            </w:rPr>
            <w:t>Fever</w:t>
          </w:r>
          <w:proofErr w:type="spellEnd"/>
          <w:r w:rsidR="00A67493" w:rsidRPr="006B05A6">
            <w:rPr>
              <w:rFonts w:eastAsia="Times New Roman" w:cs="Calibri"/>
              <w:b/>
              <w:bCs/>
              <w:lang w:eastAsia="cs-CZ"/>
            </w:rPr>
            <w:t xml:space="preserve"> Virus Antigen Test </w:t>
          </w:r>
          <w:proofErr w:type="spellStart"/>
          <w:r w:rsidR="00A67493" w:rsidRPr="006B05A6">
            <w:rPr>
              <w:rFonts w:eastAsia="Times New Roman" w:cs="Calibri"/>
              <w:b/>
              <w:bCs/>
              <w:lang w:eastAsia="cs-CZ"/>
            </w:rPr>
            <w:t>Kits</w:t>
          </w:r>
          <w:proofErr w:type="spellEnd"/>
          <w:r w:rsidR="00A67493" w:rsidRPr="006B05A6">
            <w:rPr>
              <w:rFonts w:eastAsia="Times New Roman" w:cs="Calibri"/>
              <w:b/>
              <w:bCs/>
              <w:lang w:eastAsia="cs-CZ"/>
            </w:rPr>
            <w:t xml:space="preserve"> (CSFV)</w:t>
          </w:r>
          <w:r w:rsidR="00A67493">
            <w:rPr>
              <w:rFonts w:eastAsia="Times New Roman" w:cs="Calibri"/>
              <w:b/>
              <w:bCs/>
              <w:lang w:eastAsia="cs-CZ"/>
            </w:rPr>
            <w:t xml:space="preserve"> </w:t>
          </w:r>
          <w:proofErr w:type="spellStart"/>
          <w:r w:rsidR="00A67493" w:rsidRPr="006B05A6">
            <w:rPr>
              <w:rFonts w:eastAsia="Times New Roman" w:cs="Calibri"/>
              <w:b/>
              <w:bCs/>
              <w:lang w:eastAsia="cs-CZ"/>
            </w:rPr>
            <w:t>Serum</w:t>
          </w:r>
          <w:proofErr w:type="spellEnd"/>
          <w:r w:rsidR="00A67493" w:rsidRPr="006B05A6">
            <w:rPr>
              <w:rFonts w:eastAsia="Times New Roman" w:cs="Calibri"/>
              <w:b/>
              <w:bCs/>
              <w:lang w:eastAsia="cs-CZ"/>
            </w:rPr>
            <w:t xml:space="preserve"> Plus</w:t>
          </w:r>
        </w:sdtContent>
      </w:sdt>
      <w:r w:rsidR="00A67493">
        <w:rPr>
          <w:rFonts w:eastAsia="Times New Roman" w:cs="Calibri"/>
          <w:b/>
          <w:bCs/>
          <w:lang w:eastAsia="cs-CZ"/>
        </w:rPr>
        <w:t xml:space="preserve"> </w:t>
      </w:r>
      <w:r w:rsidR="00153AE3">
        <w:t>je enzymatický imunologický test pro detekci antigenů CSFV v</w:t>
      </w:r>
      <w:r w:rsidR="00FD44FF">
        <w:t>e vzorcích</w:t>
      </w:r>
      <w:r w:rsidR="00153AE3">
        <w:t> sér</w:t>
      </w:r>
      <w:r w:rsidR="00FD44FF">
        <w:t>a</w:t>
      </w:r>
      <w:r w:rsidR="00153AE3">
        <w:t>, plazm</w:t>
      </w:r>
      <w:r w:rsidR="00FD44FF">
        <w:t>y a tkání</w:t>
      </w:r>
      <w:r w:rsidR="00153AE3">
        <w:t xml:space="preserve"> (nejlépe mandlí, slezin</w:t>
      </w:r>
      <w:r w:rsidR="00FD44FF">
        <w:t>y</w:t>
      </w:r>
      <w:r w:rsidR="00153AE3">
        <w:t xml:space="preserve">, </w:t>
      </w:r>
      <w:proofErr w:type="spellStart"/>
      <w:r w:rsidR="00153AE3">
        <w:t>mezenterických</w:t>
      </w:r>
      <w:proofErr w:type="spellEnd"/>
      <w:r w:rsidR="00153AE3">
        <w:t xml:space="preserve"> lymfatických uzlin nebo ledvin)</w:t>
      </w:r>
      <w:r w:rsidR="00FD44FF">
        <w:t xml:space="preserve"> prasat.</w:t>
      </w:r>
    </w:p>
    <w:p w14:paraId="68644AA0" w14:textId="77777777" w:rsidR="00FD44FF" w:rsidRPr="00BB0234" w:rsidRDefault="00FD44FF">
      <w:pPr>
        <w:rPr>
          <w:b/>
        </w:rPr>
      </w:pPr>
      <w:r w:rsidRPr="00BB0234">
        <w:rPr>
          <w:b/>
        </w:rPr>
        <w:t>Obecné informace</w:t>
      </w:r>
    </w:p>
    <w:p w14:paraId="6A8FD475" w14:textId="4AABC026" w:rsidR="00FD44FF" w:rsidRDefault="00FD44FF" w:rsidP="00C02C55">
      <w:pPr>
        <w:jc w:val="both"/>
      </w:pPr>
      <w:r>
        <w:t xml:space="preserve">Virus klasického moru prasat (CSFV), bovinní virové diarey (BVDV) a hraniční choroby (BDV) společně patří do rodu </w:t>
      </w:r>
      <w:proofErr w:type="spellStart"/>
      <w:r w:rsidRPr="00A67493">
        <w:rPr>
          <w:i/>
        </w:rPr>
        <w:t>Pestivirus</w:t>
      </w:r>
      <w:proofErr w:type="spellEnd"/>
      <w:r>
        <w:t xml:space="preserve"> z čeledi </w:t>
      </w:r>
      <w:proofErr w:type="spellStart"/>
      <w:r>
        <w:t>Flaviviridae</w:t>
      </w:r>
      <w:proofErr w:type="spellEnd"/>
      <w:r>
        <w:t>. CSFV jakožto obligátní patogen zapříčiňující masová úmrtí způsobuje závažné ztráty v chovu prasat. Prasat</w:t>
      </w:r>
      <w:r w:rsidR="00AD5E6D">
        <w:t>a</w:t>
      </w:r>
      <w:r>
        <w:t xml:space="preserve"> infikovaná vysoce virulentními kmeny CSFV mohou před objevením klinických příznaků onemocnění vylučovat velká množství viru. Zvířata, která přežijí akutní nebo subakutní infekci si vyvinou protilátky a virus již dále nešíří. Středně virulentní, méně patogenní kmeny mohou </w:t>
      </w:r>
      <w:r w:rsidR="00AD5E6D">
        <w:t>způsobit</w:t>
      </w:r>
      <w:r>
        <w:t> </w:t>
      </w:r>
      <w:r w:rsidR="00AD5E6D">
        <w:t>chronickou</w:t>
      </w:r>
      <w:r>
        <w:t xml:space="preserve"> infekci, při níž prasata vylučují virus kontinuálně nebo přerušovaně až do smrti. Plody vnímavých březích prasnic vystavených CSFV mohou být infikovány skrze placentu. Kongenitální infekce může vyústit v potrat, mumifikaci plodu, narození mrtvých nebo slabých selat nebo malformace embryí. Nejčastějším výsledkem kongenitální infekce </w:t>
      </w:r>
      <w:proofErr w:type="spellStart"/>
      <w:r>
        <w:t>nízkovirulentními</w:t>
      </w:r>
      <w:proofErr w:type="spellEnd"/>
      <w:r>
        <w:t xml:space="preserve"> kmeny je narození perzistentně infikovaných selat, která bez imunitní odpovědi šíří virus, aniž by se u nich projevovaly příznaky onemocnění. Prasata mohou být infikována rovněž BVDV nebo BDV. Ačkoli jsou tyto infekce u prasat obvykle mírné a sebeomezující, </w:t>
      </w:r>
      <w:r w:rsidR="006F1F67">
        <w:t xml:space="preserve">detekce viru je v takových případech velmi vzácná. Vzhledem k vysoké senzitivitě testu </w:t>
      </w:r>
      <w:sdt>
        <w:sdtPr>
          <w:rPr>
            <w:rFonts w:eastAsia="Times New Roman"/>
            <w:bCs/>
            <w:lang w:eastAsia="cs-CZ"/>
          </w:rPr>
          <w:id w:val="803817474"/>
          <w:placeholder>
            <w:docPart w:val="AC7DB1490C9A49578105DE6CE15A38BC"/>
          </w:placeholder>
          <w:text/>
        </w:sdtPr>
        <w:sdtEndPr/>
        <w:sdtContent>
          <w:proofErr w:type="spellStart"/>
          <w:r w:rsidR="00A67493" w:rsidRPr="00C02C55">
            <w:rPr>
              <w:rFonts w:eastAsia="Times New Roman"/>
              <w:bCs/>
              <w:lang w:eastAsia="cs-CZ"/>
            </w:rPr>
            <w:t>Classical</w:t>
          </w:r>
          <w:proofErr w:type="spellEnd"/>
          <w:r w:rsidR="00A67493" w:rsidRPr="00C02C55">
            <w:rPr>
              <w:rFonts w:eastAsia="Times New Roman"/>
              <w:bCs/>
              <w:lang w:eastAsia="cs-CZ"/>
            </w:rPr>
            <w:t xml:space="preserve"> </w:t>
          </w:r>
          <w:proofErr w:type="spellStart"/>
          <w:r w:rsidR="00A67493" w:rsidRPr="00C02C55">
            <w:rPr>
              <w:rFonts w:eastAsia="Times New Roman"/>
              <w:bCs/>
              <w:lang w:eastAsia="cs-CZ"/>
            </w:rPr>
            <w:t>Swine</w:t>
          </w:r>
          <w:proofErr w:type="spellEnd"/>
          <w:r w:rsidR="00A67493" w:rsidRPr="00C02C55">
            <w:rPr>
              <w:rFonts w:eastAsia="Times New Roman"/>
              <w:bCs/>
              <w:lang w:eastAsia="cs-CZ"/>
            </w:rPr>
            <w:t xml:space="preserve"> </w:t>
          </w:r>
          <w:proofErr w:type="spellStart"/>
          <w:r w:rsidR="00A67493" w:rsidRPr="00C02C55">
            <w:rPr>
              <w:rFonts w:eastAsia="Times New Roman"/>
              <w:bCs/>
              <w:lang w:eastAsia="cs-CZ"/>
            </w:rPr>
            <w:t>Fever</w:t>
          </w:r>
          <w:proofErr w:type="spellEnd"/>
          <w:r w:rsidR="00A67493" w:rsidRPr="00C02C55">
            <w:rPr>
              <w:rFonts w:eastAsia="Times New Roman"/>
              <w:bCs/>
              <w:lang w:eastAsia="cs-CZ"/>
            </w:rPr>
            <w:t xml:space="preserve"> Virus Antigen Test </w:t>
          </w:r>
          <w:proofErr w:type="spellStart"/>
          <w:r w:rsidR="00A67493" w:rsidRPr="00C02C55">
            <w:rPr>
              <w:rFonts w:eastAsia="Times New Roman"/>
              <w:bCs/>
              <w:lang w:eastAsia="cs-CZ"/>
            </w:rPr>
            <w:t>Kits</w:t>
          </w:r>
          <w:proofErr w:type="spellEnd"/>
          <w:r w:rsidR="00A67493" w:rsidRPr="00C02C55">
            <w:rPr>
              <w:rFonts w:eastAsia="Times New Roman"/>
              <w:bCs/>
              <w:lang w:eastAsia="cs-CZ"/>
            </w:rPr>
            <w:t xml:space="preserve"> (CSFV) </w:t>
          </w:r>
          <w:proofErr w:type="spellStart"/>
          <w:r w:rsidR="00A67493" w:rsidRPr="00C02C55">
            <w:rPr>
              <w:rFonts w:eastAsia="Times New Roman"/>
              <w:bCs/>
              <w:lang w:eastAsia="cs-CZ"/>
            </w:rPr>
            <w:t>Serum</w:t>
          </w:r>
          <w:proofErr w:type="spellEnd"/>
          <w:r w:rsidR="00A67493" w:rsidRPr="00C02C55">
            <w:rPr>
              <w:rFonts w:eastAsia="Times New Roman"/>
              <w:bCs/>
              <w:lang w:eastAsia="cs-CZ"/>
            </w:rPr>
            <w:t xml:space="preserve"> Plus</w:t>
          </w:r>
        </w:sdtContent>
      </w:sdt>
      <w:r w:rsidR="00A67493" w:rsidDel="00A67493">
        <w:t xml:space="preserve"> </w:t>
      </w:r>
      <w:r w:rsidR="006F1F67">
        <w:t xml:space="preserve">vůči všem </w:t>
      </w:r>
      <w:proofErr w:type="spellStart"/>
      <w:r w:rsidR="006F1F67">
        <w:t>pestivirům</w:t>
      </w:r>
      <w:proofErr w:type="spellEnd"/>
      <w:r w:rsidR="006F1F67">
        <w:t xml:space="preserve"> nelze detekci BVDV nebo BDV vyloučit. Pozitivní výsledky se proto doporučuje potvrdit provedením testu specifického pro CSFV. </w:t>
      </w:r>
    </w:p>
    <w:p w14:paraId="2AD681C5" w14:textId="77777777" w:rsidR="006F1F67" w:rsidRPr="00BB0234" w:rsidRDefault="006F1F67">
      <w:pPr>
        <w:rPr>
          <w:b/>
        </w:rPr>
      </w:pPr>
      <w:r w:rsidRPr="00BB0234">
        <w:rPr>
          <w:b/>
        </w:rPr>
        <w:t>Popis a principy</w:t>
      </w:r>
    </w:p>
    <w:p w14:paraId="023D2050" w14:textId="77777777" w:rsidR="006F1F67" w:rsidRDefault="006F1F67" w:rsidP="00C02C55">
      <w:pPr>
        <w:jc w:val="both"/>
      </w:pPr>
      <w:proofErr w:type="spellStart"/>
      <w:r>
        <w:t>Mikrotitrační</w:t>
      </w:r>
      <w:proofErr w:type="spellEnd"/>
      <w:r>
        <w:t xml:space="preserve"> formát testu byl vytvořen imobilizací specifických monoklonálních protilátek na </w:t>
      </w:r>
      <w:proofErr w:type="spellStart"/>
      <w:r>
        <w:t>mikrotitračních</w:t>
      </w:r>
      <w:proofErr w:type="spellEnd"/>
      <w:r>
        <w:t xml:space="preserve"> destičkách. CSFV </w:t>
      </w:r>
      <w:proofErr w:type="spellStart"/>
      <w:r>
        <w:t>Ag</w:t>
      </w:r>
      <w:proofErr w:type="spellEnd"/>
      <w:r>
        <w:t xml:space="preserve"> ze vzorků se pak na destičkách zachytí. Po inkubaci testovaného vzorku v jamkách destiček je zachycený CSFV </w:t>
      </w:r>
      <w:proofErr w:type="spellStart"/>
      <w:r>
        <w:t>Ag</w:t>
      </w:r>
      <w:proofErr w:type="spellEnd"/>
      <w:r>
        <w:t xml:space="preserve"> detekován konjugátem </w:t>
      </w:r>
      <w:r w:rsidR="00A355CE">
        <w:t xml:space="preserve">specifického </w:t>
      </w:r>
      <w:proofErr w:type="spellStart"/>
      <w:r w:rsidR="00A355CE">
        <w:t>polyklonálního</w:t>
      </w:r>
      <w:proofErr w:type="spellEnd"/>
      <w:r w:rsidR="00A355CE">
        <w:t xml:space="preserve"> antiséra CSFV (</w:t>
      </w:r>
      <w:proofErr w:type="spellStart"/>
      <w:r w:rsidR="00A355CE">
        <w:t>E</w:t>
      </w:r>
      <w:r w:rsidR="00CB758E">
        <w:rPr>
          <w:vertAlign w:val="superscript"/>
        </w:rPr>
        <w:t>rns</w:t>
      </w:r>
      <w:proofErr w:type="spellEnd"/>
      <w:r w:rsidR="00A355CE">
        <w:t xml:space="preserve">) a křenové peroxidázy. V dalším kroku se nenavázaný konjugát vymyje a přidá se roztok substrátu/chromogenu. V přítomnosti enzymu je substrát konvertován na produkt, který reaguje s chromogenem za vzniku modrého zbarvení. Po přidání zastavovacího roztoku vzniká žluté zabarvení. Absorbance při jedné vlnové délce 450 </w:t>
      </w:r>
      <w:proofErr w:type="spellStart"/>
      <w:r w:rsidR="00A355CE">
        <w:t>nm</w:t>
      </w:r>
      <w:proofErr w:type="spellEnd"/>
      <w:r w:rsidR="00A355CE">
        <w:t xml:space="preserve"> </w:t>
      </w:r>
      <w:r w:rsidR="00A355CE" w:rsidRPr="00A355CE">
        <w:t>[</w:t>
      </w:r>
      <w:proofErr w:type="gramStart"/>
      <w:r w:rsidR="00A355CE" w:rsidRPr="00A355CE">
        <w:t>A(</w:t>
      </w:r>
      <w:proofErr w:type="gramEnd"/>
      <w:r w:rsidR="00A355CE" w:rsidRPr="00A355CE">
        <w:t>450)]</w:t>
      </w:r>
      <w:r w:rsidR="00A355CE">
        <w:t xml:space="preserve"> nebo duální vlnové délce 450 a 650 </w:t>
      </w:r>
      <w:proofErr w:type="spellStart"/>
      <w:r w:rsidR="00A355CE">
        <w:t>nm</w:t>
      </w:r>
      <w:proofErr w:type="spellEnd"/>
      <w:r w:rsidR="00A355CE">
        <w:t xml:space="preserve"> </w:t>
      </w:r>
      <w:r w:rsidR="00A355CE" w:rsidRPr="00A355CE">
        <w:t>[A(450/650)]</w:t>
      </w:r>
      <w:r w:rsidR="00A355CE">
        <w:t xml:space="preserve"> se měří pomocí spektrofotometru. Hodnota korigované optické hustoty vzorků se vypočítá pomocí absorbance </w:t>
      </w:r>
      <w:r w:rsidR="00A355CE" w:rsidRPr="00A355CE">
        <w:t>[</w:t>
      </w:r>
      <w:proofErr w:type="gramStart"/>
      <w:r w:rsidR="00A355CE" w:rsidRPr="00A355CE">
        <w:t>A(</w:t>
      </w:r>
      <w:proofErr w:type="gramEnd"/>
      <w:r w:rsidR="00A355CE" w:rsidRPr="00A355CE">
        <w:t>450)]</w:t>
      </w:r>
      <w:r w:rsidR="00A355CE">
        <w:t xml:space="preserve"> nebo </w:t>
      </w:r>
      <w:r w:rsidR="00A355CE" w:rsidRPr="00A355CE">
        <w:t>[A(450/650)]</w:t>
      </w:r>
      <w:r w:rsidR="00A355CE">
        <w:t xml:space="preserve"> testovaného vzorku po korekci na absorbanci negativní kontroly. </w:t>
      </w:r>
    </w:p>
    <w:p w14:paraId="7E0D43F2" w14:textId="77777777" w:rsidR="00CB758E" w:rsidRDefault="00CB758E" w:rsidP="00CB758E">
      <w:r>
        <w:t>Reagencie                                                                                                    Objem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5670"/>
        <w:gridCol w:w="1134"/>
        <w:gridCol w:w="1134"/>
      </w:tblGrid>
      <w:tr w:rsidR="00CB758E" w14:paraId="135572EF" w14:textId="77777777" w:rsidTr="00CB758E">
        <w:tc>
          <w:tcPr>
            <w:tcW w:w="421" w:type="dxa"/>
          </w:tcPr>
          <w:p w14:paraId="5DF4A588" w14:textId="77777777" w:rsidR="00CB758E" w:rsidRDefault="00CB758E" w:rsidP="00400213">
            <w:r>
              <w:t>1</w:t>
            </w:r>
          </w:p>
        </w:tc>
        <w:tc>
          <w:tcPr>
            <w:tcW w:w="5670" w:type="dxa"/>
          </w:tcPr>
          <w:p w14:paraId="0D7F44AD" w14:textId="77777777" w:rsidR="00CB758E" w:rsidRDefault="00CB758E" w:rsidP="00400213">
            <w:r>
              <w:t>Destička potažená Anti</w:t>
            </w:r>
            <w:r w:rsidRPr="00CB758E">
              <w:t>-</w:t>
            </w:r>
            <w:proofErr w:type="spellStart"/>
            <w:r w:rsidRPr="00CB758E">
              <w:t>E</w:t>
            </w:r>
            <w:r w:rsidRPr="00F339DE">
              <w:rPr>
                <w:vertAlign w:val="superscript"/>
              </w:rPr>
              <w:t>rns</w:t>
            </w:r>
            <w:proofErr w:type="spellEnd"/>
            <w:r>
              <w:t xml:space="preserve"> </w:t>
            </w:r>
            <w:proofErr w:type="spellStart"/>
            <w:r>
              <w:t>mAb</w:t>
            </w:r>
            <w:proofErr w:type="spellEnd"/>
          </w:p>
        </w:tc>
        <w:tc>
          <w:tcPr>
            <w:tcW w:w="1134" w:type="dxa"/>
          </w:tcPr>
          <w:p w14:paraId="667A5465" w14:textId="77777777" w:rsidR="00CB758E" w:rsidRDefault="00CB758E" w:rsidP="00400213">
            <w:r>
              <w:t>2</w:t>
            </w:r>
          </w:p>
        </w:tc>
        <w:tc>
          <w:tcPr>
            <w:tcW w:w="1134" w:type="dxa"/>
          </w:tcPr>
          <w:p w14:paraId="7E04A5B1" w14:textId="77777777" w:rsidR="00CB758E" w:rsidRDefault="00CB758E" w:rsidP="00400213">
            <w:r>
              <w:t>5</w:t>
            </w:r>
          </w:p>
        </w:tc>
      </w:tr>
      <w:tr w:rsidR="00CB758E" w14:paraId="4ED010E0" w14:textId="77777777" w:rsidTr="00CB758E">
        <w:tc>
          <w:tcPr>
            <w:tcW w:w="421" w:type="dxa"/>
          </w:tcPr>
          <w:p w14:paraId="50270993" w14:textId="77777777" w:rsidR="00CB758E" w:rsidRDefault="00CB758E" w:rsidP="00400213">
            <w:r>
              <w:t>2</w:t>
            </w:r>
          </w:p>
        </w:tc>
        <w:tc>
          <w:tcPr>
            <w:tcW w:w="5670" w:type="dxa"/>
          </w:tcPr>
          <w:p w14:paraId="04A72293" w14:textId="77777777" w:rsidR="00CB758E" w:rsidRDefault="00CB758E" w:rsidP="00400213">
            <w:r>
              <w:t>Pozitivní kontrolní vzorek</w:t>
            </w:r>
          </w:p>
        </w:tc>
        <w:tc>
          <w:tcPr>
            <w:tcW w:w="1134" w:type="dxa"/>
          </w:tcPr>
          <w:p w14:paraId="1AE61089" w14:textId="77777777" w:rsidR="00CB758E" w:rsidRPr="00F5787E" w:rsidRDefault="00CB758E" w:rsidP="00400213">
            <w:r w:rsidRPr="00F5787E">
              <w:t>1 x 1</w:t>
            </w:r>
            <w:r>
              <w:t>,</w:t>
            </w:r>
            <w:r w:rsidRPr="00F5787E">
              <w:t>6 m</w:t>
            </w:r>
            <w:r>
              <w:t>l</w:t>
            </w:r>
          </w:p>
        </w:tc>
        <w:tc>
          <w:tcPr>
            <w:tcW w:w="1134" w:type="dxa"/>
          </w:tcPr>
          <w:p w14:paraId="071514EA" w14:textId="77777777" w:rsidR="00CB758E" w:rsidRPr="00F5787E" w:rsidRDefault="00CB758E" w:rsidP="00400213">
            <w:r w:rsidRPr="00F5787E">
              <w:t xml:space="preserve">1 x </w:t>
            </w:r>
            <w:r>
              <w:t>2,0</w:t>
            </w:r>
            <w:r w:rsidRPr="00F5787E">
              <w:t xml:space="preserve"> m</w:t>
            </w:r>
            <w:r>
              <w:t>l</w:t>
            </w:r>
          </w:p>
        </w:tc>
      </w:tr>
      <w:tr w:rsidR="00CB758E" w14:paraId="07342554" w14:textId="77777777" w:rsidTr="00CB758E">
        <w:tc>
          <w:tcPr>
            <w:tcW w:w="421" w:type="dxa"/>
          </w:tcPr>
          <w:p w14:paraId="1F24403D" w14:textId="77777777" w:rsidR="00CB758E" w:rsidRDefault="00CB758E" w:rsidP="00400213">
            <w:r>
              <w:t>3</w:t>
            </w:r>
          </w:p>
        </w:tc>
        <w:tc>
          <w:tcPr>
            <w:tcW w:w="5670" w:type="dxa"/>
          </w:tcPr>
          <w:p w14:paraId="4CC115FD" w14:textId="77777777" w:rsidR="00CB758E" w:rsidRDefault="00CB758E" w:rsidP="00400213">
            <w:r>
              <w:t>Negativní kontrolní vzorek</w:t>
            </w:r>
          </w:p>
        </w:tc>
        <w:tc>
          <w:tcPr>
            <w:tcW w:w="1134" w:type="dxa"/>
          </w:tcPr>
          <w:p w14:paraId="26755CBC" w14:textId="77777777" w:rsidR="00CB758E" w:rsidRPr="00F5787E" w:rsidRDefault="00CB758E" w:rsidP="00400213">
            <w:r w:rsidRPr="00F5787E">
              <w:t>1 x 1</w:t>
            </w:r>
            <w:r>
              <w:t>,</w:t>
            </w:r>
            <w:r w:rsidRPr="00F5787E">
              <w:t>6 m</w:t>
            </w:r>
            <w:r>
              <w:t>l</w:t>
            </w:r>
          </w:p>
        </w:tc>
        <w:tc>
          <w:tcPr>
            <w:tcW w:w="1134" w:type="dxa"/>
          </w:tcPr>
          <w:p w14:paraId="7F735942" w14:textId="77777777" w:rsidR="00CB758E" w:rsidRPr="00F5787E" w:rsidRDefault="00CB758E" w:rsidP="00400213">
            <w:r w:rsidRPr="00F5787E">
              <w:t xml:space="preserve">1 x </w:t>
            </w:r>
            <w:r>
              <w:t>2,0</w:t>
            </w:r>
            <w:r w:rsidRPr="00F5787E">
              <w:t xml:space="preserve"> m</w:t>
            </w:r>
            <w:r>
              <w:t>l</w:t>
            </w:r>
          </w:p>
        </w:tc>
      </w:tr>
      <w:tr w:rsidR="00CB758E" w14:paraId="65ECCCC6" w14:textId="77777777" w:rsidTr="00CB758E">
        <w:tc>
          <w:tcPr>
            <w:tcW w:w="421" w:type="dxa"/>
          </w:tcPr>
          <w:p w14:paraId="7688ADCD" w14:textId="77777777" w:rsidR="00CB758E" w:rsidRDefault="00CB758E" w:rsidP="00400213">
            <w:r>
              <w:t>4</w:t>
            </w:r>
          </w:p>
        </w:tc>
        <w:tc>
          <w:tcPr>
            <w:tcW w:w="5670" w:type="dxa"/>
          </w:tcPr>
          <w:p w14:paraId="74808AB4" w14:textId="77777777" w:rsidR="00CB758E" w:rsidRDefault="00CB758E" w:rsidP="00400213">
            <w:r>
              <w:t>Konjugát</w:t>
            </w:r>
          </w:p>
        </w:tc>
        <w:tc>
          <w:tcPr>
            <w:tcW w:w="1134" w:type="dxa"/>
          </w:tcPr>
          <w:p w14:paraId="025617B3" w14:textId="77777777" w:rsidR="00CB758E" w:rsidRPr="00D90BFD" w:rsidRDefault="00CB758E" w:rsidP="00400213">
            <w:r w:rsidRPr="00D90BFD">
              <w:t>1 x 25 m</w:t>
            </w:r>
            <w:r>
              <w:t>l</w:t>
            </w:r>
          </w:p>
        </w:tc>
        <w:tc>
          <w:tcPr>
            <w:tcW w:w="1134" w:type="dxa"/>
          </w:tcPr>
          <w:p w14:paraId="3BD7EEB1" w14:textId="77777777" w:rsidR="00CB758E" w:rsidRPr="00D90BFD" w:rsidRDefault="00CB758E" w:rsidP="00400213">
            <w:r w:rsidRPr="00D90BFD">
              <w:t xml:space="preserve">1 x </w:t>
            </w:r>
            <w:r>
              <w:t>60</w:t>
            </w:r>
            <w:r w:rsidRPr="00D90BFD">
              <w:t xml:space="preserve"> m</w:t>
            </w:r>
            <w:r>
              <w:t>l</w:t>
            </w:r>
          </w:p>
        </w:tc>
      </w:tr>
      <w:tr w:rsidR="00CB758E" w14:paraId="704C3F4F" w14:textId="77777777" w:rsidTr="00CB758E">
        <w:tc>
          <w:tcPr>
            <w:tcW w:w="421" w:type="dxa"/>
          </w:tcPr>
          <w:p w14:paraId="4878BBEB" w14:textId="77777777" w:rsidR="00CB758E" w:rsidRDefault="00CB758E" w:rsidP="00400213">
            <w:r>
              <w:t>5</w:t>
            </w:r>
          </w:p>
        </w:tc>
        <w:tc>
          <w:tcPr>
            <w:tcW w:w="5670" w:type="dxa"/>
          </w:tcPr>
          <w:p w14:paraId="5ACE071A" w14:textId="39F740EE" w:rsidR="00CB758E" w:rsidRDefault="00CB758E" w:rsidP="00400213">
            <w:r>
              <w:t xml:space="preserve">Koncentrát </w:t>
            </w:r>
            <w:proofErr w:type="spellStart"/>
            <w:r>
              <w:t>pufrační</w:t>
            </w:r>
            <w:proofErr w:type="spellEnd"/>
            <w:r>
              <w:t xml:space="preserve"> roztoku pro namáčení vzorků tkáně (2X)</w:t>
            </w:r>
          </w:p>
        </w:tc>
        <w:tc>
          <w:tcPr>
            <w:tcW w:w="1134" w:type="dxa"/>
          </w:tcPr>
          <w:p w14:paraId="2CF35D64" w14:textId="77777777" w:rsidR="00CB758E" w:rsidRPr="00D87B71" w:rsidRDefault="00CB758E" w:rsidP="00400213">
            <w:r w:rsidRPr="00D87B71">
              <w:t xml:space="preserve">1 x </w:t>
            </w:r>
            <w:r>
              <w:t>115</w:t>
            </w:r>
            <w:r w:rsidRPr="00D87B71">
              <w:t xml:space="preserve"> m</w:t>
            </w:r>
            <w:r>
              <w:t>l</w:t>
            </w:r>
          </w:p>
        </w:tc>
        <w:tc>
          <w:tcPr>
            <w:tcW w:w="1134" w:type="dxa"/>
          </w:tcPr>
          <w:p w14:paraId="0F52A337" w14:textId="77777777" w:rsidR="00CB758E" w:rsidRPr="00D87B71" w:rsidRDefault="00CB758E" w:rsidP="00400213">
            <w:r>
              <w:t>2</w:t>
            </w:r>
            <w:r w:rsidRPr="00D87B71">
              <w:t xml:space="preserve"> x </w:t>
            </w:r>
            <w:r>
              <w:t>115</w:t>
            </w:r>
            <w:r w:rsidRPr="00D87B71">
              <w:t xml:space="preserve"> m</w:t>
            </w:r>
            <w:r>
              <w:t>l</w:t>
            </w:r>
          </w:p>
        </w:tc>
      </w:tr>
      <w:tr w:rsidR="00CB758E" w14:paraId="3B3B5BFD" w14:textId="77777777" w:rsidTr="00CB758E">
        <w:tc>
          <w:tcPr>
            <w:tcW w:w="421" w:type="dxa"/>
          </w:tcPr>
          <w:p w14:paraId="38259ABB" w14:textId="77777777" w:rsidR="00CB758E" w:rsidRDefault="00CB758E" w:rsidP="00400213">
            <w:r>
              <w:t>A</w:t>
            </w:r>
          </w:p>
        </w:tc>
        <w:tc>
          <w:tcPr>
            <w:tcW w:w="5670" w:type="dxa"/>
          </w:tcPr>
          <w:p w14:paraId="15ADDA78" w14:textId="77777777" w:rsidR="00CB758E" w:rsidRDefault="00CB758E" w:rsidP="00400213">
            <w:r>
              <w:t>TMB substrát</w:t>
            </w:r>
            <w:r w:rsidRPr="00D07728">
              <w:t xml:space="preserve"> </w:t>
            </w:r>
            <w:r>
              <w:t>č</w:t>
            </w:r>
            <w:r w:rsidRPr="00D07728">
              <w:t>.</w:t>
            </w:r>
            <w:r>
              <w:t xml:space="preserve"> </w:t>
            </w:r>
            <w:r w:rsidRPr="00D07728">
              <w:t>12</w:t>
            </w:r>
          </w:p>
        </w:tc>
        <w:tc>
          <w:tcPr>
            <w:tcW w:w="1134" w:type="dxa"/>
          </w:tcPr>
          <w:p w14:paraId="49A2DB99" w14:textId="77777777" w:rsidR="00CB758E" w:rsidRPr="00462AAE" w:rsidRDefault="00CB758E" w:rsidP="00400213">
            <w:r w:rsidRPr="00462AAE">
              <w:t>1 x 20 m</w:t>
            </w:r>
            <w:r>
              <w:t>l</w:t>
            </w:r>
          </w:p>
        </w:tc>
        <w:tc>
          <w:tcPr>
            <w:tcW w:w="1134" w:type="dxa"/>
          </w:tcPr>
          <w:p w14:paraId="07CF6AA8" w14:textId="77777777" w:rsidR="00CB758E" w:rsidRPr="00462AAE" w:rsidRDefault="00CB758E" w:rsidP="00400213">
            <w:r w:rsidRPr="00462AAE">
              <w:t xml:space="preserve">1 x </w:t>
            </w:r>
            <w:r w:rsidR="00993EA2">
              <w:t>6</w:t>
            </w:r>
            <w:r w:rsidRPr="00462AAE">
              <w:t>0 m</w:t>
            </w:r>
            <w:r>
              <w:t>l</w:t>
            </w:r>
          </w:p>
        </w:tc>
      </w:tr>
      <w:tr w:rsidR="00CB758E" w14:paraId="07D5B648" w14:textId="77777777" w:rsidTr="00CB758E">
        <w:tc>
          <w:tcPr>
            <w:tcW w:w="421" w:type="dxa"/>
          </w:tcPr>
          <w:p w14:paraId="6F44D226" w14:textId="77777777" w:rsidR="00CB758E" w:rsidRDefault="00CB758E" w:rsidP="00400213">
            <w:r>
              <w:lastRenderedPageBreak/>
              <w:t>B</w:t>
            </w:r>
          </w:p>
        </w:tc>
        <w:tc>
          <w:tcPr>
            <w:tcW w:w="5670" w:type="dxa"/>
          </w:tcPr>
          <w:p w14:paraId="3E3EE275" w14:textId="77777777" w:rsidR="00CB758E" w:rsidRDefault="00CB758E" w:rsidP="00400213">
            <w:r>
              <w:t>Zastavovací roztok č. 3</w:t>
            </w:r>
          </w:p>
        </w:tc>
        <w:tc>
          <w:tcPr>
            <w:tcW w:w="1134" w:type="dxa"/>
          </w:tcPr>
          <w:p w14:paraId="0D8276A7" w14:textId="77777777" w:rsidR="00CB758E" w:rsidRPr="00462AAE" w:rsidRDefault="00CB758E" w:rsidP="00400213">
            <w:r w:rsidRPr="00462AAE">
              <w:t>1 x 20 m</w:t>
            </w:r>
            <w:r>
              <w:t>l</w:t>
            </w:r>
          </w:p>
        </w:tc>
        <w:tc>
          <w:tcPr>
            <w:tcW w:w="1134" w:type="dxa"/>
          </w:tcPr>
          <w:p w14:paraId="610E9778" w14:textId="77777777" w:rsidR="00CB758E" w:rsidRPr="00462AAE" w:rsidRDefault="00CB758E" w:rsidP="00400213">
            <w:r w:rsidRPr="00462AAE">
              <w:t xml:space="preserve">1 x </w:t>
            </w:r>
            <w:r w:rsidR="00993EA2">
              <w:t>6</w:t>
            </w:r>
            <w:r w:rsidRPr="00462AAE">
              <w:t>0 m</w:t>
            </w:r>
            <w:r>
              <w:t>l</w:t>
            </w:r>
          </w:p>
        </w:tc>
      </w:tr>
      <w:tr w:rsidR="00CB758E" w14:paraId="355C3278" w14:textId="77777777" w:rsidTr="00CB758E">
        <w:tc>
          <w:tcPr>
            <w:tcW w:w="421" w:type="dxa"/>
          </w:tcPr>
          <w:p w14:paraId="2CBE99E9" w14:textId="77777777" w:rsidR="00CB758E" w:rsidRDefault="00CB758E" w:rsidP="00400213">
            <w:r>
              <w:t>C</w:t>
            </w:r>
          </w:p>
        </w:tc>
        <w:tc>
          <w:tcPr>
            <w:tcW w:w="5670" w:type="dxa"/>
          </w:tcPr>
          <w:p w14:paraId="27234A80" w14:textId="77777777" w:rsidR="00CB758E" w:rsidRDefault="00993EA2" w:rsidP="00400213">
            <w:r>
              <w:t>K</w:t>
            </w:r>
            <w:r w:rsidR="00CB758E">
              <w:t>oncentrát</w:t>
            </w:r>
            <w:r>
              <w:t xml:space="preserve"> mycího roztoku</w:t>
            </w:r>
            <w:r w:rsidR="00CB758E">
              <w:t xml:space="preserve"> (10 X)</w:t>
            </w:r>
          </w:p>
        </w:tc>
        <w:tc>
          <w:tcPr>
            <w:tcW w:w="1134" w:type="dxa"/>
          </w:tcPr>
          <w:p w14:paraId="0FEDD596" w14:textId="77777777" w:rsidR="00CB758E" w:rsidRPr="00A24FDE" w:rsidRDefault="00CB758E" w:rsidP="00400213">
            <w:r w:rsidRPr="00A24FDE">
              <w:t>1 x 125 m</w:t>
            </w:r>
            <w:r>
              <w:t>l</w:t>
            </w:r>
          </w:p>
        </w:tc>
        <w:tc>
          <w:tcPr>
            <w:tcW w:w="1134" w:type="dxa"/>
          </w:tcPr>
          <w:p w14:paraId="3227A11A" w14:textId="77777777" w:rsidR="00CB758E" w:rsidRPr="00A24FDE" w:rsidRDefault="00CB758E" w:rsidP="00400213">
            <w:r w:rsidRPr="00A24FDE">
              <w:t xml:space="preserve">1 x </w:t>
            </w:r>
            <w:r w:rsidR="00993EA2">
              <w:t>480</w:t>
            </w:r>
            <w:r w:rsidRPr="00A24FDE">
              <w:t xml:space="preserve"> m</w:t>
            </w:r>
            <w:r>
              <w:t>l</w:t>
            </w:r>
          </w:p>
        </w:tc>
      </w:tr>
      <w:tr w:rsidR="00CB758E" w14:paraId="764F23D7" w14:textId="77777777" w:rsidTr="00CB758E">
        <w:tc>
          <w:tcPr>
            <w:tcW w:w="421" w:type="dxa"/>
          </w:tcPr>
          <w:p w14:paraId="2D08FF22" w14:textId="77777777" w:rsidR="00CB758E" w:rsidRDefault="00CB758E" w:rsidP="00400213">
            <w:r>
              <w:t>D</w:t>
            </w:r>
          </w:p>
        </w:tc>
        <w:tc>
          <w:tcPr>
            <w:tcW w:w="5670" w:type="dxa"/>
          </w:tcPr>
          <w:p w14:paraId="4D309783" w14:textId="77777777" w:rsidR="00CB758E" w:rsidRDefault="00CB758E" w:rsidP="00400213">
            <w:r>
              <w:t>Detekční roztok</w:t>
            </w:r>
          </w:p>
        </w:tc>
        <w:tc>
          <w:tcPr>
            <w:tcW w:w="1134" w:type="dxa"/>
          </w:tcPr>
          <w:p w14:paraId="5C316676" w14:textId="77777777" w:rsidR="00CB758E" w:rsidRPr="00CE5377" w:rsidRDefault="00CB758E" w:rsidP="00400213">
            <w:r w:rsidRPr="00CE5377">
              <w:t>1 x 15 m</w:t>
            </w:r>
            <w:r>
              <w:t>l</w:t>
            </w:r>
          </w:p>
        </w:tc>
        <w:tc>
          <w:tcPr>
            <w:tcW w:w="1134" w:type="dxa"/>
          </w:tcPr>
          <w:p w14:paraId="6E34AFF4" w14:textId="77777777" w:rsidR="00CB758E" w:rsidRPr="00CE5377" w:rsidRDefault="00CB758E" w:rsidP="00400213">
            <w:r w:rsidRPr="00CE5377">
              <w:t xml:space="preserve">1 x </w:t>
            </w:r>
            <w:r w:rsidR="00993EA2">
              <w:t>30</w:t>
            </w:r>
            <w:r w:rsidRPr="00CE5377">
              <w:t xml:space="preserve"> m</w:t>
            </w:r>
            <w:r>
              <w:t>l</w:t>
            </w:r>
          </w:p>
        </w:tc>
      </w:tr>
      <w:tr w:rsidR="00CB758E" w14:paraId="26EF3423" w14:textId="77777777" w:rsidTr="00CB758E">
        <w:tc>
          <w:tcPr>
            <w:tcW w:w="6091" w:type="dxa"/>
            <w:gridSpan w:val="2"/>
          </w:tcPr>
          <w:p w14:paraId="551EE737" w14:textId="77777777" w:rsidR="00CB758E" w:rsidRDefault="00CB758E" w:rsidP="00400213">
            <w:r>
              <w:t>Další komponenty: sáček se zipovým uzávěrem</w:t>
            </w:r>
          </w:p>
        </w:tc>
        <w:tc>
          <w:tcPr>
            <w:tcW w:w="1134" w:type="dxa"/>
          </w:tcPr>
          <w:p w14:paraId="1D99096A" w14:textId="77777777" w:rsidR="00CB758E" w:rsidRDefault="00CB758E" w:rsidP="00400213">
            <w:r>
              <w:t>1</w:t>
            </w:r>
          </w:p>
        </w:tc>
        <w:tc>
          <w:tcPr>
            <w:tcW w:w="1134" w:type="dxa"/>
          </w:tcPr>
          <w:p w14:paraId="130AF895" w14:textId="26249748" w:rsidR="00CB758E" w:rsidRDefault="00BF17F4" w:rsidP="00400213">
            <w:r>
              <w:t>-</w:t>
            </w:r>
          </w:p>
        </w:tc>
      </w:tr>
    </w:tbl>
    <w:p w14:paraId="41AFEB8C" w14:textId="7B9D9C0E" w:rsidR="00CB758E" w:rsidRDefault="00CB758E" w:rsidP="00CB758E">
      <w:pPr>
        <w:spacing w:after="0"/>
      </w:pPr>
      <w:r>
        <w:t>Poznámka: Popis symbolů použitých v </w:t>
      </w:r>
      <w:r w:rsidR="00161DDD">
        <w:t>této příbalové informaci</w:t>
      </w:r>
      <w:r>
        <w:t xml:space="preserve"> a popiscích této testovací sady najdete na konci </w:t>
      </w:r>
      <w:r w:rsidR="00161DDD">
        <w:t>příbalové informace</w:t>
      </w:r>
      <w:r>
        <w:t>.</w:t>
      </w:r>
    </w:p>
    <w:p w14:paraId="14EC229E" w14:textId="77777777" w:rsidR="00993EA2" w:rsidRDefault="00993EA2" w:rsidP="00CB758E">
      <w:pPr>
        <w:spacing w:after="0"/>
      </w:pPr>
    </w:p>
    <w:p w14:paraId="41F8C930" w14:textId="77777777" w:rsidR="00993EA2" w:rsidRDefault="00993EA2" w:rsidP="00993EA2">
      <w:pPr>
        <w:spacing w:after="0"/>
        <w:rPr>
          <w:b/>
        </w:rPr>
      </w:pPr>
      <w:r>
        <w:rPr>
          <w:b/>
        </w:rPr>
        <w:t>Uchovávání</w:t>
      </w:r>
    </w:p>
    <w:p w14:paraId="004AFC5A" w14:textId="77777777" w:rsidR="00993EA2" w:rsidRDefault="00993EA2" w:rsidP="00993EA2">
      <w:pPr>
        <w:spacing w:after="0"/>
      </w:pPr>
    </w:p>
    <w:p w14:paraId="57BFA7DD" w14:textId="77777777" w:rsidR="00993EA2" w:rsidRDefault="00993EA2" w:rsidP="00993EA2">
      <w:pPr>
        <w:spacing w:after="0"/>
      </w:pPr>
      <w:r>
        <w:t>Reagencie uchovávejte při teplotě 2–8 °C. Reagencie jsou za předpokladu řádného skladování stabilní do data exspirace.</w:t>
      </w:r>
    </w:p>
    <w:p w14:paraId="6E97B8B4" w14:textId="77777777" w:rsidR="00993EA2" w:rsidRDefault="00993EA2" w:rsidP="00993EA2">
      <w:pPr>
        <w:spacing w:after="0"/>
      </w:pPr>
    </w:p>
    <w:p w14:paraId="4D95BD70" w14:textId="77777777" w:rsidR="00993EA2" w:rsidRDefault="00993EA2" w:rsidP="00993EA2">
      <w:pPr>
        <w:spacing w:after="0"/>
        <w:rPr>
          <w:b/>
        </w:rPr>
      </w:pPr>
      <w:r>
        <w:rPr>
          <w:b/>
        </w:rPr>
        <w:t>Potřebné materiály, které nejsou součástí soupravy</w:t>
      </w:r>
    </w:p>
    <w:p w14:paraId="049148D5" w14:textId="77777777" w:rsidR="00993EA2" w:rsidRDefault="00993EA2" w:rsidP="00993EA2">
      <w:pPr>
        <w:spacing w:after="0"/>
      </w:pPr>
    </w:p>
    <w:p w14:paraId="54A3D05F" w14:textId="77777777" w:rsidR="00993EA2" w:rsidRDefault="00993EA2" w:rsidP="00993EA2">
      <w:pPr>
        <w:pStyle w:val="Odstavecseseznamem"/>
        <w:numPr>
          <w:ilvl w:val="0"/>
          <w:numId w:val="1"/>
        </w:numPr>
        <w:spacing w:after="0"/>
      </w:pPr>
      <w:r>
        <w:t>Přesné pipety nebo multikanálové pipety</w:t>
      </w:r>
    </w:p>
    <w:p w14:paraId="2B7DA0CF" w14:textId="77777777" w:rsidR="00993EA2" w:rsidRDefault="00993EA2" w:rsidP="00993EA2">
      <w:pPr>
        <w:pStyle w:val="Odstavecseseznamem"/>
        <w:numPr>
          <w:ilvl w:val="0"/>
          <w:numId w:val="1"/>
        </w:numPr>
        <w:spacing w:after="0"/>
      </w:pPr>
      <w:r>
        <w:t xml:space="preserve">Jednorázové </w:t>
      </w:r>
      <w:proofErr w:type="spellStart"/>
      <w:r>
        <w:t>pipetovací</w:t>
      </w:r>
      <w:proofErr w:type="spellEnd"/>
      <w:r>
        <w:t xml:space="preserve"> špičky</w:t>
      </w:r>
    </w:p>
    <w:p w14:paraId="0D8EE5F1" w14:textId="77777777" w:rsidR="00993EA2" w:rsidRDefault="00993EA2" w:rsidP="00993EA2">
      <w:pPr>
        <w:pStyle w:val="Odstavecseseznamem"/>
        <w:numPr>
          <w:ilvl w:val="0"/>
          <w:numId w:val="1"/>
        </w:numPr>
        <w:spacing w:after="0"/>
      </w:pPr>
      <w:r>
        <w:t>Odměrný válec pro přípravu promývacího roztoku</w:t>
      </w:r>
    </w:p>
    <w:p w14:paraId="3E17FFA1" w14:textId="77777777" w:rsidR="00993EA2" w:rsidRDefault="00993EA2" w:rsidP="00993EA2">
      <w:pPr>
        <w:pStyle w:val="Odstavecseseznamem"/>
        <w:numPr>
          <w:ilvl w:val="0"/>
          <w:numId w:val="1"/>
        </w:numPr>
        <w:spacing w:after="0"/>
      </w:pPr>
      <w:r>
        <w:t xml:space="preserve">Čtečka </w:t>
      </w:r>
      <w:proofErr w:type="spellStart"/>
      <w:r>
        <w:t>mikrodestiček</w:t>
      </w:r>
      <w:proofErr w:type="spellEnd"/>
      <w:r>
        <w:t xml:space="preserve"> s 96 jamkami (vybavená filtrem s vlnovou délkou 450 </w:t>
      </w:r>
      <w:proofErr w:type="spellStart"/>
      <w:r>
        <w:t>nm</w:t>
      </w:r>
      <w:proofErr w:type="spellEnd"/>
      <w:r>
        <w:t xml:space="preserve"> nebo duálními filtry o vlnové délce 450 a 650 </w:t>
      </w:r>
      <w:proofErr w:type="spellStart"/>
      <w:r>
        <w:t>nm</w:t>
      </w:r>
      <w:proofErr w:type="spellEnd"/>
      <w:r>
        <w:t>)</w:t>
      </w:r>
    </w:p>
    <w:p w14:paraId="39B69C5B" w14:textId="77777777" w:rsidR="00993EA2" w:rsidRDefault="00993EA2" w:rsidP="00993EA2">
      <w:pPr>
        <w:pStyle w:val="Odstavecseseznamem"/>
        <w:numPr>
          <w:ilvl w:val="0"/>
          <w:numId w:val="1"/>
        </w:numPr>
        <w:spacing w:after="0"/>
      </w:pPr>
      <w:r>
        <w:t xml:space="preserve">Mycí zařízení na </w:t>
      </w:r>
      <w:proofErr w:type="spellStart"/>
      <w:r>
        <w:t>mikrodestičky</w:t>
      </w:r>
      <w:proofErr w:type="spellEnd"/>
      <w:r>
        <w:t xml:space="preserve"> (manuální, poloautomatický nebo automatický systém)</w:t>
      </w:r>
    </w:p>
    <w:p w14:paraId="2D9912DF" w14:textId="77777777" w:rsidR="00993EA2" w:rsidRDefault="00993EA2" w:rsidP="00993EA2">
      <w:pPr>
        <w:pStyle w:val="Odstavecseseznamem"/>
        <w:numPr>
          <w:ilvl w:val="0"/>
          <w:numId w:val="1"/>
        </w:numPr>
        <w:spacing w:after="0"/>
      </w:pPr>
      <w:r>
        <w:t xml:space="preserve">Pro přípravu reagencií používaných při testu používejte pouze destilovanou nebo </w:t>
      </w:r>
      <w:proofErr w:type="spellStart"/>
      <w:r>
        <w:t>deionizovanou</w:t>
      </w:r>
      <w:proofErr w:type="spellEnd"/>
      <w:r>
        <w:t xml:space="preserve"> vodu</w:t>
      </w:r>
    </w:p>
    <w:p w14:paraId="6475B73F" w14:textId="77777777" w:rsidR="00993EA2" w:rsidRDefault="00993EA2" w:rsidP="00993EA2">
      <w:pPr>
        <w:pStyle w:val="Odstavecseseznamem"/>
        <w:numPr>
          <w:ilvl w:val="0"/>
          <w:numId w:val="1"/>
        </w:numPr>
        <w:spacing w:after="0"/>
      </w:pPr>
      <w:proofErr w:type="spellStart"/>
      <w:r>
        <w:t>Vortex</w:t>
      </w:r>
      <w:proofErr w:type="spellEnd"/>
      <w:r>
        <w:t xml:space="preserve"> nebo ekvivalentní zařízení</w:t>
      </w:r>
    </w:p>
    <w:p w14:paraId="1303DB9C" w14:textId="77777777" w:rsidR="00993EA2" w:rsidRDefault="00993EA2" w:rsidP="00993EA2">
      <w:pPr>
        <w:pStyle w:val="Odstavecseseznamem"/>
        <w:numPr>
          <w:ilvl w:val="0"/>
          <w:numId w:val="1"/>
        </w:numPr>
        <w:spacing w:after="0"/>
      </w:pPr>
      <w:r>
        <w:t xml:space="preserve">Kryty na </w:t>
      </w:r>
      <w:proofErr w:type="spellStart"/>
      <w:r>
        <w:t>mikrodestičky</w:t>
      </w:r>
      <w:proofErr w:type="spellEnd"/>
      <w:r>
        <w:t xml:space="preserve"> (víčka, hliníková nebo přilnavá fólie) a/nebo vlhká komora</w:t>
      </w:r>
    </w:p>
    <w:p w14:paraId="160C9C7B" w14:textId="77777777" w:rsidR="00993EA2" w:rsidRDefault="00993EA2" w:rsidP="00993EA2">
      <w:pPr>
        <w:pStyle w:val="Odstavecseseznamem"/>
        <w:numPr>
          <w:ilvl w:val="0"/>
          <w:numId w:val="1"/>
        </w:numPr>
        <w:spacing w:after="0"/>
      </w:pPr>
      <w:r>
        <w:t>Centrifuga (přetížení 1500x g)</w:t>
      </w:r>
    </w:p>
    <w:p w14:paraId="7CDBE5FC" w14:textId="77777777" w:rsidR="00993EA2" w:rsidRDefault="00993EA2" w:rsidP="00993EA2">
      <w:pPr>
        <w:pStyle w:val="Odstavecseseznamem"/>
        <w:numPr>
          <w:ilvl w:val="0"/>
          <w:numId w:val="1"/>
        </w:numPr>
        <w:spacing w:after="0"/>
      </w:pPr>
      <w:r>
        <w:t xml:space="preserve">Inkubátor schopný udržet teplotu </w:t>
      </w:r>
      <w:r w:rsidRPr="00993EA2">
        <w:t>+37°C (±3°C)</w:t>
      </w:r>
    </w:p>
    <w:p w14:paraId="1B12E371" w14:textId="77777777" w:rsidR="00993EA2" w:rsidRDefault="00993EA2" w:rsidP="00993EA2">
      <w:pPr>
        <w:spacing w:after="0"/>
      </w:pPr>
    </w:p>
    <w:p w14:paraId="3EAC394C" w14:textId="77777777" w:rsidR="00993EA2" w:rsidRDefault="00993EA2" w:rsidP="00993EA2">
      <w:pPr>
        <w:spacing w:after="0"/>
        <w:rPr>
          <w:b/>
        </w:rPr>
      </w:pPr>
      <w:r>
        <w:rPr>
          <w:b/>
        </w:rPr>
        <w:t>Bezpečnostní opatření a upozornění pro uživatele</w:t>
      </w:r>
    </w:p>
    <w:p w14:paraId="701EEAE1" w14:textId="77777777" w:rsidR="00993EA2" w:rsidRDefault="00993EA2" w:rsidP="00993EA2">
      <w:pPr>
        <w:spacing w:after="0"/>
      </w:pPr>
    </w:p>
    <w:p w14:paraId="6D25A482" w14:textId="77777777" w:rsidR="00993EA2" w:rsidRDefault="00993EA2" w:rsidP="00993EA2">
      <w:pPr>
        <w:pStyle w:val="Odstavecseseznamem"/>
        <w:numPr>
          <w:ilvl w:val="0"/>
          <w:numId w:val="2"/>
        </w:numPr>
        <w:spacing w:after="0"/>
      </w:pPr>
      <w:r>
        <w:t>Se všemi biologickými materiály zacházejte jako s potenciálně infekčními.</w:t>
      </w:r>
    </w:p>
    <w:p w14:paraId="58250949" w14:textId="77777777" w:rsidR="00993EA2" w:rsidRDefault="00993EA2" w:rsidP="00993EA2">
      <w:pPr>
        <w:pStyle w:val="Odstavecseseznamem"/>
        <w:numPr>
          <w:ilvl w:val="0"/>
          <w:numId w:val="2"/>
        </w:numPr>
        <w:spacing w:after="0"/>
      </w:pPr>
      <w:r>
        <w:t>Při manipulaci se vzorky a reagencii používejte ochranné rukavice / ochranný oděv / ochranu očí nebo obličeje.</w:t>
      </w:r>
    </w:p>
    <w:p w14:paraId="1FE20B51" w14:textId="77777777" w:rsidR="00993EA2" w:rsidRDefault="00993EA2" w:rsidP="00993EA2">
      <w:pPr>
        <w:pStyle w:val="Odstavecseseznamem"/>
        <w:numPr>
          <w:ilvl w:val="0"/>
          <w:numId w:val="2"/>
        </w:numPr>
        <w:spacing w:after="0"/>
      </w:pPr>
      <w:r>
        <w:t>Další informace najdete v materiálových bezpečnostních listech.</w:t>
      </w:r>
    </w:p>
    <w:p w14:paraId="3DD8D514" w14:textId="6878D0D3" w:rsidR="00993EA2" w:rsidRDefault="00993EA2" w:rsidP="00993EA2">
      <w:pPr>
        <w:pStyle w:val="Odstavecseseznamem"/>
        <w:numPr>
          <w:ilvl w:val="0"/>
          <w:numId w:val="2"/>
        </w:numPr>
        <w:spacing w:after="0"/>
      </w:pPr>
      <w:r>
        <w:t xml:space="preserve">Upozornění a bezpečnostní opatření pro použití reagencií najdete na konci </w:t>
      </w:r>
      <w:r w:rsidR="00161DDD">
        <w:t>této příbalové informace</w:t>
      </w:r>
      <w:r>
        <w:t>.</w:t>
      </w:r>
    </w:p>
    <w:p w14:paraId="42733203" w14:textId="77777777" w:rsidR="00993EA2" w:rsidRDefault="00993EA2" w:rsidP="00993EA2">
      <w:pPr>
        <w:spacing w:after="0"/>
        <w:rPr>
          <w:b/>
        </w:rPr>
      </w:pPr>
    </w:p>
    <w:p w14:paraId="58527D72" w14:textId="77777777" w:rsidR="00993EA2" w:rsidRPr="00030BEC" w:rsidRDefault="00993EA2" w:rsidP="00993EA2">
      <w:pPr>
        <w:spacing w:after="0"/>
        <w:rPr>
          <w:b/>
        </w:rPr>
      </w:pPr>
      <w:r w:rsidRPr="00030BEC">
        <w:rPr>
          <w:b/>
        </w:rPr>
        <w:t>Laboratorní p</w:t>
      </w:r>
      <w:r w:rsidR="00BB0234">
        <w:rPr>
          <w:b/>
        </w:rPr>
        <w:t>raxe</w:t>
      </w:r>
    </w:p>
    <w:p w14:paraId="6FA36EE1" w14:textId="77777777" w:rsidR="00993EA2" w:rsidRDefault="00993EA2" w:rsidP="00993EA2">
      <w:pPr>
        <w:spacing w:after="0"/>
      </w:pPr>
    </w:p>
    <w:p w14:paraId="6BE1A03A" w14:textId="77777777" w:rsidR="00993EA2" w:rsidRDefault="00993EA2" w:rsidP="00993EA2">
      <w:pPr>
        <w:pStyle w:val="Odstavecseseznamem"/>
        <w:numPr>
          <w:ilvl w:val="0"/>
          <w:numId w:val="3"/>
        </w:numPr>
        <w:spacing w:after="0"/>
      </w:pPr>
      <w:r>
        <w:t xml:space="preserve">Pro dosažení optimálních výsledků přesně dodržujte tento protokol. K zachování přesnosti a správnosti je nezbytné pečlivé pipetování, měření času a promývání během postupu. Pro každý vzorek a kontrolu použijte vždy novou </w:t>
      </w:r>
      <w:proofErr w:type="spellStart"/>
      <w:r>
        <w:t>pipetovací</w:t>
      </w:r>
      <w:proofErr w:type="spellEnd"/>
      <w:r>
        <w:t xml:space="preserve"> špičku.</w:t>
      </w:r>
    </w:p>
    <w:p w14:paraId="49CCBFE4" w14:textId="77777777" w:rsidR="00993EA2" w:rsidRDefault="00993EA2" w:rsidP="00993EA2">
      <w:pPr>
        <w:pStyle w:val="Odstavecseseznamem"/>
        <w:numPr>
          <w:ilvl w:val="0"/>
          <w:numId w:val="3"/>
        </w:numPr>
        <w:spacing w:after="0"/>
      </w:pPr>
      <w:r>
        <w:t xml:space="preserve">Roztok TMB nevystavujte silnému světlu nebo jakýmkoli oxidačním činidlům. Pro manipulaci s roztokem TMB používejte čisté skleněné nebo plastové nádoby. </w:t>
      </w:r>
    </w:p>
    <w:p w14:paraId="4EEA5A2E" w14:textId="77777777" w:rsidR="00993EA2" w:rsidRDefault="00993EA2" w:rsidP="00993EA2">
      <w:pPr>
        <w:pStyle w:val="Odstavecseseznamem"/>
        <w:numPr>
          <w:ilvl w:val="0"/>
          <w:numId w:val="3"/>
        </w:numPr>
        <w:spacing w:after="0"/>
      </w:pPr>
      <w:r>
        <w:lastRenderedPageBreak/>
        <w:t>Všechny odpady je třeba před likvidací řádně dekontaminovat. Obsah likvidujte v souladu s místními, regionálními a státními předpisy.</w:t>
      </w:r>
    </w:p>
    <w:p w14:paraId="0F927413" w14:textId="77777777" w:rsidR="00993EA2" w:rsidRDefault="00993EA2" w:rsidP="00993EA2">
      <w:pPr>
        <w:pStyle w:val="Odstavecseseznamem"/>
        <w:numPr>
          <w:ilvl w:val="0"/>
          <w:numId w:val="3"/>
        </w:numPr>
        <w:spacing w:after="0"/>
      </w:pPr>
      <w:r>
        <w:t>Snažte se zabránit kontaminaci složek soupravy. Nenalévejte nepoužité reagencie zpět do nádob.</w:t>
      </w:r>
    </w:p>
    <w:p w14:paraId="007BBCD2" w14:textId="77777777" w:rsidR="00993EA2" w:rsidRDefault="00993EA2" w:rsidP="00993EA2">
      <w:pPr>
        <w:pStyle w:val="Odstavecseseznamem"/>
        <w:numPr>
          <w:ilvl w:val="0"/>
          <w:numId w:val="3"/>
        </w:numPr>
        <w:spacing w:after="0"/>
      </w:pPr>
      <w:r>
        <w:t>Nepoužívejte soupravu po datu exspirace.</w:t>
      </w:r>
    </w:p>
    <w:p w14:paraId="26077572" w14:textId="77777777" w:rsidR="00993EA2" w:rsidRDefault="00993EA2" w:rsidP="00993EA2">
      <w:pPr>
        <w:spacing w:after="0"/>
      </w:pPr>
    </w:p>
    <w:p w14:paraId="07314FE4" w14:textId="77777777" w:rsidR="00993EA2" w:rsidRDefault="00993EA2" w:rsidP="00993EA2">
      <w:pPr>
        <w:spacing w:after="0"/>
        <w:rPr>
          <w:b/>
        </w:rPr>
      </w:pPr>
      <w:r>
        <w:rPr>
          <w:b/>
        </w:rPr>
        <w:t>Příprava reagencií</w:t>
      </w:r>
    </w:p>
    <w:p w14:paraId="09D282A9" w14:textId="77777777" w:rsidR="00993EA2" w:rsidRDefault="00993EA2" w:rsidP="00993EA2">
      <w:pPr>
        <w:spacing w:after="0"/>
        <w:rPr>
          <w:b/>
        </w:rPr>
      </w:pPr>
      <w:r>
        <w:rPr>
          <w:b/>
        </w:rPr>
        <w:t>Mycí roztok</w:t>
      </w:r>
    </w:p>
    <w:p w14:paraId="6BEB384A" w14:textId="77777777" w:rsidR="00993EA2" w:rsidRDefault="00993EA2" w:rsidP="00993EA2">
      <w:pPr>
        <w:spacing w:after="0"/>
      </w:pPr>
      <w:r>
        <w:t xml:space="preserve">Koncentrát mycího roztoku (10x) je nutno zahřát na teplotu </w:t>
      </w:r>
      <w:r w:rsidRPr="007B6F56">
        <w:t>18–26°C</w:t>
      </w:r>
      <w:r>
        <w:t xml:space="preserve"> a dobře promíchat, aby se rozpustily veškeré sražené soli.  Koncentrát mycího roztoku (10X) musí být před užitím zředěn destilovanou/</w:t>
      </w:r>
      <w:proofErr w:type="spellStart"/>
      <w:r>
        <w:t>deionizovanou</w:t>
      </w:r>
      <w:proofErr w:type="spellEnd"/>
      <w:r>
        <w:t xml:space="preserve"> v poměru 1:10 (např. 30 ml koncentrátu na 270 ml vody pro každou testovanou destičku). </w:t>
      </w:r>
    </w:p>
    <w:p w14:paraId="39DB5B7E" w14:textId="77777777" w:rsidR="00993EA2" w:rsidRDefault="00993EA2" w:rsidP="00993EA2">
      <w:pPr>
        <w:spacing w:after="0"/>
      </w:pPr>
      <w:r>
        <w:t xml:space="preserve">Mycí roztok připravený za sterilních podmínek lze při teplotě </w:t>
      </w:r>
      <w:r w:rsidRPr="007B6F56">
        <w:t>2–8°C</w:t>
      </w:r>
      <w:r w:rsidR="00501069">
        <w:t xml:space="preserve"> uchovávat</w:t>
      </w:r>
      <w:r>
        <w:t xml:space="preserve"> po dobu jednoho týdne.</w:t>
      </w:r>
    </w:p>
    <w:p w14:paraId="2F51C286" w14:textId="77777777" w:rsidR="00993EA2" w:rsidRDefault="00993EA2" w:rsidP="00993EA2">
      <w:pPr>
        <w:spacing w:after="0"/>
      </w:pPr>
    </w:p>
    <w:p w14:paraId="6EA048AC" w14:textId="77777777" w:rsidR="00993EA2" w:rsidRDefault="00993EA2" w:rsidP="00993EA2">
      <w:pPr>
        <w:spacing w:after="0"/>
        <w:rPr>
          <w:b/>
        </w:rPr>
      </w:pPr>
      <w:proofErr w:type="spellStart"/>
      <w:r w:rsidRPr="00993EA2">
        <w:rPr>
          <w:b/>
        </w:rPr>
        <w:t>Pufrační</w:t>
      </w:r>
      <w:proofErr w:type="spellEnd"/>
      <w:r w:rsidRPr="00993EA2">
        <w:rPr>
          <w:b/>
        </w:rPr>
        <w:t xml:space="preserve"> roztok pro namáčení vzorků tkáně</w:t>
      </w:r>
    </w:p>
    <w:p w14:paraId="1610DEF4" w14:textId="77777777" w:rsidR="00993EA2" w:rsidRPr="00993EA2" w:rsidRDefault="00993EA2" w:rsidP="00993EA2">
      <w:pPr>
        <w:spacing w:after="0"/>
      </w:pPr>
      <w:r>
        <w:t xml:space="preserve">Koncentrát </w:t>
      </w:r>
      <w:proofErr w:type="spellStart"/>
      <w:r>
        <w:t>pufračního</w:t>
      </w:r>
      <w:proofErr w:type="spellEnd"/>
      <w:r>
        <w:t xml:space="preserve"> roztoku (2X) je nutno zahřát na teplotu </w:t>
      </w:r>
      <w:r w:rsidRPr="007B6F56">
        <w:t>18–26°C</w:t>
      </w:r>
      <w:r>
        <w:t xml:space="preserve"> a dobře promíchat, aby se rozpustily veškeré sražené soli.  </w:t>
      </w:r>
      <w:r w:rsidR="00501069">
        <w:t xml:space="preserve">Koncentrát </w:t>
      </w:r>
      <w:proofErr w:type="spellStart"/>
      <w:r w:rsidR="00501069">
        <w:t>pufračního</w:t>
      </w:r>
      <w:proofErr w:type="spellEnd"/>
      <w:r w:rsidR="00501069">
        <w:t xml:space="preserve"> roztoku pro namáčení vzorků tkáně před použitím zřeďte destilovanou/</w:t>
      </w:r>
      <w:proofErr w:type="spellStart"/>
      <w:r w:rsidR="00501069">
        <w:t>deionizovanou</w:t>
      </w:r>
      <w:proofErr w:type="spellEnd"/>
      <w:r w:rsidR="00501069">
        <w:t xml:space="preserve"> vodou v poměru 1:2. Objem zředěného </w:t>
      </w:r>
      <w:proofErr w:type="spellStart"/>
      <w:r w:rsidR="00501069">
        <w:t>pufračního</w:t>
      </w:r>
      <w:proofErr w:type="spellEnd"/>
      <w:r w:rsidR="00501069">
        <w:t xml:space="preserve"> roztoku je nutno vypočítat dle potřeby. </w:t>
      </w:r>
    </w:p>
    <w:p w14:paraId="204602D8" w14:textId="77777777" w:rsidR="00501069" w:rsidRDefault="00501069" w:rsidP="00501069">
      <w:pPr>
        <w:spacing w:after="0"/>
      </w:pPr>
      <w:proofErr w:type="spellStart"/>
      <w:r>
        <w:t>Pufrační</w:t>
      </w:r>
      <w:proofErr w:type="spellEnd"/>
      <w:r>
        <w:t xml:space="preserve"> roztok pro namáčení vzorků tkáně připravený za sterilních podmínek lze při teplotě </w:t>
      </w:r>
      <w:r w:rsidRPr="007B6F56">
        <w:t>2–8°C</w:t>
      </w:r>
      <w:r>
        <w:t xml:space="preserve"> uchovávat až po dobu dvou týdnů.</w:t>
      </w:r>
    </w:p>
    <w:p w14:paraId="38E7E7E5" w14:textId="77777777" w:rsidR="00501069" w:rsidRDefault="00501069" w:rsidP="00501069">
      <w:pPr>
        <w:spacing w:after="0"/>
      </w:pPr>
    </w:p>
    <w:p w14:paraId="33B80459" w14:textId="77777777" w:rsidR="00501069" w:rsidRDefault="00501069" w:rsidP="00501069">
      <w:pPr>
        <w:spacing w:after="0"/>
        <w:rPr>
          <w:b/>
        </w:rPr>
      </w:pPr>
      <w:r>
        <w:rPr>
          <w:b/>
        </w:rPr>
        <w:t>Příprava vzorků</w:t>
      </w:r>
    </w:p>
    <w:p w14:paraId="358BA11A" w14:textId="77777777" w:rsidR="00501069" w:rsidRDefault="00501069" w:rsidP="00501069">
      <w:pPr>
        <w:spacing w:after="0"/>
        <w:rPr>
          <w:b/>
        </w:rPr>
      </w:pPr>
      <w:r>
        <w:rPr>
          <w:b/>
        </w:rPr>
        <w:t>Vzorky plazmy a séra</w:t>
      </w:r>
    </w:p>
    <w:p w14:paraId="48B022F5" w14:textId="77777777" w:rsidR="00501069" w:rsidRDefault="00501069" w:rsidP="00501069">
      <w:pPr>
        <w:spacing w:after="0"/>
      </w:pPr>
      <w:r>
        <w:t>Testovat lze čerstvé nebo zmražené vzorky séra a plazmy.</w:t>
      </w:r>
    </w:p>
    <w:p w14:paraId="2839F9E8" w14:textId="77777777" w:rsidR="00501069" w:rsidRDefault="00501069" w:rsidP="00501069">
      <w:pPr>
        <w:spacing w:after="0"/>
      </w:pPr>
    </w:p>
    <w:p w14:paraId="5334F825" w14:textId="77777777" w:rsidR="00501069" w:rsidRDefault="00501069" w:rsidP="00501069">
      <w:pPr>
        <w:spacing w:after="0"/>
        <w:rPr>
          <w:b/>
        </w:rPr>
      </w:pPr>
      <w:r>
        <w:rPr>
          <w:b/>
        </w:rPr>
        <w:t>Tkáně</w:t>
      </w:r>
    </w:p>
    <w:p w14:paraId="32208C7E" w14:textId="77777777" w:rsidR="00501069" w:rsidRPr="00501069" w:rsidRDefault="00501069" w:rsidP="00501069">
      <w:pPr>
        <w:spacing w:after="0"/>
      </w:pPr>
      <w:r>
        <w:t xml:space="preserve">Pokud možno, používejte čerstvé vzorky tkání. V případě potřeby však lze vzorky tkání uchovávat zmražené. Z každého testovaného zvířete zpracujte jeden až dva vzorky tkání, nejlépe mandlí, sleziny, </w:t>
      </w:r>
      <w:proofErr w:type="spellStart"/>
      <w:r>
        <w:t>mezenterických</w:t>
      </w:r>
      <w:proofErr w:type="spellEnd"/>
      <w:r>
        <w:t xml:space="preserve"> lymfatických uzlin nebo ledvin. </w:t>
      </w:r>
      <w:r>
        <w:br/>
        <w:t>a. Tkáň nastřihejte nůžkami na malé kousky (250 mg).</w:t>
      </w:r>
      <w:r>
        <w:br/>
        <w:t xml:space="preserve">b. Vložte vzorky tkáně do vhodné </w:t>
      </w:r>
      <w:proofErr w:type="spellStart"/>
      <w:r>
        <w:t>centrifugační</w:t>
      </w:r>
      <w:proofErr w:type="spellEnd"/>
      <w:r>
        <w:t xml:space="preserve"> zkumavky nebo </w:t>
      </w:r>
      <w:proofErr w:type="spellStart"/>
      <w:r>
        <w:t>Eppendorfovy</w:t>
      </w:r>
      <w:proofErr w:type="spellEnd"/>
      <w:r>
        <w:t xml:space="preserve"> zkumavky a přidejte 1 ml </w:t>
      </w:r>
      <w:proofErr w:type="spellStart"/>
      <w:r>
        <w:t>pufračního</w:t>
      </w:r>
      <w:proofErr w:type="spellEnd"/>
      <w:r>
        <w:t xml:space="preserve"> roztoku pro namáčení tkání. Protřepejte na </w:t>
      </w:r>
      <w:proofErr w:type="spellStart"/>
      <w:r>
        <w:t>vortexu</w:t>
      </w:r>
      <w:proofErr w:type="spellEnd"/>
      <w:r>
        <w:t xml:space="preserve">. Ponechte namáčet po dobu 1-2 hodin při teplotě </w:t>
      </w:r>
      <w:r w:rsidRPr="00501069">
        <w:t>18–26°C</w:t>
      </w:r>
      <w:r>
        <w:t>.</w:t>
      </w:r>
      <w:r>
        <w:br/>
        <w:t xml:space="preserve">c. Centrifugujte při přetížení 1500x g po dobu 10 minut. </w:t>
      </w:r>
      <w:r w:rsidR="00F65A41">
        <w:t xml:space="preserve">Jako testovací vzorek </w:t>
      </w:r>
      <w:r>
        <w:t>(popsáno níže</w:t>
      </w:r>
      <w:r w:rsidR="00F65A41">
        <w:t xml:space="preserve"> v postupu testu</w:t>
      </w:r>
      <w:r>
        <w:t xml:space="preserve">) použijte </w:t>
      </w:r>
      <w:r w:rsidRPr="00501069">
        <w:t xml:space="preserve">50 </w:t>
      </w:r>
      <w:proofErr w:type="spellStart"/>
      <w:r w:rsidRPr="00501069">
        <w:t>μL</w:t>
      </w:r>
      <w:proofErr w:type="spellEnd"/>
      <w:r>
        <w:t xml:space="preserve"> takto získaného čistého </w:t>
      </w:r>
      <w:proofErr w:type="spellStart"/>
      <w:r>
        <w:t>supernatantu</w:t>
      </w:r>
      <w:proofErr w:type="spellEnd"/>
      <w:r>
        <w:t xml:space="preserve">. </w:t>
      </w:r>
    </w:p>
    <w:p w14:paraId="25BA8A94" w14:textId="77777777" w:rsidR="00993EA2" w:rsidRPr="00F65A41" w:rsidRDefault="00993EA2" w:rsidP="00993EA2">
      <w:pPr>
        <w:spacing w:after="0"/>
        <w:rPr>
          <w:b/>
        </w:rPr>
      </w:pPr>
    </w:p>
    <w:p w14:paraId="00630A37" w14:textId="77777777" w:rsidR="00F65A41" w:rsidRDefault="00F65A41" w:rsidP="00993EA2">
      <w:pPr>
        <w:spacing w:after="0"/>
        <w:rPr>
          <w:b/>
        </w:rPr>
      </w:pPr>
      <w:r w:rsidRPr="00F65A41">
        <w:rPr>
          <w:b/>
        </w:rPr>
        <w:t>Pro vzorky tkáně se doporučuje použít protokol s inkubací vzorků přes noc (12–18 hodin při teplotě 2–8°C).</w:t>
      </w:r>
    </w:p>
    <w:p w14:paraId="728B872A" w14:textId="77777777" w:rsidR="00F65A41" w:rsidRDefault="00F65A41" w:rsidP="00993EA2">
      <w:pPr>
        <w:spacing w:after="0"/>
        <w:rPr>
          <w:b/>
        </w:rPr>
      </w:pPr>
    </w:p>
    <w:p w14:paraId="6DCD5662" w14:textId="77777777" w:rsidR="00F65A41" w:rsidRDefault="00F65A41" w:rsidP="00993EA2">
      <w:pPr>
        <w:spacing w:after="0"/>
        <w:rPr>
          <w:b/>
        </w:rPr>
      </w:pPr>
      <w:r>
        <w:rPr>
          <w:b/>
        </w:rPr>
        <w:t>Postup testu</w:t>
      </w:r>
    </w:p>
    <w:p w14:paraId="7977ED0D" w14:textId="77777777" w:rsidR="00F65A41" w:rsidRPr="005A1625" w:rsidRDefault="00F65A41" w:rsidP="00F65A41">
      <w:r>
        <w:rPr>
          <w:b/>
        </w:rPr>
        <w:lastRenderedPageBreak/>
        <w:br/>
      </w:r>
      <w:r w:rsidRPr="005A1625">
        <w:t>Všechny reagenční roztoky použité v tomto testu musí mít teplotu 18–26°C. Reagencie se míchají je</w:t>
      </w:r>
      <w:r>
        <w:t xml:space="preserve">mným obracením nebo kroužením. </w:t>
      </w:r>
    </w:p>
    <w:p w14:paraId="08CE0AE1" w14:textId="77777777" w:rsidR="00F65A41" w:rsidRPr="005A1625" w:rsidRDefault="00F65A41" w:rsidP="00F65A41">
      <w:r w:rsidRPr="005A1625">
        <w:t xml:space="preserve">1. Připravte si potažené destičky a zaznamenejte umístění vzorku. Používáte-li pouze část destičky, oddělte </w:t>
      </w:r>
      <w:r>
        <w:t>počet</w:t>
      </w:r>
      <w:r w:rsidRPr="005A1625">
        <w:t xml:space="preserve"> jamek odpovídající počtu testovaných vzorků. Zbylé jamky uložte spolu s desikantem do přiloženého sáčku se zipovým uzávěrem a vraťte do chladna (2–8°C).</w:t>
      </w:r>
    </w:p>
    <w:p w14:paraId="638416A7" w14:textId="77777777" w:rsidR="00F65A41" w:rsidRPr="005A1625" w:rsidRDefault="00F65A41" w:rsidP="00F65A41">
      <w:r w:rsidRPr="005A1625">
        <w:t xml:space="preserve">2. </w:t>
      </w:r>
      <w:r>
        <w:t>Do každé jamky dejte</w:t>
      </w:r>
      <w:r w:rsidRPr="005A1625">
        <w:t xml:space="preserve"> 50 </w:t>
      </w:r>
      <w:proofErr w:type="spellStart"/>
      <w:r w:rsidRPr="005A1625">
        <w:t>μl</w:t>
      </w:r>
      <w:proofErr w:type="spellEnd"/>
      <w:r w:rsidRPr="005A1625">
        <w:t xml:space="preserve"> </w:t>
      </w:r>
      <w:r>
        <w:t>detekčního roztoku.</w:t>
      </w:r>
    </w:p>
    <w:p w14:paraId="5D65F85B" w14:textId="77777777" w:rsidR="00F65A41" w:rsidRPr="005A1625" w:rsidRDefault="00F65A41" w:rsidP="00F65A41">
      <w:r w:rsidRPr="005A1625">
        <w:t>3. D</w:t>
      </w:r>
      <w:r>
        <w:t>o duplicitních jamek d</w:t>
      </w:r>
      <w:r w:rsidRPr="005A1625">
        <w:t xml:space="preserve">ejte 50 </w:t>
      </w:r>
      <w:proofErr w:type="spellStart"/>
      <w:r w:rsidRPr="005A1625">
        <w:t>μl</w:t>
      </w:r>
      <w:proofErr w:type="spellEnd"/>
      <w:r w:rsidRPr="005A1625">
        <w:t xml:space="preserve"> negativního kontrolního vzorku (N</w:t>
      </w:r>
      <w:r>
        <w:t>K).</w:t>
      </w:r>
    </w:p>
    <w:p w14:paraId="2BF5A648" w14:textId="77777777" w:rsidR="00F65A41" w:rsidRPr="005A1625" w:rsidRDefault="00F65A41" w:rsidP="00F65A41">
      <w:r w:rsidRPr="005A1625">
        <w:t>4. D</w:t>
      </w:r>
      <w:r>
        <w:t>o duplicitních jamek d</w:t>
      </w:r>
      <w:r w:rsidRPr="005A1625">
        <w:t xml:space="preserve">ejte 50 </w:t>
      </w:r>
      <w:proofErr w:type="spellStart"/>
      <w:r w:rsidRPr="005A1625">
        <w:t>μl</w:t>
      </w:r>
      <w:proofErr w:type="spellEnd"/>
      <w:r w:rsidRPr="005A1625">
        <w:t xml:space="preserve"> pozitivního kontrolního vzorku (PK</w:t>
      </w:r>
      <w:r>
        <w:t>).</w:t>
      </w:r>
    </w:p>
    <w:p w14:paraId="09F8EF3A" w14:textId="77777777" w:rsidR="00F65A41" w:rsidRDefault="00F65A41" w:rsidP="00F65A41">
      <w:r w:rsidRPr="003B4DF7">
        <w:t>5. D</w:t>
      </w:r>
      <w:r>
        <w:t>o zbývajících jamek d</w:t>
      </w:r>
      <w:r w:rsidRPr="003B4DF7">
        <w:t xml:space="preserve">ejte 50 </w:t>
      </w:r>
      <w:proofErr w:type="spellStart"/>
      <w:r w:rsidRPr="003B4DF7">
        <w:t>μl</w:t>
      </w:r>
      <w:proofErr w:type="spellEnd"/>
      <w:r w:rsidRPr="003B4DF7">
        <w:t xml:space="preserve"> testovaného vzorku</w:t>
      </w:r>
      <w:r>
        <w:t>.</w:t>
      </w:r>
    </w:p>
    <w:p w14:paraId="2DFE3A18" w14:textId="77777777" w:rsidR="00F65A41" w:rsidRDefault="00F65A41" w:rsidP="00F65A41">
      <w:r>
        <w:t xml:space="preserve">6. Promíchejte obsah </w:t>
      </w:r>
      <w:proofErr w:type="spellStart"/>
      <w:r>
        <w:t>mikrojamek</w:t>
      </w:r>
      <w:proofErr w:type="spellEnd"/>
      <w:r>
        <w:t xml:space="preserve"> jemným poklepáním na destičku, nebo použijte třepačku. </w:t>
      </w:r>
    </w:p>
    <w:p w14:paraId="0D078323" w14:textId="77777777" w:rsidR="00F65A41" w:rsidRDefault="00F65A41" w:rsidP="00F65A41">
      <w:r>
        <w:t>7. Inkubujte vzorky:</w:t>
      </w:r>
      <w:r>
        <w:br/>
        <w:t>a. Vzorky séra a plazmy: inkubujte po 2 hodiny (±5 min.) při</w:t>
      </w:r>
      <w:r w:rsidRPr="003B4DF7">
        <w:t xml:space="preserve"> 37°C (±3°C)</w:t>
      </w:r>
      <w:r>
        <w:t xml:space="preserve">, nebo přes noc (12 - 18 hodin) při </w:t>
      </w:r>
      <w:r w:rsidRPr="003B4DF7">
        <w:t>2–8°C</w:t>
      </w:r>
      <w:r>
        <w:t xml:space="preserve">. Při použití kteréhokoli postupu by měly být destičky těsně uzavřeny nebo inkubovány ve vlhké komoře, aby se zabránilo vypařování. </w:t>
      </w:r>
    </w:p>
    <w:p w14:paraId="743E9613" w14:textId="77777777" w:rsidR="00F65A41" w:rsidRDefault="00F65A41" w:rsidP="00F65A41">
      <w:r>
        <w:t xml:space="preserve">b. Vzorky tkání: inkubujte přes noc (12 - 18 hodin) při </w:t>
      </w:r>
      <w:r w:rsidRPr="003B4DF7">
        <w:t>2–8°C</w:t>
      </w:r>
      <w:r>
        <w:t xml:space="preserve">. Destičky by měly být těsně uzavřeny nebo inkubovány ve vlhké komoře, aby se zabránilo vypařování. </w:t>
      </w:r>
    </w:p>
    <w:p w14:paraId="2010583B" w14:textId="77777777" w:rsidR="00F65A41" w:rsidRDefault="00F65A41" w:rsidP="00F65A41">
      <w:r>
        <w:t xml:space="preserve">8. Odstraňte roztok a každou jamku 5x vymyjte asi 300 </w:t>
      </w:r>
      <w:proofErr w:type="spellStart"/>
      <w:r w:rsidRPr="003B4DF7">
        <w:t>μ</w:t>
      </w:r>
      <w:r>
        <w:t>l</w:t>
      </w:r>
      <w:proofErr w:type="spellEnd"/>
      <w:r>
        <w:t xml:space="preserve"> mycího roztoku. Mezi vymýváním a před přidáním další reagencie nenechte destičku vyschnout. Pro odstranění zbylého mycího roztoku po posledním vymytí destičkou poklepejte na savý materiál. </w:t>
      </w:r>
    </w:p>
    <w:p w14:paraId="2E1596B1" w14:textId="77777777" w:rsidR="00F65A41" w:rsidRDefault="00F65A41" w:rsidP="00F65A41">
      <w:r>
        <w:t xml:space="preserve">9. Do každé jamky dejte 100 </w:t>
      </w:r>
      <w:proofErr w:type="spellStart"/>
      <w:r w:rsidRPr="003B4DF7">
        <w:t>μl</w:t>
      </w:r>
      <w:proofErr w:type="spellEnd"/>
      <w:r>
        <w:t xml:space="preserve"> konjugátu.</w:t>
      </w:r>
    </w:p>
    <w:p w14:paraId="0D42D42E" w14:textId="77777777" w:rsidR="00F65A41" w:rsidRDefault="00F65A41" w:rsidP="00F65A41">
      <w:r>
        <w:t xml:space="preserve">10. Inkubujte po dobu 30 minut </w:t>
      </w:r>
      <w:r w:rsidRPr="00B76070">
        <w:t>(±</w:t>
      </w:r>
      <w:r>
        <w:t>3</w:t>
      </w:r>
      <w:r w:rsidRPr="00B76070">
        <w:t xml:space="preserve"> min.) </w:t>
      </w:r>
      <w:r>
        <w:t>při teplotě</w:t>
      </w:r>
      <w:r w:rsidRPr="00B76070">
        <w:t xml:space="preserve"> 18–26°C.</w:t>
      </w:r>
    </w:p>
    <w:p w14:paraId="57D28DF3" w14:textId="77777777" w:rsidR="00F65A41" w:rsidRDefault="00F65A41" w:rsidP="00F65A41">
      <w:r>
        <w:t>11. Opakujte krok č. 8.</w:t>
      </w:r>
    </w:p>
    <w:p w14:paraId="439C87AE" w14:textId="77777777" w:rsidR="00F65A41" w:rsidRDefault="00F65A41" w:rsidP="00F65A41">
      <w:r>
        <w:t xml:space="preserve">12. Do každé jamky přidejte 100 </w:t>
      </w:r>
      <w:proofErr w:type="spellStart"/>
      <w:r w:rsidRPr="003B4DF7">
        <w:t>μ</w:t>
      </w:r>
      <w:proofErr w:type="gramStart"/>
      <w:r w:rsidRPr="003B4DF7">
        <w:t>l</w:t>
      </w:r>
      <w:proofErr w:type="spellEnd"/>
      <w:r>
        <w:t xml:space="preserve"> </w:t>
      </w:r>
      <w:r w:rsidR="00EF4820">
        <w:t xml:space="preserve"> roztoku</w:t>
      </w:r>
      <w:proofErr w:type="gramEnd"/>
      <w:r w:rsidR="00EF4820">
        <w:t xml:space="preserve"> </w:t>
      </w:r>
      <w:r>
        <w:t>TMB substrátu č. 12.</w:t>
      </w:r>
    </w:p>
    <w:p w14:paraId="670E0755" w14:textId="77777777" w:rsidR="00F65A41" w:rsidRDefault="00F65A41" w:rsidP="00F65A41">
      <w:r>
        <w:t xml:space="preserve">13. Inkubujte po dobu 10 minut </w:t>
      </w:r>
      <w:r w:rsidRPr="00B76070">
        <w:t xml:space="preserve">(±1 min.) </w:t>
      </w:r>
      <w:r>
        <w:t>při</w:t>
      </w:r>
      <w:r w:rsidRPr="00B76070">
        <w:t xml:space="preserve"> </w:t>
      </w:r>
      <w:r w:rsidR="00EF4820">
        <w:t>teplotě 18–26°C mimo dosah přímého světla.</w:t>
      </w:r>
    </w:p>
    <w:p w14:paraId="203C4204" w14:textId="77777777" w:rsidR="00F65A41" w:rsidRDefault="00F65A41" w:rsidP="00F65A41">
      <w:r>
        <w:t xml:space="preserve">14. Do každé jamky přidejte 100 </w:t>
      </w:r>
      <w:proofErr w:type="spellStart"/>
      <w:r w:rsidRPr="003B4DF7">
        <w:t>μl</w:t>
      </w:r>
      <w:proofErr w:type="spellEnd"/>
      <w:r>
        <w:t xml:space="preserve"> zastavovacího roztoku č. 3. </w:t>
      </w:r>
    </w:p>
    <w:p w14:paraId="42BD49C7" w14:textId="77777777" w:rsidR="00F65A41" w:rsidRDefault="00F65A41" w:rsidP="00F65A41">
      <w:r>
        <w:t xml:space="preserve">15. Změřte a zaznamenejte absorbanci vzorků a kontrolních vzorků při 450 </w:t>
      </w:r>
      <w:proofErr w:type="spellStart"/>
      <w:r>
        <w:t>nm</w:t>
      </w:r>
      <w:proofErr w:type="spellEnd"/>
      <w:r>
        <w:t xml:space="preserve"> nebo použijte duální vlnovou délku 450 </w:t>
      </w:r>
      <w:proofErr w:type="spellStart"/>
      <w:r>
        <w:t>nm</w:t>
      </w:r>
      <w:proofErr w:type="spellEnd"/>
      <w:r>
        <w:t xml:space="preserve"> a 650 </w:t>
      </w:r>
      <w:proofErr w:type="spellStart"/>
      <w:r>
        <w:t>nm</w:t>
      </w:r>
      <w:proofErr w:type="spellEnd"/>
      <w:r>
        <w:t xml:space="preserve">.  </w:t>
      </w:r>
    </w:p>
    <w:p w14:paraId="72C42537" w14:textId="77777777" w:rsidR="00EF4820" w:rsidRDefault="00EF4820" w:rsidP="00F65A41">
      <w:r>
        <w:t>16. Výpočty:</w:t>
      </w:r>
    </w:p>
    <w:p w14:paraId="69D4AB96" w14:textId="77777777" w:rsidR="00EF4820" w:rsidRPr="00EF4820" w:rsidRDefault="00EF4820" w:rsidP="00F65A41">
      <w:pPr>
        <w:rPr>
          <w:b/>
        </w:rPr>
      </w:pPr>
      <w:r w:rsidRPr="00EF4820">
        <w:rPr>
          <w:b/>
        </w:rPr>
        <w:t>Kontroly</w:t>
      </w:r>
    </w:p>
    <w:p w14:paraId="1EC77608" w14:textId="77777777" w:rsidR="00EF4820" w:rsidRDefault="00EF4820" w:rsidP="00EF4820">
      <w:pPr>
        <w:tabs>
          <w:tab w:val="left" w:pos="5520"/>
        </w:tabs>
      </w:pPr>
      <w:proofErr w:type="spellStart"/>
      <w:r>
        <w:t>NKx</w:t>
      </w:r>
      <w:proofErr w:type="spellEnd"/>
      <w:r>
        <w:t xml:space="preserve"> = </w:t>
      </w:r>
      <w:r w:rsidRPr="00EF4820">
        <w:rPr>
          <w:u w:val="single"/>
        </w:rPr>
        <w:t>N</w:t>
      </w:r>
      <w:r>
        <w:rPr>
          <w:u w:val="single"/>
        </w:rPr>
        <w:t>K</w:t>
      </w:r>
      <w:r w:rsidRPr="00EF4820">
        <w:rPr>
          <w:u w:val="single"/>
        </w:rPr>
        <w:t xml:space="preserve">1 </w:t>
      </w:r>
      <w:proofErr w:type="gramStart"/>
      <w:r w:rsidRPr="00EF4820">
        <w:rPr>
          <w:u w:val="single"/>
        </w:rPr>
        <w:t>A(</w:t>
      </w:r>
      <w:proofErr w:type="gramEnd"/>
      <w:r w:rsidRPr="00EF4820">
        <w:rPr>
          <w:u w:val="single"/>
        </w:rPr>
        <w:t>450) + N</w:t>
      </w:r>
      <w:r>
        <w:rPr>
          <w:u w:val="single"/>
        </w:rPr>
        <w:t>K</w:t>
      </w:r>
      <w:r w:rsidRPr="00EF4820">
        <w:rPr>
          <w:u w:val="single"/>
        </w:rPr>
        <w:t>2 A(450</w:t>
      </w:r>
      <w:r>
        <w:t>)</w:t>
      </w:r>
      <w:r>
        <w:tab/>
      </w:r>
      <w:proofErr w:type="spellStart"/>
      <w:r>
        <w:t>PKx</w:t>
      </w:r>
      <w:proofErr w:type="spellEnd"/>
      <w:r>
        <w:t xml:space="preserve"> = </w:t>
      </w:r>
      <w:r w:rsidRPr="00EF4820">
        <w:rPr>
          <w:u w:val="single"/>
        </w:rPr>
        <w:t>P</w:t>
      </w:r>
      <w:r>
        <w:rPr>
          <w:u w:val="single"/>
        </w:rPr>
        <w:t>K</w:t>
      </w:r>
      <w:r w:rsidRPr="00EF4820">
        <w:rPr>
          <w:u w:val="single"/>
        </w:rPr>
        <w:t>1 A(450) + P</w:t>
      </w:r>
      <w:r>
        <w:rPr>
          <w:u w:val="single"/>
        </w:rPr>
        <w:t>K</w:t>
      </w:r>
      <w:r w:rsidRPr="00EF4820">
        <w:rPr>
          <w:u w:val="single"/>
        </w:rPr>
        <w:t>2 A(450)</w:t>
      </w:r>
      <w:r>
        <w:br/>
        <w:t xml:space="preserve">                               2                                                                                                             2</w:t>
      </w:r>
    </w:p>
    <w:p w14:paraId="6507D0E5" w14:textId="77777777" w:rsidR="00EF4820" w:rsidRPr="00EF4820" w:rsidRDefault="00EF4820" w:rsidP="00EF4820">
      <w:pPr>
        <w:rPr>
          <w:b/>
        </w:rPr>
      </w:pPr>
      <w:r w:rsidRPr="00EF4820">
        <w:rPr>
          <w:b/>
        </w:rPr>
        <w:t>Kritéria validity:</w:t>
      </w:r>
    </w:p>
    <w:p w14:paraId="77E5BFAC" w14:textId="77777777" w:rsidR="00F65A41" w:rsidRDefault="00EF4820" w:rsidP="00993EA2">
      <w:pPr>
        <w:spacing w:after="0"/>
      </w:pPr>
      <w:proofErr w:type="spellStart"/>
      <w:r w:rsidRPr="00EF4820">
        <w:lastRenderedPageBreak/>
        <w:t>P</w:t>
      </w:r>
      <w:r>
        <w:t>K</w:t>
      </w:r>
      <w:r w:rsidRPr="00EF4820">
        <w:t>x</w:t>
      </w:r>
      <w:proofErr w:type="spellEnd"/>
      <w:r w:rsidRPr="00EF4820">
        <w:t xml:space="preserve"> – </w:t>
      </w:r>
      <w:proofErr w:type="spellStart"/>
      <w:r w:rsidRPr="00EF4820">
        <w:t>N</w:t>
      </w:r>
      <w:r>
        <w:t>K</w:t>
      </w:r>
      <w:r w:rsidRPr="00EF4820">
        <w:t>x</w:t>
      </w:r>
      <w:proofErr w:type="spellEnd"/>
      <w:r w:rsidRPr="00EF4820">
        <w:t xml:space="preserve"> ≥ 0</w:t>
      </w:r>
      <w:r>
        <w:t>,</w:t>
      </w:r>
      <w:r w:rsidRPr="00EF4820">
        <w:t xml:space="preserve">150 </w:t>
      </w:r>
      <w:r>
        <w:t xml:space="preserve">                                             </w:t>
      </w:r>
      <w:proofErr w:type="spellStart"/>
      <w:r w:rsidRPr="00EF4820">
        <w:t>N</w:t>
      </w:r>
      <w:r>
        <w:t>K</w:t>
      </w:r>
      <w:r w:rsidRPr="00EF4820">
        <w:t>x</w:t>
      </w:r>
      <w:proofErr w:type="spellEnd"/>
      <w:r w:rsidRPr="00EF4820">
        <w:t xml:space="preserve"> ≤ 0</w:t>
      </w:r>
      <w:r>
        <w:t>,</w:t>
      </w:r>
      <w:r w:rsidRPr="00EF4820">
        <w:t>250</w:t>
      </w:r>
      <w:r>
        <w:br/>
      </w:r>
    </w:p>
    <w:p w14:paraId="43F72B8F" w14:textId="00E3A903" w:rsidR="00EF4820" w:rsidRDefault="00EF4820" w:rsidP="00993EA2">
      <w:pPr>
        <w:spacing w:after="0"/>
      </w:pPr>
      <w:r>
        <w:t>Při neplatnosti výsledků je třeba předpokládat chybu v technice provedení. Doporučuje se důkladně znovu prostudovat přiložen</w:t>
      </w:r>
      <w:r w:rsidR="00161DDD">
        <w:t xml:space="preserve">ou příbalovou </w:t>
      </w:r>
      <w:proofErr w:type="gramStart"/>
      <w:r w:rsidR="00161DDD">
        <w:t>informaci</w:t>
      </w:r>
      <w:r>
        <w:t xml:space="preserve"> </w:t>
      </w:r>
      <w:r w:rsidR="00161DDD">
        <w:t xml:space="preserve"> </w:t>
      </w:r>
      <w:r>
        <w:t>a</w:t>
      </w:r>
      <w:proofErr w:type="gramEnd"/>
      <w:r>
        <w:t xml:space="preserve"> test provést znovu.</w:t>
      </w:r>
    </w:p>
    <w:p w14:paraId="7C4EF35F" w14:textId="77777777" w:rsidR="00EF4820" w:rsidRDefault="00EF4820" w:rsidP="00993EA2">
      <w:pPr>
        <w:spacing w:after="0"/>
      </w:pPr>
    </w:p>
    <w:p w14:paraId="7BDB8F53" w14:textId="77777777" w:rsidR="00EF4820" w:rsidRDefault="00EF4820" w:rsidP="00993EA2">
      <w:pPr>
        <w:spacing w:after="0"/>
      </w:pPr>
      <w:r>
        <w:rPr>
          <w:b/>
        </w:rPr>
        <w:t>Vzorky:</w:t>
      </w:r>
    </w:p>
    <w:p w14:paraId="31166142" w14:textId="77777777" w:rsidR="00EF4820" w:rsidRPr="00EF4820" w:rsidRDefault="00EF4820" w:rsidP="00993EA2">
      <w:pPr>
        <w:spacing w:after="0"/>
      </w:pPr>
    </w:p>
    <w:p w14:paraId="429DEF6D" w14:textId="77777777" w:rsidR="00993EA2" w:rsidRDefault="00EF4820" w:rsidP="00CB758E">
      <w:pPr>
        <w:spacing w:after="0"/>
      </w:pPr>
      <w:r w:rsidRPr="00EF4820">
        <w:t xml:space="preserve">S–N = </w:t>
      </w:r>
      <w:proofErr w:type="gramStart"/>
      <w:r w:rsidRPr="00EF4820">
        <w:t>A(</w:t>
      </w:r>
      <w:proofErr w:type="gramEnd"/>
      <w:r w:rsidRPr="00EF4820">
        <w:t xml:space="preserve">450) </w:t>
      </w:r>
      <w:r>
        <w:t xml:space="preserve">vzorku </w:t>
      </w:r>
      <w:r w:rsidRPr="00EF4820">
        <w:t xml:space="preserve">– </w:t>
      </w:r>
      <w:proofErr w:type="spellStart"/>
      <w:r w:rsidRPr="00EF4820">
        <w:t>N</w:t>
      </w:r>
      <w:r>
        <w:t>K</w:t>
      </w:r>
      <w:r w:rsidRPr="00EF4820">
        <w:t>x</w:t>
      </w:r>
      <w:proofErr w:type="spellEnd"/>
    </w:p>
    <w:p w14:paraId="3FF70941" w14:textId="77777777" w:rsidR="00EF4820" w:rsidRDefault="00EF4820" w:rsidP="00CB758E">
      <w:pPr>
        <w:spacing w:after="0"/>
      </w:pPr>
      <w:r>
        <w:t xml:space="preserve">Přítomnost nebo nepřítomnost antigenu CSFV ve vzorku je určena korigovanou hodnotou OD (S-N) jednotlivých vzorků. </w:t>
      </w:r>
    </w:p>
    <w:p w14:paraId="032AE898" w14:textId="77777777" w:rsidR="00EF4820" w:rsidRDefault="00EF4820" w:rsidP="00CB758E">
      <w:pPr>
        <w:spacing w:after="0"/>
      </w:pPr>
    </w:p>
    <w:p w14:paraId="2029CADD" w14:textId="77777777" w:rsidR="00EF4820" w:rsidRDefault="00EF4820" w:rsidP="00CB758E">
      <w:pPr>
        <w:spacing w:after="0"/>
      </w:pPr>
      <w:r>
        <w:t>17. Interpretace:</w:t>
      </w:r>
    </w:p>
    <w:p w14:paraId="7E584A3D" w14:textId="77777777" w:rsidR="00EF4820" w:rsidRDefault="00EF4820" w:rsidP="00CB758E">
      <w:pPr>
        <w:spacing w:after="0"/>
      </w:pPr>
      <w:r>
        <w:t xml:space="preserve">Negativní: </w:t>
      </w:r>
      <w:r w:rsidRPr="00EF4820">
        <w:t>S–N ≤ 0</w:t>
      </w:r>
      <w:r>
        <w:t>,</w:t>
      </w:r>
      <w:r w:rsidRPr="00EF4820">
        <w:t>300</w:t>
      </w:r>
    </w:p>
    <w:p w14:paraId="1C2501B8" w14:textId="77777777" w:rsidR="00EF4820" w:rsidRDefault="00EF4820" w:rsidP="00CB758E">
      <w:pPr>
        <w:spacing w:after="0"/>
      </w:pPr>
      <w:r>
        <w:t xml:space="preserve">Pozitivní: </w:t>
      </w:r>
      <w:r w:rsidRPr="00EF4820">
        <w:t>S–</w:t>
      </w:r>
      <w:proofErr w:type="gramStart"/>
      <w:r w:rsidRPr="00EF4820">
        <w:t>N &gt;</w:t>
      </w:r>
      <w:proofErr w:type="gramEnd"/>
      <w:r w:rsidRPr="00EF4820">
        <w:t xml:space="preserve"> 0</w:t>
      </w:r>
      <w:r>
        <w:t>,</w:t>
      </w:r>
      <w:r w:rsidRPr="00EF4820">
        <w:t>300</w:t>
      </w:r>
    </w:p>
    <w:p w14:paraId="52BFB78D" w14:textId="77777777" w:rsidR="00EF4820" w:rsidRDefault="00EF4820" w:rsidP="00EF4820">
      <w:r w:rsidRPr="00F82F57">
        <w:rPr>
          <w:b/>
        </w:rPr>
        <w:t>Poznámka</w:t>
      </w:r>
      <w:r>
        <w:t>: Společnost IDEXX má k dispozici přístrojové a softwarové systémy pro výpočet výsledků a poskytování souhrnů dat.</w:t>
      </w:r>
    </w:p>
    <w:p w14:paraId="1FF16F8C" w14:textId="77777777" w:rsidR="00EF4820" w:rsidRDefault="00EF4820" w:rsidP="00EF4820">
      <w:pPr>
        <w:spacing w:after="0"/>
        <w:rPr>
          <w:b/>
        </w:rPr>
      </w:pPr>
      <w:r>
        <w:rPr>
          <w:b/>
        </w:rPr>
        <w:t>Technická podpora:</w:t>
      </w:r>
    </w:p>
    <w:p w14:paraId="0C5100BD" w14:textId="77777777" w:rsidR="00EF4820" w:rsidRDefault="00EF4820" w:rsidP="00EF4820">
      <w:pPr>
        <w:spacing w:after="0"/>
      </w:pPr>
    </w:p>
    <w:p w14:paraId="1A9612F4" w14:textId="77777777" w:rsidR="00EF4820" w:rsidRDefault="00EF4820" w:rsidP="00EF4820">
      <w:pPr>
        <w:spacing w:after="0"/>
      </w:pPr>
      <w:r>
        <w:t xml:space="preserve">IDEXX USA Tel: +1 800 548 9997 </w:t>
      </w:r>
      <w:r w:rsidR="00060A52">
        <w:t>nebo</w:t>
      </w:r>
      <w:r>
        <w:t xml:space="preserve"> +1 207 556 4895</w:t>
      </w:r>
    </w:p>
    <w:p w14:paraId="0A61C847" w14:textId="77777777" w:rsidR="00EF4820" w:rsidRDefault="00EF4820" w:rsidP="00EF4820">
      <w:pPr>
        <w:spacing w:after="0"/>
      </w:pPr>
      <w:r>
        <w:t>IDEXX Evropa Tel: +800 727 43399</w:t>
      </w:r>
    </w:p>
    <w:p w14:paraId="644CF0A8" w14:textId="77777777" w:rsidR="00EF4820" w:rsidRDefault="00EF4820" w:rsidP="00EF4820">
      <w:pPr>
        <w:spacing w:after="0"/>
      </w:pPr>
      <w:r>
        <w:t>Obraťte se na manažera nebo distributora společnosti IDEXX pro Vaši oblast nebo navštivte naši webovou stránku: www.idexx.com/production/contactlpd</w:t>
      </w:r>
    </w:p>
    <w:p w14:paraId="76B944F4" w14:textId="77777777" w:rsidR="00EF4820" w:rsidRDefault="00EF4820" w:rsidP="00EF4820">
      <w:pPr>
        <w:spacing w:after="0"/>
      </w:pPr>
    </w:p>
    <w:p w14:paraId="3C97425F" w14:textId="77777777" w:rsidR="00EF4820" w:rsidRDefault="00EF4820" w:rsidP="00EF4820">
      <w:pPr>
        <w:spacing w:after="0"/>
      </w:pPr>
      <w:r>
        <w:t xml:space="preserve">IDEXX a Test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Confidence</w:t>
      </w:r>
      <w:proofErr w:type="spellEnd"/>
      <w:r>
        <w:t xml:space="preserve"> jsou ochranné známky nebo registrované ochranné známky</w:t>
      </w:r>
    </w:p>
    <w:p w14:paraId="11DA0890" w14:textId="77777777" w:rsidR="00EF4820" w:rsidRDefault="00EF4820" w:rsidP="00EF4820">
      <w:pPr>
        <w:spacing w:after="0"/>
      </w:pPr>
      <w:r>
        <w:t xml:space="preserve">společnosti IDEXX </w:t>
      </w:r>
      <w:proofErr w:type="spellStart"/>
      <w:r>
        <w:t>Laboratories</w:t>
      </w:r>
      <w:proofErr w:type="spellEnd"/>
      <w:r>
        <w:t>, Inc. nebo jejích přidružených společností ve Spojených státech amerických a/nebo v jiných zemích.</w:t>
      </w:r>
    </w:p>
    <w:p w14:paraId="74872BD0" w14:textId="77777777" w:rsidR="00EF4820" w:rsidRDefault="00EF4820" w:rsidP="00EF4820">
      <w:pPr>
        <w:spacing w:after="0"/>
      </w:pPr>
    </w:p>
    <w:p w14:paraId="00A8D0EA" w14:textId="787BA36F" w:rsidR="00EF4820" w:rsidRDefault="00EF4820" w:rsidP="00EF4820">
      <w:pPr>
        <w:spacing w:after="0"/>
      </w:pPr>
      <w:r>
        <w:t>©201</w:t>
      </w:r>
      <w:r w:rsidR="00A16956">
        <w:t>8</w:t>
      </w:r>
      <w:r>
        <w:t xml:space="preserve"> IDEXX </w:t>
      </w:r>
      <w:proofErr w:type="spellStart"/>
      <w:r>
        <w:t>Laboratories</w:t>
      </w:r>
      <w:proofErr w:type="spellEnd"/>
      <w:r>
        <w:t>, Inc. Všechna práva vyhrazena.</w:t>
      </w:r>
    </w:p>
    <w:p w14:paraId="67634858" w14:textId="77777777" w:rsidR="00EF4820" w:rsidRDefault="00EF4820" w:rsidP="00EF4820">
      <w:pPr>
        <w:spacing w:after="0"/>
      </w:pPr>
    </w:p>
    <w:p w14:paraId="66DB3FAB" w14:textId="77777777" w:rsidR="00EF4820" w:rsidRDefault="00EF4820" w:rsidP="00EF4820">
      <w:pPr>
        <w:spacing w:after="0"/>
        <w:rPr>
          <w:b/>
        </w:rPr>
      </w:pPr>
      <w:r>
        <w:rPr>
          <w:b/>
        </w:rPr>
        <w:t>Upozornění</w:t>
      </w:r>
    </w:p>
    <w:p w14:paraId="0426776A" w14:textId="77777777" w:rsidR="00EF4820" w:rsidRDefault="00EF4820" w:rsidP="00EF4820">
      <w:pPr>
        <w:spacing w:after="0"/>
        <w:rPr>
          <w:b/>
        </w:rPr>
      </w:pPr>
    </w:p>
    <w:p w14:paraId="52BFCD63" w14:textId="77777777" w:rsidR="00EF4820" w:rsidRPr="00EF4820" w:rsidRDefault="00EF4820" w:rsidP="00EF4820">
      <w:pPr>
        <w:spacing w:after="0"/>
        <w:rPr>
          <w:b/>
        </w:rPr>
      </w:pPr>
      <w:r w:rsidRPr="00EF4820">
        <w:rPr>
          <w:b/>
        </w:rPr>
        <w:t>EUH208</w:t>
      </w:r>
    </w:p>
    <w:p w14:paraId="23372B6E" w14:textId="77777777" w:rsidR="00EF4820" w:rsidRPr="00EF4820" w:rsidRDefault="00EF4820" w:rsidP="00EF4820">
      <w:pPr>
        <w:spacing w:after="0"/>
      </w:pPr>
      <w:r w:rsidRPr="00EF4820">
        <w:rPr>
          <w:b/>
        </w:rPr>
        <w:t>Pozitivní kontrola/Koncentrát mycího roztoku –</w:t>
      </w:r>
      <w:r>
        <w:t xml:space="preserve"> Obsahuje </w:t>
      </w:r>
      <w:proofErr w:type="spellStart"/>
      <w:r>
        <w:t>Kathon</w:t>
      </w:r>
      <w:proofErr w:type="spellEnd"/>
      <w:r>
        <w:t xml:space="preserve">. Může vyvolat alergickou reakci. </w:t>
      </w:r>
    </w:p>
    <w:p w14:paraId="1689D3FC" w14:textId="77777777" w:rsidR="00EF4820" w:rsidRDefault="00EF4820" w:rsidP="00EF4820">
      <w:pPr>
        <w:spacing w:after="0"/>
        <w:rPr>
          <w:b/>
        </w:rPr>
      </w:pPr>
    </w:p>
    <w:p w14:paraId="409626CA" w14:textId="77777777" w:rsidR="00EF4820" w:rsidRDefault="00EF4820" w:rsidP="00EF4820">
      <w:pPr>
        <w:spacing w:after="0"/>
        <w:rPr>
          <w:b/>
        </w:rPr>
      </w:pPr>
      <w:r w:rsidRPr="00EF4820">
        <w:rPr>
          <w:b/>
        </w:rPr>
        <w:t>H316 / P332+P313 / EUH208</w:t>
      </w:r>
    </w:p>
    <w:p w14:paraId="5B5AEEB8" w14:textId="77777777" w:rsidR="00EF4820" w:rsidRDefault="00EF4820" w:rsidP="00EF4820">
      <w:pPr>
        <w:spacing w:after="0"/>
      </w:pPr>
      <w:r>
        <w:rPr>
          <w:b/>
        </w:rPr>
        <w:t xml:space="preserve">Konjugát – </w:t>
      </w:r>
      <w:r>
        <w:t xml:space="preserve">Způsobuje mírné podráždění pokožky. Pokud dojde k podráždění pokožky: vyhledejte lékařskou pomoc/ošetření. Obsahuje </w:t>
      </w:r>
      <w:proofErr w:type="spellStart"/>
      <w:r>
        <w:t>Kathon</w:t>
      </w:r>
      <w:proofErr w:type="spellEnd"/>
      <w:r>
        <w:t xml:space="preserve">. Může vyvolat alergickou reakci. </w:t>
      </w:r>
    </w:p>
    <w:p w14:paraId="4A84F2CB" w14:textId="77777777" w:rsidR="00EF4820" w:rsidRDefault="00EF4820" w:rsidP="00EF4820">
      <w:pPr>
        <w:spacing w:after="0"/>
      </w:pPr>
    </w:p>
    <w:p w14:paraId="69632970" w14:textId="77777777" w:rsidR="00EF4820" w:rsidRDefault="00EF4820" w:rsidP="00EF4820">
      <w:pPr>
        <w:spacing w:after="0"/>
        <w:rPr>
          <w:b/>
        </w:rPr>
      </w:pPr>
      <w:r w:rsidRPr="00EF4820">
        <w:rPr>
          <w:b/>
        </w:rPr>
        <w:t>H319 / P280 / P337+P313 / EUH208</w:t>
      </w:r>
    </w:p>
    <w:p w14:paraId="1C39A9C5" w14:textId="77777777" w:rsidR="00EF4820" w:rsidRPr="00EF4820" w:rsidRDefault="00EF4820" w:rsidP="00EF4820">
      <w:pPr>
        <w:spacing w:after="0"/>
      </w:pPr>
      <w:proofErr w:type="spellStart"/>
      <w:r>
        <w:rPr>
          <w:b/>
        </w:rPr>
        <w:t>Pufrační</w:t>
      </w:r>
      <w:proofErr w:type="spellEnd"/>
      <w:r>
        <w:rPr>
          <w:b/>
        </w:rPr>
        <w:t xml:space="preserve"> roztok pro namáčení vzorků tkáně – </w:t>
      </w:r>
      <w:r>
        <w:t xml:space="preserve">Způsobuje závažné podráždění očí. Používejte ochranné brýle. Pokud podráždění očí přetrvává: Vyhledejte lékařskou pomoc/ošetření. Obsahuje </w:t>
      </w:r>
      <w:proofErr w:type="spellStart"/>
      <w:r>
        <w:t>Kathon</w:t>
      </w:r>
      <w:proofErr w:type="spellEnd"/>
      <w:r>
        <w:t>. Může vyvolat alergickou reakci.</w:t>
      </w:r>
    </w:p>
    <w:p w14:paraId="6B32BC9C" w14:textId="77777777" w:rsidR="00EF4820" w:rsidRDefault="00EF4820" w:rsidP="00EF4820">
      <w:pPr>
        <w:spacing w:after="0"/>
        <w:rPr>
          <w:b/>
        </w:rPr>
      </w:pPr>
    </w:p>
    <w:p w14:paraId="147AA8E8" w14:textId="77777777" w:rsidR="00F443BC" w:rsidRDefault="00F443BC" w:rsidP="00EF4820">
      <w:pPr>
        <w:spacing w:after="0"/>
        <w:rPr>
          <w:b/>
        </w:rPr>
      </w:pPr>
      <w:r w:rsidRPr="00F443BC">
        <w:rPr>
          <w:b/>
        </w:rPr>
        <w:t>H315 / H319 / P280 / P332+P313 / P337+P313</w:t>
      </w:r>
    </w:p>
    <w:p w14:paraId="40AE860D" w14:textId="77777777" w:rsidR="00EF4820" w:rsidRDefault="00EF4820" w:rsidP="00EF4820">
      <w:pPr>
        <w:spacing w:after="0"/>
      </w:pPr>
      <w:r>
        <w:rPr>
          <w:b/>
        </w:rPr>
        <w:lastRenderedPageBreak/>
        <w:t>TMB substrát</w:t>
      </w:r>
      <w:r>
        <w:t xml:space="preserve"> </w:t>
      </w:r>
      <w:r>
        <w:rPr>
          <w:b/>
        </w:rPr>
        <w:t xml:space="preserve">– </w:t>
      </w:r>
      <w:r>
        <w:t>Způsobuje podráždění pokožky. Způsobuje závažné podráždění očí. Používejte ochranné rukavice/ochranné brýle/obličejový štít. Dojde-li k podráždění pokožky: Vyhledejte lékařskou pomoc/ošetření. Přetrvává-li podráždění očí: Vyhledejte lékařskou pomoc/ošetření.</w:t>
      </w:r>
    </w:p>
    <w:p w14:paraId="02597C4A" w14:textId="77777777" w:rsidR="00EF4820" w:rsidRDefault="00EF4820" w:rsidP="00EF4820">
      <w:pPr>
        <w:spacing w:after="0"/>
      </w:pPr>
    </w:p>
    <w:p w14:paraId="3E01D503" w14:textId="594C56ED" w:rsidR="00F443BC" w:rsidRDefault="00F443BC" w:rsidP="00EF4820">
      <w:pPr>
        <w:spacing w:after="0"/>
        <w:rPr>
          <w:b/>
        </w:rPr>
      </w:pPr>
      <w:r w:rsidRPr="00F443BC">
        <w:rPr>
          <w:b/>
        </w:rPr>
        <w:t>H302 / H315 / H317 / H319 / H335 / P280 / P333+P31</w:t>
      </w:r>
      <w:r w:rsidR="00A16956">
        <w:rPr>
          <w:b/>
        </w:rPr>
        <w:t>2</w:t>
      </w:r>
      <w:r w:rsidRPr="00F443BC">
        <w:rPr>
          <w:b/>
        </w:rPr>
        <w:t xml:space="preserve"> / P337+P313 / P362+P364 / P501</w:t>
      </w:r>
    </w:p>
    <w:p w14:paraId="67559B6C" w14:textId="77777777" w:rsidR="00EF4820" w:rsidRDefault="00EF4820" w:rsidP="00EF4820">
      <w:pPr>
        <w:spacing w:after="0"/>
      </w:pPr>
      <w:r w:rsidRPr="00596A0C">
        <w:rPr>
          <w:b/>
        </w:rPr>
        <w:t xml:space="preserve">Zastavovací roztok: </w:t>
      </w:r>
      <w:r>
        <w:t>Zdraví škodlivý při požití. Způsobuje podráždění pokožky. Může vyvolat alergickou kožní reakci. Způsobuje vážné podráždění očí. Může způsobit podráždění dýchacích cest. Používejte ochranné rukavice / ochranné brýle / obličejový štít.</w:t>
      </w:r>
    </w:p>
    <w:p w14:paraId="5A386C14" w14:textId="77777777" w:rsidR="00EF4820" w:rsidRDefault="00EF4820" w:rsidP="00EF4820">
      <w:pPr>
        <w:spacing w:after="0"/>
      </w:pPr>
      <w:r>
        <w:t xml:space="preserve">Dojde-li k podráždění kůže nebo vyrážce: Vyhledejte lékařskou pomoc / ošetření. </w:t>
      </w:r>
    </w:p>
    <w:p w14:paraId="4197200B" w14:textId="77777777" w:rsidR="00EF4820" w:rsidRDefault="00EF4820" w:rsidP="00EF4820">
      <w:pPr>
        <w:spacing w:after="0"/>
      </w:pPr>
      <w:r>
        <w:t>Přetrvává-li podráždění očí: Vyhledejte lékařskou pomoc / ošetření.</w:t>
      </w:r>
    </w:p>
    <w:p w14:paraId="5DB52B99" w14:textId="77777777" w:rsidR="00EF4820" w:rsidRDefault="00EF4820" w:rsidP="00EF4820">
      <w:pPr>
        <w:spacing w:after="0"/>
      </w:pPr>
      <w:r>
        <w:t>Kontaminovaný oděv před opětovným použitím vyperte.</w:t>
      </w:r>
      <w:r w:rsidR="00F443BC">
        <w:t xml:space="preserve"> Obsah zneškodněte v souladu s místními/regionálními/národními/mezinárodními předpisy.</w:t>
      </w:r>
    </w:p>
    <w:p w14:paraId="0A56721D" w14:textId="77777777" w:rsidR="00F443BC" w:rsidRDefault="00F443BC" w:rsidP="00EF4820">
      <w:pPr>
        <w:spacing w:after="0"/>
      </w:pPr>
    </w:p>
    <w:p w14:paraId="31647ABC" w14:textId="77777777" w:rsidR="00F443BC" w:rsidRDefault="00F443BC" w:rsidP="00EF4820">
      <w:pPr>
        <w:spacing w:after="0"/>
        <w:rPr>
          <w:b/>
        </w:rPr>
      </w:pPr>
      <w:r w:rsidRPr="00F443BC">
        <w:rPr>
          <w:b/>
        </w:rPr>
        <w:t>H316 / H319 / P280 / P332+P313 / P337+P313 / EUH208</w:t>
      </w:r>
    </w:p>
    <w:p w14:paraId="76C53A9C" w14:textId="77777777" w:rsidR="00F443BC" w:rsidRPr="00F443BC" w:rsidRDefault="00F443BC" w:rsidP="00EF4820">
      <w:pPr>
        <w:spacing w:after="0"/>
      </w:pPr>
      <w:r>
        <w:rPr>
          <w:b/>
        </w:rPr>
        <w:t xml:space="preserve">Detekční protilátky – </w:t>
      </w:r>
      <w:r>
        <w:t xml:space="preserve">Způsobuje mírné podráždění pokožky. Způsobuje závažné podráždění očí. Používejte ochranné rukavice/ochranné brýle/obličejový štít. Dojde-li k podráždění pokožky: Vyhledejte lékařskou pomoc/ošetření. Přetrvává-li podráždění očí: Vyhledejte lékařskou pomoc/ošetření. Obsahuje </w:t>
      </w:r>
      <w:proofErr w:type="spellStart"/>
      <w:r>
        <w:t>Kathon</w:t>
      </w:r>
      <w:proofErr w:type="spellEnd"/>
      <w:r>
        <w:t xml:space="preserve">. Může vyvolat alergickou reakci. </w:t>
      </w:r>
    </w:p>
    <w:p w14:paraId="07667B58" w14:textId="77777777" w:rsidR="00EF4820" w:rsidRDefault="00EF4820" w:rsidP="00EF4820">
      <w:pPr>
        <w:spacing w:after="0"/>
      </w:pPr>
    </w:p>
    <w:p w14:paraId="01969E70" w14:textId="77777777" w:rsidR="00EF4820" w:rsidRDefault="00EF4820" w:rsidP="00EF4820">
      <w:pPr>
        <w:spacing w:after="0"/>
        <w:rPr>
          <w:b/>
        </w:rPr>
      </w:pPr>
      <w:r>
        <w:rPr>
          <w:b/>
        </w:rPr>
        <w:t>Popis symbolů:</w:t>
      </w:r>
    </w:p>
    <w:p w14:paraId="3E2A1B54" w14:textId="6586BF5B" w:rsidR="00D470FC" w:rsidRDefault="00D470FC" w:rsidP="00D470FC">
      <w:pPr>
        <w:ind w:left="2268" w:hanging="2268"/>
        <w:jc w:val="both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cs-CZ"/>
        </w:rPr>
        <w:drawing>
          <wp:inline distT="0" distB="0" distL="0" distR="0" wp14:anchorId="06568039" wp14:editId="52A6D6AE">
            <wp:extent cx="447675" cy="314325"/>
            <wp:effectExtent l="0" t="0" r="9525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</w:rPr>
        <w:tab/>
        <w:t>Kód šarže</w:t>
      </w:r>
    </w:p>
    <w:p w14:paraId="706731DD" w14:textId="77777777" w:rsidR="00D470FC" w:rsidRDefault="00D470FC" w:rsidP="00D470FC">
      <w:pPr>
        <w:ind w:left="2268" w:hanging="2268"/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14:paraId="41F0EF02" w14:textId="7380756B" w:rsidR="00D470FC" w:rsidRDefault="00D470FC" w:rsidP="00D470FC">
      <w:pPr>
        <w:ind w:left="2268" w:hanging="2268"/>
        <w:jc w:val="both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cs-CZ"/>
        </w:rPr>
        <w:drawing>
          <wp:inline distT="0" distB="0" distL="0" distR="0" wp14:anchorId="3F81CC0B" wp14:editId="6F1AD594">
            <wp:extent cx="523875" cy="419100"/>
            <wp:effectExtent l="0" t="0" r="952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</w:rPr>
        <w:tab/>
        <w:t>Sériové číslo</w:t>
      </w:r>
    </w:p>
    <w:p w14:paraId="530E0627" w14:textId="77777777" w:rsidR="00D470FC" w:rsidRDefault="00D470FC" w:rsidP="00D470FC">
      <w:pPr>
        <w:ind w:left="2268" w:hanging="2268"/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14:paraId="5C0EEB9F" w14:textId="3F162FA3" w:rsidR="00D470FC" w:rsidRDefault="00D470FC" w:rsidP="00D470FC">
      <w:pPr>
        <w:ind w:left="2268" w:hanging="2268"/>
        <w:jc w:val="both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cs-CZ"/>
        </w:rPr>
        <w:drawing>
          <wp:inline distT="0" distB="0" distL="0" distR="0" wp14:anchorId="717DAAD1" wp14:editId="619C2A78">
            <wp:extent cx="485775" cy="419100"/>
            <wp:effectExtent l="0" t="0" r="952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</w:rPr>
        <w:tab/>
        <w:t>Katalogové číslo</w:t>
      </w:r>
    </w:p>
    <w:p w14:paraId="43720A5A" w14:textId="77777777" w:rsidR="00D470FC" w:rsidRDefault="00D470FC" w:rsidP="00D470FC">
      <w:pPr>
        <w:ind w:left="2268" w:hanging="2268"/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14:paraId="09040580" w14:textId="629AB043" w:rsidR="00D470FC" w:rsidRDefault="00D470FC" w:rsidP="00D470FC">
      <w:pPr>
        <w:ind w:left="2268" w:hanging="2268"/>
        <w:jc w:val="both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cs-CZ"/>
        </w:rPr>
        <w:drawing>
          <wp:inline distT="0" distB="0" distL="0" distR="0" wp14:anchorId="7D0F188C" wp14:editId="4D8AD859">
            <wp:extent cx="561975" cy="409575"/>
            <wp:effectExtent l="0" t="0" r="9525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</w:rPr>
        <w:tab/>
        <w:t>Diagnostika in vitro</w:t>
      </w:r>
    </w:p>
    <w:p w14:paraId="7A53BB11" w14:textId="77777777" w:rsidR="00D470FC" w:rsidRDefault="00D470FC" w:rsidP="00D470FC">
      <w:pPr>
        <w:ind w:left="2268" w:hanging="2268"/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14:paraId="793C6486" w14:textId="033E127D" w:rsidR="00D470FC" w:rsidRDefault="00D470FC" w:rsidP="00D470FC">
      <w:pPr>
        <w:ind w:left="2268" w:hanging="2268"/>
        <w:jc w:val="both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cs-CZ"/>
        </w:rPr>
        <w:drawing>
          <wp:inline distT="0" distB="0" distL="0" distR="0" wp14:anchorId="472DA02E" wp14:editId="0B38205C">
            <wp:extent cx="561975" cy="447675"/>
            <wp:effectExtent l="0" t="0" r="9525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</w:rPr>
        <w:tab/>
        <w:t>Autorizovaný zástupce v Evropském společenství</w:t>
      </w:r>
    </w:p>
    <w:p w14:paraId="1CE95182" w14:textId="77777777" w:rsidR="00D470FC" w:rsidRDefault="00D470FC" w:rsidP="00D470FC">
      <w:pPr>
        <w:ind w:left="2268" w:hanging="2268"/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14:paraId="3DE8A033" w14:textId="27009574" w:rsidR="00D470FC" w:rsidRDefault="00D470FC" w:rsidP="00D470FC">
      <w:pPr>
        <w:ind w:left="2268" w:hanging="2268"/>
        <w:jc w:val="both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cs-CZ"/>
        </w:rPr>
        <w:drawing>
          <wp:inline distT="0" distB="0" distL="0" distR="0" wp14:anchorId="3C66DF26" wp14:editId="1D14189A">
            <wp:extent cx="752475" cy="381000"/>
            <wp:effectExtent l="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</w:rPr>
        <w:tab/>
        <w:t>Pozitivní kontrolní vzorek</w:t>
      </w:r>
    </w:p>
    <w:p w14:paraId="2056924E" w14:textId="77777777" w:rsidR="00D470FC" w:rsidRDefault="00D470FC" w:rsidP="00D470FC">
      <w:pPr>
        <w:ind w:left="2268" w:hanging="2268"/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14:paraId="343782A5" w14:textId="57BC057B" w:rsidR="00D470FC" w:rsidRDefault="00D470FC" w:rsidP="00D470FC">
      <w:pPr>
        <w:ind w:left="2268" w:hanging="2268"/>
        <w:jc w:val="both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cs-CZ"/>
        </w:rPr>
        <w:drawing>
          <wp:inline distT="0" distB="0" distL="0" distR="0" wp14:anchorId="518B97DC" wp14:editId="5D210B51">
            <wp:extent cx="790575" cy="295275"/>
            <wp:effectExtent l="0" t="0" r="9525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</w:rPr>
        <w:tab/>
        <w:t>Negativní kontrolní vzorek</w:t>
      </w:r>
    </w:p>
    <w:p w14:paraId="001352CB" w14:textId="6CAE86DE" w:rsidR="00D470FC" w:rsidRDefault="00D470FC" w:rsidP="00D470FC">
      <w:pPr>
        <w:ind w:left="2268" w:hanging="2268"/>
        <w:jc w:val="both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cs-CZ"/>
        </w:rPr>
        <w:drawing>
          <wp:inline distT="0" distB="0" distL="0" distR="0" wp14:anchorId="734DB1B4" wp14:editId="204E08A6">
            <wp:extent cx="447675" cy="58102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</w:rPr>
        <w:tab/>
        <w:t>Použijte do</w:t>
      </w:r>
    </w:p>
    <w:p w14:paraId="636D8617" w14:textId="45A0D1A0" w:rsidR="00D470FC" w:rsidRDefault="00D470FC" w:rsidP="00D470FC">
      <w:pPr>
        <w:ind w:left="2268" w:hanging="2268"/>
        <w:jc w:val="both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cs-CZ"/>
        </w:rPr>
        <w:drawing>
          <wp:inline distT="0" distB="0" distL="0" distR="0" wp14:anchorId="06A73DFB" wp14:editId="652488CB">
            <wp:extent cx="485775" cy="48577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</w:rPr>
        <w:tab/>
        <w:t>Datum výroby</w:t>
      </w:r>
    </w:p>
    <w:p w14:paraId="461A4A10" w14:textId="1116480A" w:rsidR="00D470FC" w:rsidRDefault="00D470FC" w:rsidP="00D470FC">
      <w:pPr>
        <w:ind w:left="2268" w:hanging="2268"/>
        <w:jc w:val="both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cs-CZ"/>
        </w:rPr>
        <w:drawing>
          <wp:inline distT="0" distB="0" distL="0" distR="0" wp14:anchorId="590175C3" wp14:editId="1FFB91D4">
            <wp:extent cx="485775" cy="6096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</w:rPr>
        <w:tab/>
        <w:t>Výrobce</w:t>
      </w:r>
    </w:p>
    <w:p w14:paraId="5AD46669" w14:textId="6DBE37A1" w:rsidR="00D470FC" w:rsidRDefault="00D470FC" w:rsidP="00D470FC">
      <w:pPr>
        <w:ind w:left="2268" w:hanging="2268"/>
        <w:jc w:val="both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cs-CZ"/>
        </w:rPr>
        <w:drawing>
          <wp:inline distT="0" distB="0" distL="0" distR="0" wp14:anchorId="280FA0CB" wp14:editId="2830A888">
            <wp:extent cx="447675" cy="6477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</w:rPr>
        <w:tab/>
        <w:t>Teplotní omezení</w:t>
      </w:r>
    </w:p>
    <w:p w14:paraId="6DC1C0D6" w14:textId="6B0B0A50" w:rsidR="00D470FC" w:rsidRDefault="00D470FC" w:rsidP="00D470FC">
      <w:pPr>
        <w:ind w:left="2268" w:hanging="2268"/>
        <w:jc w:val="both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cs-CZ"/>
        </w:rPr>
        <w:drawing>
          <wp:inline distT="0" distB="0" distL="0" distR="0" wp14:anchorId="7A98553F" wp14:editId="39B440D4">
            <wp:extent cx="600075" cy="6477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</w:rPr>
        <w:tab/>
        <w:t>Čtěte návod na použití</w:t>
      </w:r>
    </w:p>
    <w:p w14:paraId="219797ED" w14:textId="77777777" w:rsidR="00C02C55" w:rsidRDefault="00C02C55" w:rsidP="00D470FC">
      <w:pPr>
        <w:ind w:left="2268" w:hanging="2268"/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14:paraId="2049E171" w14:textId="2B8810B7" w:rsidR="00D470FC" w:rsidRDefault="00D470FC" w:rsidP="00D470FC">
      <w:pPr>
        <w:rPr>
          <w:rFonts w:ascii="Arial" w:hAnsi="Arial" w:cs="Arial"/>
          <w:b/>
          <w:bCs/>
          <w:noProof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  <w:lang w:eastAsia="cs-CZ"/>
        </w:rPr>
        <w:drawing>
          <wp:inline distT="0" distB="0" distL="0" distR="0" wp14:anchorId="410B595B" wp14:editId="42C8C706">
            <wp:extent cx="333375" cy="3048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noProof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color w:val="000000"/>
          <w:sz w:val="20"/>
          <w:szCs w:val="20"/>
        </w:rPr>
        <w:tab/>
      </w:r>
      <w:r>
        <w:rPr>
          <w:rFonts w:ascii="Arial" w:hAnsi="Arial" w:cs="Arial"/>
          <w:bCs/>
          <w:noProof/>
          <w:color w:val="000000"/>
          <w:sz w:val="20"/>
          <w:szCs w:val="20"/>
        </w:rPr>
        <w:tab/>
      </w:r>
      <w:r>
        <w:rPr>
          <w:rFonts w:ascii="Arial" w:hAnsi="Arial" w:cs="Arial"/>
          <w:bCs/>
          <w:noProof/>
          <w:color w:val="000000"/>
          <w:sz w:val="20"/>
          <w:szCs w:val="20"/>
        </w:rPr>
        <w:tab/>
        <w:t>Větší změna v návodu na použití</w:t>
      </w:r>
    </w:p>
    <w:p w14:paraId="280E6D20" w14:textId="5C0CCC1E" w:rsidR="00EF4820" w:rsidRDefault="00D470FC" w:rsidP="00EF4820">
      <w:pPr>
        <w:spacing w:after="0"/>
      </w:pPr>
      <w:r w:rsidDel="00D470FC">
        <w:t xml:space="preserve"> </w:t>
      </w:r>
    </w:p>
    <w:p w14:paraId="4C7D26C9" w14:textId="77777777" w:rsidR="00EF4820" w:rsidRDefault="00EF4820" w:rsidP="00EF4820">
      <w:pPr>
        <w:spacing w:after="0"/>
      </w:pPr>
      <w:r>
        <w:t xml:space="preserve">IDEXX </w:t>
      </w:r>
      <w:proofErr w:type="spellStart"/>
      <w:r>
        <w:t>Laboratories</w:t>
      </w:r>
      <w:proofErr w:type="spellEnd"/>
      <w:r>
        <w:t>, Inc.</w:t>
      </w:r>
    </w:p>
    <w:p w14:paraId="7845D5C4" w14:textId="77777777" w:rsidR="00EF4820" w:rsidRDefault="00EF4820" w:rsidP="00EF4820">
      <w:pPr>
        <w:spacing w:after="0"/>
      </w:pPr>
      <w:proofErr w:type="spellStart"/>
      <w:r>
        <w:t>One</w:t>
      </w:r>
      <w:proofErr w:type="spellEnd"/>
      <w:r>
        <w:t xml:space="preserve"> IDEXX Drive</w:t>
      </w:r>
    </w:p>
    <w:p w14:paraId="2A26BDDC" w14:textId="77777777" w:rsidR="00EF4820" w:rsidRDefault="00EF4820" w:rsidP="00EF4820">
      <w:pPr>
        <w:spacing w:after="0"/>
      </w:pPr>
      <w:proofErr w:type="spellStart"/>
      <w:r>
        <w:t>Westbrook</w:t>
      </w:r>
      <w:proofErr w:type="spellEnd"/>
      <w:r>
        <w:t>, Maine 04092</w:t>
      </w:r>
    </w:p>
    <w:p w14:paraId="2B4E6BED" w14:textId="77777777" w:rsidR="00EF4820" w:rsidRDefault="00EF4820" w:rsidP="00EF4820">
      <w:pPr>
        <w:spacing w:after="0"/>
      </w:pPr>
      <w:r>
        <w:t>USA</w:t>
      </w:r>
    </w:p>
    <w:p w14:paraId="7A8F361D" w14:textId="77777777" w:rsidR="00EF4820" w:rsidRDefault="00EF4820" w:rsidP="00EF4820">
      <w:pPr>
        <w:spacing w:after="0"/>
      </w:pPr>
    </w:p>
    <w:p w14:paraId="631C00A0" w14:textId="77777777" w:rsidR="00EF4820" w:rsidRDefault="00EF4820" w:rsidP="00EF4820">
      <w:pPr>
        <w:spacing w:after="0"/>
      </w:pPr>
      <w:r>
        <w:t>Výrobce</w:t>
      </w:r>
    </w:p>
    <w:p w14:paraId="4450F156" w14:textId="77777777" w:rsidR="00EF4820" w:rsidRDefault="00EF4820" w:rsidP="00EF4820">
      <w:pPr>
        <w:spacing w:after="0"/>
      </w:pPr>
      <w:r>
        <w:t xml:space="preserve">IDEXX </w:t>
      </w:r>
      <w:proofErr w:type="spellStart"/>
      <w:r>
        <w:t>Switzerland</w:t>
      </w:r>
      <w:proofErr w:type="spellEnd"/>
      <w:r>
        <w:t xml:space="preserve"> AG</w:t>
      </w:r>
    </w:p>
    <w:p w14:paraId="704749B4" w14:textId="77777777" w:rsidR="00EF4820" w:rsidRDefault="00EF4820" w:rsidP="00EF4820">
      <w:pPr>
        <w:spacing w:after="0"/>
      </w:pPr>
      <w:proofErr w:type="spellStart"/>
      <w:r>
        <w:t>Stationsstrasse</w:t>
      </w:r>
      <w:proofErr w:type="spellEnd"/>
      <w:r>
        <w:t xml:space="preserve"> 12</w:t>
      </w:r>
    </w:p>
    <w:p w14:paraId="79E379F2" w14:textId="77777777" w:rsidR="00EF4820" w:rsidRDefault="00EF4820" w:rsidP="00EF4820">
      <w:pPr>
        <w:spacing w:after="0"/>
      </w:pPr>
      <w:r>
        <w:t xml:space="preserve">CH-3097 </w:t>
      </w:r>
      <w:proofErr w:type="spellStart"/>
      <w:r>
        <w:t>Liebefeld</w:t>
      </w:r>
      <w:proofErr w:type="spellEnd"/>
      <w:r>
        <w:t>-Bern</w:t>
      </w:r>
    </w:p>
    <w:p w14:paraId="26CA26FC" w14:textId="77777777" w:rsidR="00EF4820" w:rsidRDefault="00EF4820" w:rsidP="00EF4820">
      <w:pPr>
        <w:spacing w:after="0"/>
      </w:pPr>
      <w:r>
        <w:t>Švýcarsko</w:t>
      </w:r>
    </w:p>
    <w:p w14:paraId="344664F1" w14:textId="77777777" w:rsidR="00EF4820" w:rsidRDefault="00EF4820" w:rsidP="00EF4820">
      <w:pPr>
        <w:spacing w:after="0"/>
      </w:pPr>
    </w:p>
    <w:p w14:paraId="0B9B51C3" w14:textId="142C9D57" w:rsidR="00EF4820" w:rsidRDefault="00EF4820" w:rsidP="00EF4820">
      <w:pPr>
        <w:spacing w:after="0"/>
      </w:pPr>
      <w:r>
        <w:t>Zástupce pro EU</w:t>
      </w:r>
      <w:r w:rsidR="00A67493">
        <w:t xml:space="preserve"> a držitel rozhodnutí o schválení</w:t>
      </w:r>
    </w:p>
    <w:p w14:paraId="609C6201" w14:textId="77777777" w:rsidR="00EF4820" w:rsidRDefault="00EF4820" w:rsidP="00EF4820">
      <w:pPr>
        <w:spacing w:after="0"/>
      </w:pPr>
      <w:r>
        <w:t xml:space="preserve">IDEXX </w:t>
      </w:r>
      <w:proofErr w:type="spellStart"/>
      <w:r>
        <w:t>Europe</w:t>
      </w:r>
      <w:proofErr w:type="spellEnd"/>
      <w:r>
        <w:t xml:space="preserve"> B.V.</w:t>
      </w:r>
    </w:p>
    <w:p w14:paraId="6A68BB18" w14:textId="77777777" w:rsidR="00EF4820" w:rsidRDefault="00EF4820" w:rsidP="00EF4820">
      <w:pPr>
        <w:spacing w:after="0"/>
      </w:pPr>
      <w:r>
        <w:t>P.O. Box 1334</w:t>
      </w:r>
    </w:p>
    <w:p w14:paraId="4EDE75CA" w14:textId="77777777" w:rsidR="00EF4820" w:rsidRDefault="00EF4820" w:rsidP="00EF4820">
      <w:pPr>
        <w:spacing w:after="0"/>
      </w:pPr>
      <w:r>
        <w:t xml:space="preserve">2130 EK </w:t>
      </w:r>
      <w:proofErr w:type="spellStart"/>
      <w:r>
        <w:t>Hoofddorp</w:t>
      </w:r>
      <w:proofErr w:type="spellEnd"/>
    </w:p>
    <w:p w14:paraId="475999B4" w14:textId="77777777" w:rsidR="00CB758E" w:rsidRDefault="00EF4820" w:rsidP="00EF4820">
      <w:r>
        <w:t>Nizoz</w:t>
      </w:r>
      <w:bookmarkStart w:id="0" w:name="_GoBack"/>
      <w:bookmarkEnd w:id="0"/>
      <w:r>
        <w:t>emsko</w:t>
      </w:r>
    </w:p>
    <w:sectPr w:rsidR="00CB758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831FB" w14:textId="77777777" w:rsidR="00DC759A" w:rsidRDefault="00DC759A" w:rsidP="0087423D">
      <w:pPr>
        <w:spacing w:after="0" w:line="240" w:lineRule="auto"/>
      </w:pPr>
      <w:r>
        <w:separator/>
      </w:r>
    </w:p>
  </w:endnote>
  <w:endnote w:type="continuationSeparator" w:id="0">
    <w:p w14:paraId="449D2E95" w14:textId="77777777" w:rsidR="00DC759A" w:rsidRDefault="00DC759A" w:rsidP="00874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3C0E7" w14:textId="77777777" w:rsidR="006A300C" w:rsidRDefault="006A30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EB27E" w14:textId="77777777" w:rsidR="006A300C" w:rsidRDefault="006A30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0A854" w14:textId="77777777" w:rsidR="006A300C" w:rsidRDefault="006A30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8A3CA" w14:textId="77777777" w:rsidR="00DC759A" w:rsidRDefault="00DC759A" w:rsidP="0087423D">
      <w:pPr>
        <w:spacing w:after="0" w:line="240" w:lineRule="auto"/>
      </w:pPr>
      <w:r>
        <w:separator/>
      </w:r>
    </w:p>
  </w:footnote>
  <w:footnote w:type="continuationSeparator" w:id="0">
    <w:p w14:paraId="1EB97208" w14:textId="77777777" w:rsidR="00DC759A" w:rsidRDefault="00DC759A" w:rsidP="00874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6609A" w14:textId="77777777" w:rsidR="006A300C" w:rsidRDefault="006A30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DAA3D" w14:textId="5344C755" w:rsidR="0087423D" w:rsidRPr="006A300C" w:rsidRDefault="0087423D" w:rsidP="0087423D">
    <w:pPr>
      <w:rPr>
        <w:bCs/>
      </w:rPr>
    </w:pPr>
    <w:r w:rsidRPr="006A300C">
      <w:rPr>
        <w:bCs/>
      </w:rPr>
      <w:t xml:space="preserve">Text příbalové informace součást dokumentace schválené rozhodnutím </w:t>
    </w:r>
    <w:proofErr w:type="spellStart"/>
    <w:r w:rsidRPr="006A300C">
      <w:rPr>
        <w:bCs/>
      </w:rPr>
      <w:t>sp.zn</w:t>
    </w:r>
    <w:proofErr w:type="spellEnd"/>
    <w:r w:rsidRPr="006A300C">
      <w:rPr>
        <w:bCs/>
      </w:rPr>
      <w:t xml:space="preserve">. </w:t>
    </w:r>
    <w:sdt>
      <w:sdtPr>
        <w:rPr>
          <w:rFonts w:eastAsia="Times New Roman"/>
          <w:lang w:eastAsia="cs-CZ"/>
        </w:rPr>
        <w:id w:val="2058362447"/>
        <w:placeholder>
          <w:docPart w:val="3EFB1C714AF54984B67B6E50B74258C5"/>
        </w:placeholder>
        <w:text/>
      </w:sdtPr>
      <w:sdtEndPr/>
      <w:sdtContent>
        <w:r w:rsidR="006A300C" w:rsidRPr="006A300C">
          <w:rPr>
            <w:rFonts w:eastAsia="Times New Roman"/>
            <w:lang w:eastAsia="cs-CZ"/>
          </w:rPr>
          <w:t>USKVBL/2553/2021/POD</w:t>
        </w:r>
      </w:sdtContent>
    </w:sdt>
    <w:r w:rsidRPr="006A300C">
      <w:rPr>
        <w:bCs/>
      </w:rPr>
      <w:t xml:space="preserve">, č.j. </w:t>
    </w:r>
    <w:sdt>
      <w:sdtPr>
        <w:rPr>
          <w:rFonts w:eastAsia="Times New Roman"/>
          <w:lang w:eastAsia="cs-CZ"/>
        </w:rPr>
        <w:id w:val="256413127"/>
        <w:placeholder>
          <w:docPart w:val="3EFB1C714AF54984B67B6E50B74258C5"/>
        </w:placeholder>
        <w:text/>
      </w:sdtPr>
      <w:sdtEndPr/>
      <w:sdtContent>
        <w:r w:rsidR="006A300C" w:rsidRPr="006A300C">
          <w:rPr>
            <w:rFonts w:eastAsia="Times New Roman"/>
            <w:lang w:eastAsia="cs-CZ"/>
          </w:rPr>
          <w:t>USKVBL/8165/2021/REG-</w:t>
        </w:r>
        <w:proofErr w:type="spellStart"/>
        <w:r w:rsidR="006A300C" w:rsidRPr="006A300C">
          <w:rPr>
            <w:rFonts w:eastAsia="Times New Roman"/>
            <w:lang w:eastAsia="cs-CZ"/>
          </w:rPr>
          <w:t>Gro</w:t>
        </w:r>
        <w:proofErr w:type="spellEnd"/>
      </w:sdtContent>
    </w:sdt>
    <w:r w:rsidRPr="006A300C">
      <w:rPr>
        <w:bCs/>
      </w:rPr>
      <w:t xml:space="preserve"> ze dne </w:t>
    </w:r>
    <w:sdt>
      <w:sdtPr>
        <w:rPr>
          <w:bCs/>
        </w:rPr>
        <w:id w:val="1773286175"/>
        <w:placeholder>
          <w:docPart w:val="A55A4343451D4799A22B9F727D2C85F4"/>
        </w:placeholder>
        <w:date w:fullDate="2021-06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A300C" w:rsidRPr="006A300C">
          <w:rPr>
            <w:bCs/>
          </w:rPr>
          <w:t>10.6.2021</w:t>
        </w:r>
      </w:sdtContent>
    </w:sdt>
    <w:r w:rsidRPr="006A300C">
      <w:rPr>
        <w:bCs/>
      </w:rPr>
      <w:t xml:space="preserve"> o </w:t>
    </w:r>
    <w:sdt>
      <w:sdtPr>
        <w:id w:val="-2045283072"/>
        <w:placeholder>
          <w:docPart w:val="D5FCEF2A5F464E0094478DC9DA56EEA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6A300C" w:rsidRPr="006A300C">
          <w:t>prodloužení platnosti rozhodnutí o schválení veterinárního přípravku</w:t>
        </w:r>
      </w:sdtContent>
    </w:sdt>
    <w:r w:rsidRPr="006A300C">
      <w:rPr>
        <w:bCs/>
      </w:rPr>
      <w:t xml:space="preserve"> </w:t>
    </w:r>
    <w:sdt>
      <w:sdtPr>
        <w:id w:val="28773371"/>
        <w:placeholder>
          <w:docPart w:val="A3C0C96435E34E4F80F2A2E5D3A7DB60"/>
        </w:placeholder>
        <w:text/>
      </w:sdtPr>
      <w:sdtEndPr/>
      <w:sdtContent>
        <w:proofErr w:type="spellStart"/>
        <w:r w:rsidR="006A300C" w:rsidRPr="006A300C">
          <w:t>Classical</w:t>
        </w:r>
        <w:proofErr w:type="spellEnd"/>
        <w:r w:rsidR="006A300C" w:rsidRPr="006A300C">
          <w:t xml:space="preserve"> </w:t>
        </w:r>
        <w:proofErr w:type="spellStart"/>
        <w:r w:rsidR="006A300C" w:rsidRPr="006A300C">
          <w:t>Swine</w:t>
        </w:r>
        <w:proofErr w:type="spellEnd"/>
        <w:r w:rsidR="006A300C" w:rsidRPr="006A300C">
          <w:t xml:space="preserve"> </w:t>
        </w:r>
        <w:proofErr w:type="spellStart"/>
        <w:r w:rsidR="006A300C" w:rsidRPr="006A300C">
          <w:t>Fever</w:t>
        </w:r>
        <w:proofErr w:type="spellEnd"/>
        <w:r w:rsidR="006A300C" w:rsidRPr="006A300C">
          <w:t xml:space="preserve"> Virus Antigen Test </w:t>
        </w:r>
        <w:proofErr w:type="spellStart"/>
        <w:r w:rsidR="006A300C" w:rsidRPr="006A300C">
          <w:t>Kits</w:t>
        </w:r>
        <w:proofErr w:type="spellEnd"/>
        <w:r w:rsidR="006A300C" w:rsidRPr="006A300C">
          <w:t xml:space="preserve"> (CSFV) </w:t>
        </w:r>
        <w:proofErr w:type="spellStart"/>
        <w:r w:rsidR="006A300C" w:rsidRPr="006A300C">
          <w:t>Serum</w:t>
        </w:r>
        <w:proofErr w:type="spellEnd"/>
        <w:r w:rsidR="006A300C" w:rsidRPr="006A300C">
          <w:t xml:space="preserve"> Plus</w:t>
        </w:r>
      </w:sdtContent>
    </w:sdt>
  </w:p>
  <w:p w14:paraId="1E969CF7" w14:textId="77777777" w:rsidR="0087423D" w:rsidRDefault="008742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A61C4" w14:textId="77777777" w:rsidR="006A300C" w:rsidRDefault="006A30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55FF5"/>
    <w:multiLevelType w:val="hybridMultilevel"/>
    <w:tmpl w:val="9350D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C54D9"/>
    <w:multiLevelType w:val="hybridMultilevel"/>
    <w:tmpl w:val="1522F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B490A"/>
    <w:multiLevelType w:val="hybridMultilevel"/>
    <w:tmpl w:val="8B18B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AE3"/>
    <w:rsid w:val="00060A52"/>
    <w:rsid w:val="00061425"/>
    <w:rsid w:val="00153AE3"/>
    <w:rsid w:val="00161DDD"/>
    <w:rsid w:val="001C70E7"/>
    <w:rsid w:val="00263F0A"/>
    <w:rsid w:val="00315045"/>
    <w:rsid w:val="003C10BA"/>
    <w:rsid w:val="00501069"/>
    <w:rsid w:val="0063160E"/>
    <w:rsid w:val="00633DD1"/>
    <w:rsid w:val="00697B36"/>
    <w:rsid w:val="006A300C"/>
    <w:rsid w:val="006B3B2C"/>
    <w:rsid w:val="006F1F67"/>
    <w:rsid w:val="00847CCD"/>
    <w:rsid w:val="0087423D"/>
    <w:rsid w:val="008D5256"/>
    <w:rsid w:val="00993EA2"/>
    <w:rsid w:val="009D63F3"/>
    <w:rsid w:val="00A16956"/>
    <w:rsid w:val="00A355CE"/>
    <w:rsid w:val="00A67493"/>
    <w:rsid w:val="00AD5E6D"/>
    <w:rsid w:val="00B07731"/>
    <w:rsid w:val="00BB0234"/>
    <w:rsid w:val="00BB05AC"/>
    <w:rsid w:val="00BF17F4"/>
    <w:rsid w:val="00C02C55"/>
    <w:rsid w:val="00C542E3"/>
    <w:rsid w:val="00C71D32"/>
    <w:rsid w:val="00CB758E"/>
    <w:rsid w:val="00D470FC"/>
    <w:rsid w:val="00DA2387"/>
    <w:rsid w:val="00DC759A"/>
    <w:rsid w:val="00EF4820"/>
    <w:rsid w:val="00F3286F"/>
    <w:rsid w:val="00F443BC"/>
    <w:rsid w:val="00F65A41"/>
    <w:rsid w:val="00FD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7224"/>
  <w15:chartTrackingRefBased/>
  <w15:docId w15:val="{822BF37E-9E17-4CDB-A1C4-016957D1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B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3EA2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7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49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74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423D"/>
  </w:style>
  <w:style w:type="paragraph" w:styleId="Zpat">
    <w:name w:val="footer"/>
    <w:basedOn w:val="Normln"/>
    <w:link w:val="ZpatChar"/>
    <w:uiPriority w:val="99"/>
    <w:unhideWhenUsed/>
    <w:rsid w:val="00874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423D"/>
  </w:style>
  <w:style w:type="character" w:styleId="Zstupntext">
    <w:name w:val="Placeholder Text"/>
    <w:rsid w:val="008742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9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AD125694D14F0B93B790AA344C90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E68927-A696-4342-90EE-F566D55BFB03}"/>
      </w:docPartPr>
      <w:docPartBody>
        <w:p w:rsidR="009E4AAE" w:rsidRDefault="007E09CC" w:rsidP="007E09CC">
          <w:pPr>
            <w:pStyle w:val="01AD125694D14F0B93B790AA344C90C0"/>
          </w:pPr>
          <w:r w:rsidRPr="00DC16CC">
            <w:rPr>
              <w:rStyle w:val="Zstupntext"/>
            </w:rPr>
            <w:t>Klikněte sem a zadejte text.</w:t>
          </w:r>
        </w:p>
      </w:docPartBody>
    </w:docPart>
    <w:docPart>
      <w:docPartPr>
        <w:name w:val="AC7DB1490C9A49578105DE6CE15A38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FD46DC-CB12-41E1-B189-227BA4AE1D6A}"/>
      </w:docPartPr>
      <w:docPartBody>
        <w:p w:rsidR="009E4AAE" w:rsidRDefault="007E09CC" w:rsidP="007E09CC">
          <w:pPr>
            <w:pStyle w:val="AC7DB1490C9A49578105DE6CE15A38B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EFB1C714AF54984B67B6E50B74258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72A485-8027-4414-82EA-0F5E7EFC86EC}"/>
      </w:docPartPr>
      <w:docPartBody>
        <w:p w:rsidR="009E4AAE" w:rsidRDefault="007E09CC" w:rsidP="007E09CC">
          <w:pPr>
            <w:pStyle w:val="3EFB1C714AF54984B67B6E50B74258C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55A4343451D4799A22B9F727D2C85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51FAD4-19DD-4061-A2B2-E298DE89EB2D}"/>
      </w:docPartPr>
      <w:docPartBody>
        <w:p w:rsidR="009E4AAE" w:rsidRDefault="007E09CC" w:rsidP="007E09CC">
          <w:pPr>
            <w:pStyle w:val="A55A4343451D4799A22B9F727D2C85F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5FCEF2A5F464E0094478DC9DA56EE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3FDA1B-5CB8-4B2F-9602-AB70FDB5C560}"/>
      </w:docPartPr>
      <w:docPartBody>
        <w:p w:rsidR="009E4AAE" w:rsidRDefault="007E09CC" w:rsidP="007E09CC">
          <w:pPr>
            <w:pStyle w:val="D5FCEF2A5F464E0094478DC9DA56EEA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3C0C96435E34E4F80F2A2E5D3A7DB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58A1F-82D8-4F9A-A6A5-C02B0E2B7438}"/>
      </w:docPartPr>
      <w:docPartBody>
        <w:p w:rsidR="009E4AAE" w:rsidRDefault="007E09CC" w:rsidP="007E09CC">
          <w:pPr>
            <w:pStyle w:val="A3C0C96435E34E4F80F2A2E5D3A7DB6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9CC"/>
    <w:rsid w:val="00106E6C"/>
    <w:rsid w:val="0013225A"/>
    <w:rsid w:val="00211AAE"/>
    <w:rsid w:val="002D5C28"/>
    <w:rsid w:val="007E09CC"/>
    <w:rsid w:val="00891DE6"/>
    <w:rsid w:val="009E4AAE"/>
    <w:rsid w:val="00E2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E09CC"/>
    <w:rPr>
      <w:color w:val="808080"/>
    </w:rPr>
  </w:style>
  <w:style w:type="paragraph" w:customStyle="1" w:styleId="56879DB1FBF74846B6BF85D98520FD5E">
    <w:name w:val="56879DB1FBF74846B6BF85D98520FD5E"/>
    <w:rsid w:val="007E09CC"/>
  </w:style>
  <w:style w:type="paragraph" w:customStyle="1" w:styleId="01AD125694D14F0B93B790AA344C90C0">
    <w:name w:val="01AD125694D14F0B93B790AA344C90C0"/>
    <w:rsid w:val="007E09CC"/>
  </w:style>
  <w:style w:type="paragraph" w:customStyle="1" w:styleId="AC7DB1490C9A49578105DE6CE15A38BC">
    <w:name w:val="AC7DB1490C9A49578105DE6CE15A38BC"/>
    <w:rsid w:val="007E09CC"/>
  </w:style>
  <w:style w:type="paragraph" w:customStyle="1" w:styleId="3EFB1C714AF54984B67B6E50B74258C5">
    <w:name w:val="3EFB1C714AF54984B67B6E50B74258C5"/>
    <w:rsid w:val="007E09CC"/>
  </w:style>
  <w:style w:type="paragraph" w:customStyle="1" w:styleId="A55A4343451D4799A22B9F727D2C85F4">
    <w:name w:val="A55A4343451D4799A22B9F727D2C85F4"/>
    <w:rsid w:val="007E09CC"/>
  </w:style>
  <w:style w:type="paragraph" w:customStyle="1" w:styleId="D5FCEF2A5F464E0094478DC9DA56EEAC">
    <w:name w:val="D5FCEF2A5F464E0094478DC9DA56EEAC"/>
    <w:rsid w:val="007E09CC"/>
  </w:style>
  <w:style w:type="paragraph" w:customStyle="1" w:styleId="A3C0C96435E34E4F80F2A2E5D3A7DB60">
    <w:name w:val="A3C0C96435E34E4F80F2A2E5D3A7DB60"/>
    <w:rsid w:val="007E09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1B239-3A37-4029-806D-58C78F86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1876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Nekvapilová Alena</dc:creator>
  <cp:keywords/>
  <dc:description/>
  <cp:lastModifiedBy>Morávková Věra</cp:lastModifiedBy>
  <cp:revision>10</cp:revision>
  <dcterms:created xsi:type="dcterms:W3CDTF">2021-06-03T11:32:00Z</dcterms:created>
  <dcterms:modified xsi:type="dcterms:W3CDTF">2021-06-16T08:04:00Z</dcterms:modified>
</cp:coreProperties>
</file>