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5C094" w14:textId="77777777" w:rsidR="00A928F9" w:rsidRPr="000F41EF" w:rsidRDefault="007B4FB5">
      <w:pPr>
        <w:rPr>
          <w:b/>
          <w:sz w:val="24"/>
          <w:szCs w:val="24"/>
          <w:u w:val="single"/>
        </w:rPr>
      </w:pPr>
      <w:r w:rsidRPr="000F41EF">
        <w:rPr>
          <w:b/>
          <w:sz w:val="24"/>
          <w:szCs w:val="24"/>
          <w:u w:val="single"/>
        </w:rPr>
        <w:t xml:space="preserve">Testovací souprava k prokázání protilátek proti viru </w:t>
      </w:r>
      <w:proofErr w:type="spellStart"/>
      <w:r w:rsidRPr="000F41EF">
        <w:rPr>
          <w:b/>
          <w:sz w:val="24"/>
          <w:szCs w:val="24"/>
          <w:u w:val="single"/>
        </w:rPr>
        <w:t>Actinobacillus</w:t>
      </w:r>
      <w:proofErr w:type="spellEnd"/>
      <w:r w:rsidRPr="000F41EF">
        <w:rPr>
          <w:b/>
          <w:sz w:val="24"/>
          <w:szCs w:val="24"/>
          <w:u w:val="single"/>
        </w:rPr>
        <w:t xml:space="preserve"> </w:t>
      </w:r>
      <w:proofErr w:type="spellStart"/>
      <w:r w:rsidR="000728D6">
        <w:rPr>
          <w:b/>
          <w:sz w:val="24"/>
          <w:szCs w:val="24"/>
          <w:u w:val="single"/>
        </w:rPr>
        <w:t>p</w:t>
      </w:r>
      <w:r w:rsidRPr="000F41EF">
        <w:rPr>
          <w:b/>
          <w:sz w:val="24"/>
          <w:szCs w:val="24"/>
          <w:u w:val="single"/>
        </w:rPr>
        <w:t>leuropneumoniae</w:t>
      </w:r>
      <w:proofErr w:type="spellEnd"/>
    </w:p>
    <w:p w14:paraId="1F999627" w14:textId="77777777" w:rsidR="007B4FB5" w:rsidRPr="007B4FB5" w:rsidRDefault="007B4FB5">
      <w:pPr>
        <w:rPr>
          <w:sz w:val="24"/>
          <w:szCs w:val="24"/>
        </w:rPr>
      </w:pPr>
      <w:r w:rsidRPr="007B4FB5">
        <w:rPr>
          <w:sz w:val="24"/>
          <w:szCs w:val="24"/>
        </w:rPr>
        <w:t>Pouze pro veterinární užití</w:t>
      </w:r>
    </w:p>
    <w:p w14:paraId="62222C55" w14:textId="77777777" w:rsidR="007B4FB5" w:rsidRPr="000F41EF" w:rsidRDefault="007B4FB5">
      <w:pPr>
        <w:rPr>
          <w:b/>
          <w:sz w:val="24"/>
          <w:szCs w:val="24"/>
          <w:u w:val="single"/>
        </w:rPr>
      </w:pPr>
      <w:r w:rsidRPr="000F41EF">
        <w:rPr>
          <w:b/>
          <w:sz w:val="24"/>
          <w:szCs w:val="24"/>
          <w:u w:val="single"/>
        </w:rPr>
        <w:t>Název a zamýšlené použití</w:t>
      </w:r>
    </w:p>
    <w:p w14:paraId="540BB4BC" w14:textId="77777777" w:rsidR="007B4FB5" w:rsidRDefault="007B4FB5" w:rsidP="00895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Souprava </w:t>
      </w:r>
      <w:r w:rsidRPr="007B4FB5">
        <w:rPr>
          <w:sz w:val="24"/>
          <w:szCs w:val="24"/>
        </w:rPr>
        <w:t>IDEXX APP-</w:t>
      </w:r>
      <w:proofErr w:type="spellStart"/>
      <w:r w:rsidRPr="007B4FB5">
        <w:rPr>
          <w:sz w:val="24"/>
          <w:szCs w:val="24"/>
        </w:rPr>
        <w:t>ApxIV</w:t>
      </w:r>
      <w:proofErr w:type="spellEnd"/>
      <w:r w:rsidRPr="007B4FB5">
        <w:rPr>
          <w:sz w:val="24"/>
          <w:szCs w:val="24"/>
        </w:rPr>
        <w:t xml:space="preserve"> ELISA</w:t>
      </w:r>
      <w:r>
        <w:rPr>
          <w:sz w:val="24"/>
          <w:szCs w:val="24"/>
        </w:rPr>
        <w:t xml:space="preserve"> nabízí rychlou, jednoduchou a specifickou metodu stanovení protilátek proti </w:t>
      </w:r>
      <w:proofErr w:type="spellStart"/>
      <w:r w:rsidRPr="008957AC">
        <w:rPr>
          <w:i/>
          <w:sz w:val="24"/>
          <w:szCs w:val="24"/>
        </w:rPr>
        <w:t>Actinobacillus</w:t>
      </w:r>
      <w:proofErr w:type="spellEnd"/>
      <w:r w:rsidRPr="008957AC">
        <w:rPr>
          <w:i/>
          <w:sz w:val="24"/>
          <w:szCs w:val="24"/>
        </w:rPr>
        <w:t xml:space="preserve"> </w:t>
      </w:r>
      <w:proofErr w:type="spellStart"/>
      <w:r w:rsidRPr="008957AC">
        <w:rPr>
          <w:i/>
          <w:sz w:val="24"/>
          <w:szCs w:val="24"/>
        </w:rPr>
        <w:t>pleuropneumoniae</w:t>
      </w:r>
      <w:proofErr w:type="spellEnd"/>
      <w:r>
        <w:rPr>
          <w:sz w:val="24"/>
          <w:szCs w:val="24"/>
        </w:rPr>
        <w:t xml:space="preserve"> (APP), patogenu způsobujícímu prasečí pleuropneumonii, v séru a plazmě prasat nezávisle na sérotypu APP. Umožňuje odlišit očkovaná (negativní výsledek testu) od infikovaných (pozitivní výsledek testu) zvířat. </w:t>
      </w:r>
    </w:p>
    <w:p w14:paraId="602173CD" w14:textId="77777777" w:rsidR="008023BB" w:rsidRPr="000F41EF" w:rsidRDefault="008023BB" w:rsidP="008957AC">
      <w:pPr>
        <w:jc w:val="both"/>
        <w:rPr>
          <w:b/>
          <w:sz w:val="24"/>
          <w:szCs w:val="24"/>
          <w:u w:val="single"/>
        </w:rPr>
      </w:pPr>
      <w:r w:rsidRPr="000F41EF">
        <w:rPr>
          <w:b/>
          <w:sz w:val="24"/>
          <w:szCs w:val="24"/>
          <w:u w:val="single"/>
        </w:rPr>
        <w:t xml:space="preserve">Popis a </w:t>
      </w:r>
      <w:r w:rsidR="000F41EF" w:rsidRPr="000F41EF">
        <w:rPr>
          <w:b/>
          <w:sz w:val="24"/>
          <w:szCs w:val="24"/>
          <w:u w:val="single"/>
        </w:rPr>
        <w:t>principy</w:t>
      </w:r>
    </w:p>
    <w:p w14:paraId="7E6461B3" w14:textId="222941E7" w:rsidR="008023BB" w:rsidRDefault="008023BB" w:rsidP="008957A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Mikrotitrační</w:t>
      </w:r>
      <w:proofErr w:type="spellEnd"/>
      <w:r>
        <w:rPr>
          <w:sz w:val="24"/>
          <w:szCs w:val="24"/>
        </w:rPr>
        <w:t xml:space="preserve"> destičky jsou dodávány potažené rekombinantním bakteriálním antigenem </w:t>
      </w:r>
      <w:proofErr w:type="spellStart"/>
      <w:r>
        <w:rPr>
          <w:sz w:val="24"/>
          <w:szCs w:val="24"/>
        </w:rPr>
        <w:t>ApxIV</w:t>
      </w:r>
      <w:proofErr w:type="spellEnd"/>
      <w:r>
        <w:rPr>
          <w:sz w:val="24"/>
          <w:szCs w:val="24"/>
        </w:rPr>
        <w:t xml:space="preserve">. Zředěné vzorky k testování jsou inkubovány v jamkách těchto destiček. Protilátky specifické pro </w:t>
      </w:r>
      <w:proofErr w:type="spellStart"/>
      <w:r>
        <w:rPr>
          <w:sz w:val="24"/>
          <w:szCs w:val="24"/>
        </w:rPr>
        <w:t>ApxIV</w:t>
      </w:r>
      <w:proofErr w:type="spellEnd"/>
      <w:r>
        <w:rPr>
          <w:sz w:val="24"/>
          <w:szCs w:val="24"/>
        </w:rPr>
        <w:t xml:space="preserve"> se zde navážou na antigen a vytvoří komplex antigen/protilátka na povrchu jamek destičky. Nenavázaný materiál se odstraní vymytím. </w:t>
      </w:r>
      <w:r w:rsidR="00365950">
        <w:rPr>
          <w:sz w:val="24"/>
          <w:szCs w:val="24"/>
        </w:rPr>
        <w:t>Následně je přidán peroxidázou značený konjugát anti-prasečí-</w:t>
      </w:r>
      <w:proofErr w:type="spellStart"/>
      <w:r w:rsidR="00365950">
        <w:rPr>
          <w:sz w:val="24"/>
          <w:szCs w:val="24"/>
        </w:rPr>
        <w:t>IgG</w:t>
      </w:r>
      <w:proofErr w:type="spellEnd"/>
      <w:r w:rsidR="00365950">
        <w:rPr>
          <w:sz w:val="24"/>
          <w:szCs w:val="24"/>
        </w:rPr>
        <w:t>, který se váže na prasečí protilátky</w:t>
      </w:r>
      <w:r w:rsidR="008957AC">
        <w:rPr>
          <w:sz w:val="24"/>
          <w:szCs w:val="24"/>
        </w:rPr>
        <w:t xml:space="preserve"> </w:t>
      </w:r>
      <w:proofErr w:type="spellStart"/>
      <w:r w:rsidR="00365950">
        <w:rPr>
          <w:sz w:val="24"/>
          <w:szCs w:val="24"/>
        </w:rPr>
        <w:t>komplexované</w:t>
      </w:r>
      <w:proofErr w:type="spellEnd"/>
      <w:r w:rsidR="00365950">
        <w:rPr>
          <w:sz w:val="24"/>
          <w:szCs w:val="24"/>
        </w:rPr>
        <w:t xml:space="preserve"> antigenem </w:t>
      </w:r>
      <w:proofErr w:type="spellStart"/>
      <w:r w:rsidR="00365950">
        <w:rPr>
          <w:sz w:val="24"/>
          <w:szCs w:val="24"/>
        </w:rPr>
        <w:t>ApxIV</w:t>
      </w:r>
      <w:proofErr w:type="spellEnd"/>
      <w:r w:rsidR="00365950">
        <w:rPr>
          <w:sz w:val="24"/>
          <w:szCs w:val="24"/>
        </w:rPr>
        <w:t xml:space="preserve">. Po vymytí nenavázaného konjugátu se přidává do jamek TMB substrát. Následně vyvinuté zabarvení (optická hustota měřena při 450 </w:t>
      </w:r>
      <w:proofErr w:type="spellStart"/>
      <w:r w:rsidR="00365950">
        <w:rPr>
          <w:sz w:val="24"/>
          <w:szCs w:val="24"/>
        </w:rPr>
        <w:t>nm</w:t>
      </w:r>
      <w:proofErr w:type="spellEnd"/>
      <w:r w:rsidR="00365950">
        <w:rPr>
          <w:sz w:val="24"/>
          <w:szCs w:val="24"/>
        </w:rPr>
        <w:t xml:space="preserve">) je přímo úměrné množství </w:t>
      </w:r>
      <w:proofErr w:type="spellStart"/>
      <w:r w:rsidR="00365950">
        <w:rPr>
          <w:sz w:val="24"/>
          <w:szCs w:val="24"/>
        </w:rPr>
        <w:t>ApxIV</w:t>
      </w:r>
      <w:proofErr w:type="spellEnd"/>
      <w:r w:rsidR="00365950">
        <w:rPr>
          <w:sz w:val="24"/>
          <w:szCs w:val="24"/>
        </w:rPr>
        <w:t xml:space="preserve"> specifických protilátek ve vzorku. Výsledek je získán srovnáním optické hustoty (OH) vzorků s OH </w:t>
      </w:r>
      <w:r w:rsidR="000F41EF">
        <w:rPr>
          <w:sz w:val="24"/>
          <w:szCs w:val="24"/>
        </w:rPr>
        <w:t xml:space="preserve">pozitivního kontrolního vzorku. </w:t>
      </w:r>
      <w:r w:rsidR="00365950">
        <w:rPr>
          <w:sz w:val="24"/>
          <w:szCs w:val="24"/>
        </w:rPr>
        <w:t xml:space="preserve"> </w:t>
      </w:r>
    </w:p>
    <w:p w14:paraId="6C05153F" w14:textId="77777777" w:rsidR="000F41EF" w:rsidRPr="000F41EF" w:rsidRDefault="000F41EF" w:rsidP="000F41EF">
      <w:p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Reagencie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Pr="000F41EF">
        <w:rPr>
          <w:rFonts w:cs="Arial"/>
          <w:b/>
          <w:sz w:val="24"/>
          <w:szCs w:val="24"/>
        </w:rPr>
        <w:t>Objem</w:t>
      </w:r>
    </w:p>
    <w:p w14:paraId="1A0D1098" w14:textId="77777777" w:rsidR="000F41EF" w:rsidRPr="000F41EF" w:rsidRDefault="000F41EF" w:rsidP="000F41EF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1559"/>
      </w:tblGrid>
      <w:tr w:rsidR="000F41EF" w:rsidRPr="000F41EF" w14:paraId="1C62E84E" w14:textId="77777777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50B1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55FD" w14:textId="77777777" w:rsidR="000F41EF" w:rsidRPr="000F41EF" w:rsidRDefault="000F41EF" w:rsidP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 xml:space="preserve">Destička potažená antigenem APP </w:t>
            </w:r>
            <w:proofErr w:type="spellStart"/>
            <w:r w:rsidRPr="000F41EF">
              <w:rPr>
                <w:rFonts w:asciiTheme="minorHAnsi" w:hAnsiTheme="minorHAnsi" w:cs="Arial"/>
                <w:sz w:val="24"/>
                <w:szCs w:val="24"/>
              </w:rPr>
              <w:t>ApxIV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B3E3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</w:tr>
      <w:tr w:rsidR="000F41EF" w:rsidRPr="000F41EF" w14:paraId="41358C23" w14:textId="77777777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ADD6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B8BD" w14:textId="77777777"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Pozitivní kontrolní vzorek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2E3C" w14:textId="77777777" w:rsidR="000F41EF" w:rsidRPr="000F41EF" w:rsidRDefault="000F41EF" w:rsidP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0,9 ml</w:t>
            </w:r>
          </w:p>
        </w:tc>
      </w:tr>
      <w:tr w:rsidR="000F41EF" w:rsidRPr="000F41EF" w14:paraId="3258B265" w14:textId="77777777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FA79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D30A" w14:textId="77777777"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Negativní kontrolní vzorek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13BB" w14:textId="77777777" w:rsidR="000F41EF" w:rsidRPr="000F41EF" w:rsidRDefault="000F41EF" w:rsidP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0,9 ml</w:t>
            </w:r>
          </w:p>
        </w:tc>
      </w:tr>
      <w:tr w:rsidR="000F41EF" w:rsidRPr="000F41EF" w14:paraId="33A36BFB" w14:textId="77777777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8EC8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24A12" w14:textId="77777777"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Konjugát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9651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60 ml</w:t>
            </w:r>
          </w:p>
        </w:tc>
      </w:tr>
      <w:tr w:rsidR="000F41EF" w:rsidRPr="000F41EF" w14:paraId="31B8ADF1" w14:textId="77777777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4BC2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2791" w14:textId="77777777"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Roztok na ředění vzorků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DA91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100 ml</w:t>
            </w:r>
          </w:p>
        </w:tc>
      </w:tr>
      <w:tr w:rsidR="000F41EF" w:rsidRPr="000F41EF" w14:paraId="04798B70" w14:textId="77777777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B20C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3261" w14:textId="77777777"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TMB substrát č.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79AC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60 ml</w:t>
            </w:r>
          </w:p>
        </w:tc>
      </w:tr>
      <w:tr w:rsidR="000F41EF" w:rsidRPr="000F41EF" w14:paraId="639C8FC0" w14:textId="77777777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F3E5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7879" w14:textId="77777777"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Zastavovací roztok č.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A375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60 ml</w:t>
            </w:r>
          </w:p>
        </w:tc>
      </w:tr>
      <w:tr w:rsidR="000F41EF" w:rsidRPr="000F41EF" w14:paraId="3B743850" w14:textId="77777777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A733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F8F7" w14:textId="77777777"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Promývací koncentrát (10x)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E05D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 x 480 ml</w:t>
            </w:r>
          </w:p>
        </w:tc>
      </w:tr>
      <w:tr w:rsidR="000F41EF" w:rsidRPr="000F41EF" w14:paraId="01609E98" w14:textId="77777777" w:rsidTr="000F41E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1785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4DF0" w14:textId="77777777" w:rsidR="000F41EF" w:rsidRPr="000F41EF" w:rsidRDefault="000F41EF">
            <w:pPr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b/>
                <w:sz w:val="24"/>
                <w:szCs w:val="24"/>
              </w:rPr>
              <w:t>Ostatní komponenty</w:t>
            </w:r>
            <w:r w:rsidRPr="000F41EF">
              <w:rPr>
                <w:rFonts w:asciiTheme="minorHAnsi" w:hAnsiTheme="minorHAnsi" w:cs="Arial"/>
                <w:sz w:val="24"/>
                <w:szCs w:val="24"/>
              </w:rPr>
              <w:t>: sáček se zipovým uzávěrem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D83" w14:textId="77777777" w:rsidR="000F41EF" w:rsidRPr="000F41EF" w:rsidRDefault="000F41EF">
            <w:pPr>
              <w:jc w:val="center"/>
              <w:rPr>
                <w:rFonts w:asciiTheme="minorHAnsi" w:hAnsiTheme="minorHAnsi" w:cs="Arial"/>
                <w:sz w:val="24"/>
                <w:szCs w:val="24"/>
                <w:lang w:eastAsia="en-US"/>
              </w:rPr>
            </w:pPr>
            <w:r w:rsidRPr="000F41EF">
              <w:rPr>
                <w:rFonts w:asciiTheme="minorHAnsi" w:hAnsiTheme="minorHAnsi" w:cs="Arial"/>
                <w:sz w:val="24"/>
                <w:szCs w:val="24"/>
              </w:rPr>
              <w:t>1</w:t>
            </w:r>
          </w:p>
        </w:tc>
      </w:tr>
    </w:tbl>
    <w:p w14:paraId="72B0E2F1" w14:textId="77777777" w:rsidR="000F41EF" w:rsidRDefault="000F41EF" w:rsidP="000F41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FF1A76" w14:textId="5FFFF333" w:rsidR="000F41EF" w:rsidRPr="000F41EF" w:rsidRDefault="000F41EF" w:rsidP="000F41EF">
      <w:pPr>
        <w:rPr>
          <w:sz w:val="24"/>
          <w:szCs w:val="24"/>
        </w:rPr>
      </w:pPr>
      <w:r w:rsidRPr="000F41EF">
        <w:rPr>
          <w:sz w:val="24"/>
          <w:szCs w:val="24"/>
        </w:rPr>
        <w:t xml:space="preserve">Poznámka: Popis mezinárodních symbolů používaných na štítcích této soupravy najdete v tabulce na konci </w:t>
      </w:r>
      <w:r w:rsidR="002F4B81">
        <w:rPr>
          <w:sz w:val="24"/>
          <w:szCs w:val="24"/>
        </w:rPr>
        <w:t xml:space="preserve">příbalové </w:t>
      </w:r>
      <w:r w:rsidR="00A72483">
        <w:rPr>
          <w:sz w:val="24"/>
          <w:szCs w:val="24"/>
        </w:rPr>
        <w:t>informace</w:t>
      </w:r>
      <w:r w:rsidRPr="000F41EF">
        <w:rPr>
          <w:sz w:val="24"/>
          <w:szCs w:val="24"/>
        </w:rPr>
        <w:t>.</w:t>
      </w:r>
    </w:p>
    <w:p w14:paraId="03A6D6E5" w14:textId="5B0B523C" w:rsidR="000F41EF" w:rsidRPr="000F41EF" w:rsidRDefault="00303E1C" w:rsidP="000F41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Skladování</w:t>
      </w:r>
    </w:p>
    <w:p w14:paraId="328EC13F" w14:textId="5C5EA90D" w:rsidR="000F41EF" w:rsidRDefault="000F41EF" w:rsidP="000F41EF">
      <w:pPr>
        <w:rPr>
          <w:sz w:val="24"/>
          <w:szCs w:val="24"/>
        </w:rPr>
      </w:pPr>
      <w:r w:rsidRPr="000F41EF">
        <w:rPr>
          <w:sz w:val="24"/>
          <w:szCs w:val="24"/>
        </w:rPr>
        <w:t>Reagencie uchovávejte při teplotě 2–8 °C. Reagencie jsou za předpokladu řádného skladování stabilní do data exspirace.</w:t>
      </w:r>
    </w:p>
    <w:p w14:paraId="36884F16" w14:textId="264EC008" w:rsidR="00303E1C" w:rsidRDefault="00303E1C" w:rsidP="000F41EF">
      <w:pPr>
        <w:rPr>
          <w:sz w:val="24"/>
          <w:szCs w:val="24"/>
        </w:rPr>
      </w:pPr>
    </w:p>
    <w:p w14:paraId="3629BFDC" w14:textId="77777777" w:rsidR="00303E1C" w:rsidRPr="000F41EF" w:rsidRDefault="00303E1C" w:rsidP="000F41EF">
      <w:pPr>
        <w:rPr>
          <w:sz w:val="24"/>
          <w:szCs w:val="24"/>
        </w:rPr>
      </w:pPr>
    </w:p>
    <w:p w14:paraId="52FEC836" w14:textId="7AB2234D" w:rsidR="000F41EF" w:rsidRPr="00303E1C" w:rsidRDefault="000F41EF" w:rsidP="000F41EF">
      <w:pPr>
        <w:rPr>
          <w:b/>
          <w:sz w:val="24"/>
          <w:szCs w:val="24"/>
          <w:u w:val="single"/>
        </w:rPr>
      </w:pPr>
      <w:r w:rsidRPr="000F41EF">
        <w:rPr>
          <w:b/>
          <w:sz w:val="24"/>
          <w:szCs w:val="24"/>
          <w:u w:val="single"/>
        </w:rPr>
        <w:t>Potřebné materiály, které nejsou součástí soupravy</w:t>
      </w:r>
    </w:p>
    <w:p w14:paraId="1353AD17" w14:textId="0B1A9089"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="00303E1C">
        <w:rPr>
          <w:sz w:val="24"/>
          <w:szCs w:val="24"/>
        </w:rPr>
        <w:t>p</w:t>
      </w:r>
      <w:r w:rsidRPr="000F41EF">
        <w:rPr>
          <w:sz w:val="24"/>
          <w:szCs w:val="24"/>
        </w:rPr>
        <w:t xml:space="preserve">řesné pipety nebo přístroje na současné pipetování více dávek </w:t>
      </w:r>
    </w:p>
    <w:p w14:paraId="0C240D4C" w14:textId="77777777"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0F41EF">
        <w:rPr>
          <w:sz w:val="24"/>
          <w:szCs w:val="24"/>
        </w:rPr>
        <w:t xml:space="preserve">jednorázové </w:t>
      </w:r>
      <w:proofErr w:type="spellStart"/>
      <w:r w:rsidRPr="000F41EF">
        <w:rPr>
          <w:sz w:val="24"/>
          <w:szCs w:val="24"/>
        </w:rPr>
        <w:t>pipetovací</w:t>
      </w:r>
      <w:proofErr w:type="spellEnd"/>
      <w:r w:rsidRPr="000F41EF">
        <w:rPr>
          <w:sz w:val="24"/>
          <w:szCs w:val="24"/>
        </w:rPr>
        <w:t xml:space="preserve"> špičky </w:t>
      </w:r>
    </w:p>
    <w:p w14:paraId="5E1ECA17" w14:textId="77777777"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0F41EF">
        <w:rPr>
          <w:sz w:val="24"/>
          <w:szCs w:val="24"/>
        </w:rPr>
        <w:t>odměrný válec na promývací roztok opatřený stupnicí</w:t>
      </w:r>
    </w:p>
    <w:p w14:paraId="5E3BB802" w14:textId="46886B83"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 w:rsidRPr="000F41EF">
        <w:rPr>
          <w:sz w:val="24"/>
          <w:szCs w:val="24"/>
        </w:rPr>
        <w:t>mikrodestička</w:t>
      </w:r>
      <w:proofErr w:type="spellEnd"/>
      <w:r w:rsidRPr="000F41EF">
        <w:rPr>
          <w:sz w:val="24"/>
          <w:szCs w:val="24"/>
        </w:rPr>
        <w:t xml:space="preserve"> s 96 jamkami (vybavená filtrem s vlnovou délkou 450 </w:t>
      </w:r>
      <w:proofErr w:type="spellStart"/>
      <w:r w:rsidRPr="000F41EF">
        <w:rPr>
          <w:sz w:val="24"/>
          <w:szCs w:val="24"/>
        </w:rPr>
        <w:t>nm</w:t>
      </w:r>
      <w:proofErr w:type="spellEnd"/>
      <w:r w:rsidR="00303E1C">
        <w:rPr>
          <w:sz w:val="24"/>
          <w:szCs w:val="24"/>
        </w:rPr>
        <w:t>)</w:t>
      </w:r>
    </w:p>
    <w:p w14:paraId="340F14E5" w14:textId="77777777"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0F41EF">
        <w:rPr>
          <w:sz w:val="24"/>
          <w:szCs w:val="24"/>
        </w:rPr>
        <w:t xml:space="preserve">mycí zařízení na </w:t>
      </w:r>
      <w:proofErr w:type="spellStart"/>
      <w:r w:rsidRPr="000F41EF">
        <w:rPr>
          <w:sz w:val="24"/>
          <w:szCs w:val="24"/>
        </w:rPr>
        <w:t>mikrodestičku</w:t>
      </w:r>
      <w:proofErr w:type="spellEnd"/>
      <w:r w:rsidRPr="000F41EF">
        <w:rPr>
          <w:sz w:val="24"/>
          <w:szCs w:val="24"/>
        </w:rPr>
        <w:t xml:space="preserve"> (manuální, poloautomatický nebo automatický systém)</w:t>
      </w:r>
    </w:p>
    <w:p w14:paraId="41A16BCF" w14:textId="77777777"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0F41EF">
        <w:rPr>
          <w:sz w:val="24"/>
          <w:szCs w:val="24"/>
        </w:rPr>
        <w:t xml:space="preserve">destilovaná nebo </w:t>
      </w:r>
      <w:proofErr w:type="spellStart"/>
      <w:r w:rsidRPr="000F41EF">
        <w:rPr>
          <w:sz w:val="24"/>
          <w:szCs w:val="24"/>
        </w:rPr>
        <w:t>deionizovaná</w:t>
      </w:r>
      <w:proofErr w:type="spellEnd"/>
      <w:r w:rsidRPr="000F41EF">
        <w:rPr>
          <w:sz w:val="24"/>
          <w:szCs w:val="24"/>
        </w:rPr>
        <w:t xml:space="preserve"> voda pro přípravu reagencií používaných při testu (vždy používejte pouze destilovanou nebo </w:t>
      </w:r>
      <w:proofErr w:type="spellStart"/>
      <w:r w:rsidRPr="000F41EF">
        <w:rPr>
          <w:sz w:val="24"/>
          <w:szCs w:val="24"/>
        </w:rPr>
        <w:t>deionizovanou</w:t>
      </w:r>
      <w:proofErr w:type="spellEnd"/>
      <w:r w:rsidRPr="000F41EF">
        <w:rPr>
          <w:sz w:val="24"/>
          <w:szCs w:val="24"/>
        </w:rPr>
        <w:t xml:space="preserve"> vodu)</w:t>
      </w:r>
    </w:p>
    <w:p w14:paraId="68B1BD23" w14:textId="7A915F25"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>•</w:t>
      </w:r>
      <w:r w:rsidR="00303E1C">
        <w:rPr>
          <w:sz w:val="24"/>
          <w:szCs w:val="24"/>
        </w:rPr>
        <w:t xml:space="preserve"> </w:t>
      </w:r>
      <w:r w:rsidRPr="000F41EF">
        <w:rPr>
          <w:sz w:val="24"/>
          <w:szCs w:val="24"/>
        </w:rPr>
        <w:t xml:space="preserve">kryt </w:t>
      </w:r>
      <w:proofErr w:type="spellStart"/>
      <w:r w:rsidRPr="000F41EF">
        <w:rPr>
          <w:sz w:val="24"/>
          <w:szCs w:val="24"/>
        </w:rPr>
        <w:t>mikrodestičky</w:t>
      </w:r>
      <w:proofErr w:type="spellEnd"/>
      <w:r w:rsidRPr="000F41EF">
        <w:rPr>
          <w:sz w:val="24"/>
          <w:szCs w:val="24"/>
        </w:rPr>
        <w:t xml:space="preserve"> (víko, hliníková fólie nebo lepicí)</w:t>
      </w:r>
    </w:p>
    <w:p w14:paraId="05B1D8DC" w14:textId="108F996D" w:rsid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proofErr w:type="spellStart"/>
      <w:r>
        <w:rPr>
          <w:sz w:val="24"/>
          <w:szCs w:val="24"/>
        </w:rPr>
        <w:t>vortex</w:t>
      </w:r>
      <w:proofErr w:type="spellEnd"/>
      <w:r>
        <w:rPr>
          <w:sz w:val="24"/>
          <w:szCs w:val="24"/>
        </w:rPr>
        <w:t xml:space="preserve"> nebo ekvivalentní třepací zařízení</w:t>
      </w:r>
    </w:p>
    <w:p w14:paraId="231DD26E" w14:textId="00208DB4" w:rsidR="00303E1C" w:rsidRPr="00303E1C" w:rsidRDefault="00303E1C" w:rsidP="00303E1C">
      <w:pPr>
        <w:rPr>
          <w:sz w:val="24"/>
          <w:szCs w:val="24"/>
        </w:rPr>
      </w:pPr>
      <w:r>
        <w:rPr>
          <w:sz w:val="24"/>
          <w:szCs w:val="24"/>
        </w:rPr>
        <w:t xml:space="preserve">• třepačka </w:t>
      </w:r>
      <w:proofErr w:type="spellStart"/>
      <w:r>
        <w:rPr>
          <w:sz w:val="24"/>
          <w:szCs w:val="24"/>
        </w:rPr>
        <w:t>mikrodestiček</w:t>
      </w:r>
      <w:proofErr w:type="spellEnd"/>
    </w:p>
    <w:p w14:paraId="12D92E0A" w14:textId="77777777" w:rsidR="000F41EF" w:rsidRPr="000F41EF" w:rsidRDefault="000F41EF" w:rsidP="000F41EF">
      <w:pPr>
        <w:rPr>
          <w:sz w:val="24"/>
          <w:szCs w:val="24"/>
        </w:rPr>
      </w:pPr>
      <w:r>
        <w:rPr>
          <w:sz w:val="24"/>
          <w:szCs w:val="24"/>
        </w:rPr>
        <w:t xml:space="preserve">• vlhká komora nebo inkubátor, schopný udržet teplotu </w:t>
      </w:r>
      <w:r w:rsidRPr="000F41EF">
        <w:rPr>
          <w:sz w:val="24"/>
          <w:szCs w:val="24"/>
        </w:rPr>
        <w:t>+37°C (±3°C)</w:t>
      </w:r>
    </w:p>
    <w:p w14:paraId="30C7FF5D" w14:textId="77777777" w:rsidR="006E61E6" w:rsidRPr="006E61E6" w:rsidRDefault="006E61E6" w:rsidP="006E61E6">
      <w:pPr>
        <w:rPr>
          <w:b/>
          <w:sz w:val="24"/>
          <w:szCs w:val="24"/>
          <w:u w:val="single"/>
        </w:rPr>
      </w:pPr>
      <w:r w:rsidRPr="006E61E6">
        <w:rPr>
          <w:b/>
          <w:sz w:val="24"/>
          <w:szCs w:val="24"/>
          <w:u w:val="single"/>
        </w:rPr>
        <w:t>Upozornění a varování pro uživatele</w:t>
      </w:r>
    </w:p>
    <w:p w14:paraId="039C6270" w14:textId="77777777"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S veškerým biologickým materiálem nakládejte jako s potenciálně infekčním materiálem.</w:t>
      </w:r>
    </w:p>
    <w:p w14:paraId="21791963" w14:textId="77777777"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Při manipulaci se vzorky a reagenciemi používejte ochranné rukavice / ochranné oblečení / ochranné prostředky na oči nebo obličej.</w:t>
      </w:r>
    </w:p>
    <w:p w14:paraId="3DCFB55E" w14:textId="77777777" w:rsid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Další informace najdete</w:t>
      </w:r>
      <w:r>
        <w:rPr>
          <w:sz w:val="24"/>
          <w:szCs w:val="24"/>
        </w:rPr>
        <w:t xml:space="preserve"> v bezpečnostním listu výrobku.</w:t>
      </w:r>
    </w:p>
    <w:p w14:paraId="646DBF26" w14:textId="77777777"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>• Upozornění a bezpečnostní opatření pro použití reagencií najdete na konci tohoto letáku.</w:t>
      </w:r>
    </w:p>
    <w:p w14:paraId="614AF323" w14:textId="77777777" w:rsidR="006E61E6" w:rsidRPr="006E61E6" w:rsidRDefault="006E61E6" w:rsidP="006E61E6">
      <w:pPr>
        <w:rPr>
          <w:b/>
          <w:sz w:val="24"/>
          <w:szCs w:val="24"/>
          <w:u w:val="single"/>
        </w:rPr>
      </w:pPr>
      <w:r w:rsidRPr="006E61E6">
        <w:rPr>
          <w:b/>
          <w:sz w:val="24"/>
          <w:szCs w:val="24"/>
          <w:u w:val="single"/>
        </w:rPr>
        <w:t>Laboratorní postupy</w:t>
      </w:r>
    </w:p>
    <w:p w14:paraId="135E79DB" w14:textId="77777777"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Pro dosažení optimálních výsledků přesně dodržujte tento protokol. K zachování přesnosti a správnosti je nezbytné pečlivé pipetování, měření času a mytí během postupu.</w:t>
      </w:r>
      <w:r>
        <w:rPr>
          <w:sz w:val="24"/>
          <w:szCs w:val="24"/>
        </w:rPr>
        <w:t xml:space="preserve"> Pro každý vzorek a každý kontrolní vzorek používejte novou špičku pipety.</w:t>
      </w:r>
    </w:p>
    <w:p w14:paraId="2A758EDE" w14:textId="77777777"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 xml:space="preserve">Roztok TMB nevystavujte silnému světlu nebo jakýmkoli oxidačním činidlům. Pro manipulaci s roztokem TMB používejte čisté skleněné nebo plastové nádoby. </w:t>
      </w:r>
    </w:p>
    <w:p w14:paraId="7AF698FC" w14:textId="77777777"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Všechny odpady je třeba před likvidací řádně dekontaminovat. Obsah likvidujte v souladu s místními, regionálními a státními předpisy.</w:t>
      </w:r>
    </w:p>
    <w:p w14:paraId="6158008B" w14:textId="77777777" w:rsidR="006E61E6" w:rsidRPr="006E61E6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</w:t>
      </w:r>
      <w:r w:rsidRPr="006E61E6">
        <w:rPr>
          <w:sz w:val="24"/>
          <w:szCs w:val="24"/>
        </w:rPr>
        <w:t>Snažte se zabránit kontaminaci složek soupravy. Nenalévejte nepoužité reagencie zpět do nádob.</w:t>
      </w:r>
    </w:p>
    <w:p w14:paraId="0819BE39" w14:textId="779B6430" w:rsidR="000F41EF" w:rsidRPr="000F41EF" w:rsidRDefault="006E61E6" w:rsidP="006E61E6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 w:rsidRPr="006E61E6">
        <w:rPr>
          <w:sz w:val="24"/>
          <w:szCs w:val="24"/>
        </w:rPr>
        <w:t>Nepoužívejte soupravu po datu exspirace</w:t>
      </w:r>
      <w:r w:rsidR="00303E1C">
        <w:rPr>
          <w:sz w:val="24"/>
          <w:szCs w:val="24"/>
        </w:rPr>
        <w:t>.</w:t>
      </w:r>
    </w:p>
    <w:p w14:paraId="5EA34F7F" w14:textId="77777777" w:rsidR="006E61E6" w:rsidRPr="006E61E6" w:rsidRDefault="006E61E6" w:rsidP="006E61E6">
      <w:pPr>
        <w:rPr>
          <w:b/>
          <w:sz w:val="24"/>
          <w:szCs w:val="24"/>
          <w:u w:val="single"/>
        </w:rPr>
      </w:pPr>
      <w:r w:rsidRPr="006E61E6">
        <w:rPr>
          <w:b/>
          <w:sz w:val="24"/>
          <w:szCs w:val="24"/>
          <w:u w:val="single"/>
        </w:rPr>
        <w:t>Příprava reagencií</w:t>
      </w:r>
    </w:p>
    <w:p w14:paraId="3A2D9D38" w14:textId="14B9B95C" w:rsidR="006E61E6" w:rsidRPr="006E61E6" w:rsidRDefault="00303E1C" w:rsidP="006E61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Promýva</w:t>
      </w:r>
      <w:r w:rsidR="006E61E6" w:rsidRPr="006E61E6">
        <w:rPr>
          <w:b/>
          <w:sz w:val="24"/>
          <w:szCs w:val="24"/>
          <w:u w:val="single"/>
        </w:rPr>
        <w:t>cí roztok</w:t>
      </w:r>
    </w:p>
    <w:p w14:paraId="02F53E45" w14:textId="4E20D458" w:rsidR="007B4FB5" w:rsidRDefault="00303E1C" w:rsidP="006E61E6">
      <w:pPr>
        <w:rPr>
          <w:sz w:val="24"/>
          <w:szCs w:val="24"/>
        </w:rPr>
      </w:pPr>
      <w:r>
        <w:rPr>
          <w:sz w:val="24"/>
          <w:szCs w:val="24"/>
        </w:rPr>
        <w:t>Promýva</w:t>
      </w:r>
      <w:r w:rsidR="006E61E6" w:rsidRPr="006E61E6">
        <w:rPr>
          <w:sz w:val="24"/>
          <w:szCs w:val="24"/>
        </w:rPr>
        <w:t xml:space="preserve">cí koncentrát (10X) je třeba temperovat na 18–26 °C a </w:t>
      </w:r>
      <w:r>
        <w:rPr>
          <w:sz w:val="24"/>
          <w:szCs w:val="24"/>
        </w:rPr>
        <w:t>pro</w:t>
      </w:r>
      <w:r w:rsidR="006E61E6" w:rsidRPr="006E61E6">
        <w:rPr>
          <w:sz w:val="24"/>
          <w:szCs w:val="24"/>
        </w:rPr>
        <w:t xml:space="preserve">míchat, aby se rozpustily všechny sražené soli. </w:t>
      </w:r>
      <w:r>
        <w:rPr>
          <w:sz w:val="24"/>
          <w:szCs w:val="24"/>
        </w:rPr>
        <w:t>Promýva</w:t>
      </w:r>
      <w:r w:rsidR="006E61E6" w:rsidRPr="006E61E6">
        <w:rPr>
          <w:sz w:val="24"/>
          <w:szCs w:val="24"/>
        </w:rPr>
        <w:t>cí koncentrát</w:t>
      </w:r>
      <w:r>
        <w:rPr>
          <w:sz w:val="24"/>
          <w:szCs w:val="24"/>
        </w:rPr>
        <w:t xml:space="preserve"> (10X)</w:t>
      </w:r>
      <w:r w:rsidR="006E61E6" w:rsidRPr="006E61E6">
        <w:rPr>
          <w:sz w:val="24"/>
          <w:szCs w:val="24"/>
        </w:rPr>
        <w:t xml:space="preserve"> je třeba před použitím zředit v poměru 1 ku 10 destilovanou/</w:t>
      </w:r>
      <w:proofErr w:type="spellStart"/>
      <w:r w:rsidR="006E61E6" w:rsidRPr="006E61E6">
        <w:rPr>
          <w:sz w:val="24"/>
          <w:szCs w:val="24"/>
        </w:rPr>
        <w:t>deionizovanou</w:t>
      </w:r>
      <w:proofErr w:type="spellEnd"/>
      <w:r w:rsidR="006E61E6" w:rsidRPr="006E61E6">
        <w:rPr>
          <w:sz w:val="24"/>
          <w:szCs w:val="24"/>
        </w:rPr>
        <w:t xml:space="preserve"> vodou (např. 30 ml koncentrátu plus 270 ml vody na destičku, která se má použít). Je-li </w:t>
      </w:r>
      <w:r>
        <w:rPr>
          <w:sz w:val="24"/>
          <w:szCs w:val="24"/>
        </w:rPr>
        <w:t>promýva</w:t>
      </w:r>
      <w:r w:rsidR="006E61E6" w:rsidRPr="006E61E6">
        <w:rPr>
          <w:sz w:val="24"/>
          <w:szCs w:val="24"/>
        </w:rPr>
        <w:t>cí roztok připraven ve sterilních podmínkách, může se uchovávat při teplotě 2–8 °C po dobu jednoho týdne.</w:t>
      </w:r>
    </w:p>
    <w:p w14:paraId="15629724" w14:textId="1198BF6B" w:rsidR="006E61E6" w:rsidRPr="006E61E6" w:rsidRDefault="006E61E6" w:rsidP="006E61E6">
      <w:pPr>
        <w:rPr>
          <w:b/>
          <w:sz w:val="24"/>
          <w:szCs w:val="24"/>
          <w:u w:val="single"/>
        </w:rPr>
      </w:pPr>
      <w:r w:rsidRPr="006E61E6">
        <w:rPr>
          <w:b/>
          <w:sz w:val="24"/>
          <w:szCs w:val="24"/>
          <w:u w:val="single"/>
        </w:rPr>
        <w:t xml:space="preserve">Příprava vzorků </w:t>
      </w:r>
      <w:r w:rsidR="00D97469">
        <w:rPr>
          <w:b/>
          <w:sz w:val="24"/>
          <w:szCs w:val="24"/>
          <w:u w:val="single"/>
        </w:rPr>
        <w:t>a kontrolních vzorků</w:t>
      </w:r>
    </w:p>
    <w:p w14:paraId="024CEACB" w14:textId="75D81200" w:rsidR="006E61E6" w:rsidRDefault="006E61E6" w:rsidP="006E61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Předřeďte</w:t>
      </w:r>
      <w:proofErr w:type="spellEnd"/>
      <w:r>
        <w:rPr>
          <w:sz w:val="24"/>
          <w:szCs w:val="24"/>
        </w:rPr>
        <w:t xml:space="preserve"> vzorky a kontrolní vzorky ve zkumavkách ředicím roztokem v poměru 1:10 (např. 15 </w:t>
      </w:r>
      <w:proofErr w:type="spellStart"/>
      <w:r w:rsidRPr="006E61E6">
        <w:rPr>
          <w:sz w:val="24"/>
          <w:szCs w:val="24"/>
        </w:rPr>
        <w:t>μL</w:t>
      </w:r>
      <w:proofErr w:type="spellEnd"/>
      <w:r>
        <w:rPr>
          <w:sz w:val="24"/>
          <w:szCs w:val="24"/>
        </w:rPr>
        <w:t xml:space="preserve"> vzorku</w:t>
      </w:r>
      <w:r w:rsidR="00D97469">
        <w:rPr>
          <w:sz w:val="24"/>
          <w:szCs w:val="24"/>
        </w:rPr>
        <w:t xml:space="preserve"> nebo kontrolního vzorku</w:t>
      </w:r>
      <w:r>
        <w:rPr>
          <w:sz w:val="24"/>
          <w:szCs w:val="24"/>
        </w:rPr>
        <w:t xml:space="preserve"> + 135 </w:t>
      </w:r>
      <w:proofErr w:type="spellStart"/>
      <w:r w:rsidRPr="006E61E6">
        <w:rPr>
          <w:sz w:val="24"/>
          <w:szCs w:val="24"/>
        </w:rPr>
        <w:t>μL</w:t>
      </w:r>
      <w:proofErr w:type="spellEnd"/>
      <w:r>
        <w:rPr>
          <w:sz w:val="24"/>
          <w:szCs w:val="24"/>
        </w:rPr>
        <w:t xml:space="preserve"> ředicího roztoku). </w:t>
      </w:r>
    </w:p>
    <w:p w14:paraId="5BD82664" w14:textId="77777777" w:rsidR="00214FEE" w:rsidRPr="00214FEE" w:rsidRDefault="00214FEE" w:rsidP="00214FEE">
      <w:pPr>
        <w:rPr>
          <w:b/>
          <w:sz w:val="24"/>
          <w:szCs w:val="24"/>
          <w:u w:val="single"/>
        </w:rPr>
      </w:pPr>
      <w:r w:rsidRPr="00214FEE">
        <w:rPr>
          <w:b/>
          <w:sz w:val="24"/>
          <w:szCs w:val="24"/>
          <w:u w:val="single"/>
        </w:rPr>
        <w:t>Postup testu</w:t>
      </w:r>
    </w:p>
    <w:p w14:paraId="0E45B076" w14:textId="77777777"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Všechny reagencie je třeba před použitím nechat temperovat na 18–26 °C. Reagencie se míchaj</w:t>
      </w:r>
      <w:r>
        <w:rPr>
          <w:sz w:val="24"/>
          <w:szCs w:val="24"/>
        </w:rPr>
        <w:t>í mírným obracením a kroužením.</w:t>
      </w:r>
    </w:p>
    <w:p w14:paraId="228F5917" w14:textId="77777777"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 xml:space="preserve">1. Připravte potažené destičky a zapište polohu vzorku na pracovním listu. Používáte-li části destiček, vezměte pouze jamky dostatečné pro testované vzorky. Zbývající destičky spolu s vysoušecím prostředkem uložte do sáčku se zipovým uzávěrem obsaženým v soupravě a vraťte </w:t>
      </w:r>
      <w:r>
        <w:rPr>
          <w:sz w:val="24"/>
          <w:szCs w:val="24"/>
        </w:rPr>
        <w:t>do prostředí s teplotou 2–8 °C.</w:t>
      </w:r>
    </w:p>
    <w:p w14:paraId="70598000" w14:textId="5656434B" w:rsidR="00214FEE" w:rsidRDefault="00214FEE" w:rsidP="00214FEE">
      <w:pPr>
        <w:rPr>
          <w:sz w:val="24"/>
          <w:szCs w:val="24"/>
        </w:rPr>
      </w:pPr>
      <w:r>
        <w:rPr>
          <w:sz w:val="24"/>
          <w:szCs w:val="24"/>
        </w:rPr>
        <w:t>2. Do dvou jamek dejte 100</w:t>
      </w:r>
      <w:r w:rsidRPr="00214FEE">
        <w:rPr>
          <w:sz w:val="24"/>
          <w:szCs w:val="24"/>
        </w:rPr>
        <w:t xml:space="preserve"> µl </w:t>
      </w:r>
      <w:r>
        <w:rPr>
          <w:sz w:val="24"/>
          <w:szCs w:val="24"/>
        </w:rPr>
        <w:t>ZŘEDĚNÉHO negativního</w:t>
      </w:r>
      <w:r w:rsidRPr="00214FEE">
        <w:rPr>
          <w:sz w:val="24"/>
          <w:szCs w:val="24"/>
        </w:rPr>
        <w:t xml:space="preserve"> kontrolního vzorku</w:t>
      </w:r>
      <w:r>
        <w:rPr>
          <w:sz w:val="24"/>
          <w:szCs w:val="24"/>
        </w:rPr>
        <w:t xml:space="preserve"> (N</w:t>
      </w:r>
      <w:r w:rsidR="00D97469">
        <w:rPr>
          <w:sz w:val="24"/>
          <w:szCs w:val="24"/>
        </w:rPr>
        <w:t>C</w:t>
      </w:r>
      <w:r>
        <w:rPr>
          <w:sz w:val="24"/>
          <w:szCs w:val="24"/>
        </w:rPr>
        <w:t>).</w:t>
      </w:r>
    </w:p>
    <w:p w14:paraId="34906621" w14:textId="7CA59113" w:rsidR="00214FEE" w:rsidRPr="00214FEE" w:rsidRDefault="00214FEE" w:rsidP="00214FEE">
      <w:pPr>
        <w:rPr>
          <w:sz w:val="24"/>
          <w:szCs w:val="24"/>
        </w:rPr>
      </w:pPr>
      <w:r>
        <w:rPr>
          <w:sz w:val="24"/>
          <w:szCs w:val="24"/>
        </w:rPr>
        <w:t>3. Do dvou jamek dejte 100</w:t>
      </w:r>
      <w:r w:rsidRPr="00214FEE">
        <w:rPr>
          <w:sz w:val="24"/>
          <w:szCs w:val="24"/>
        </w:rPr>
        <w:t xml:space="preserve"> µl </w:t>
      </w:r>
      <w:r>
        <w:rPr>
          <w:sz w:val="24"/>
          <w:szCs w:val="24"/>
        </w:rPr>
        <w:t>ZŘEDĚNÉHO pozitivního</w:t>
      </w:r>
      <w:r w:rsidRPr="00214FEE">
        <w:rPr>
          <w:sz w:val="24"/>
          <w:szCs w:val="24"/>
        </w:rPr>
        <w:t xml:space="preserve"> kontrolního vzorku</w:t>
      </w:r>
      <w:r>
        <w:rPr>
          <w:sz w:val="24"/>
          <w:szCs w:val="24"/>
        </w:rPr>
        <w:t xml:space="preserve"> (P</w:t>
      </w:r>
      <w:r w:rsidR="00D97469">
        <w:rPr>
          <w:sz w:val="24"/>
          <w:szCs w:val="24"/>
        </w:rPr>
        <w:t>C</w:t>
      </w:r>
      <w:r>
        <w:rPr>
          <w:sz w:val="24"/>
          <w:szCs w:val="24"/>
        </w:rPr>
        <w:t>).</w:t>
      </w:r>
    </w:p>
    <w:p w14:paraId="22AAC9A5" w14:textId="77777777" w:rsidR="00214FEE" w:rsidRPr="00214FEE" w:rsidRDefault="00214FEE" w:rsidP="00214FEE">
      <w:pPr>
        <w:rPr>
          <w:sz w:val="24"/>
          <w:szCs w:val="24"/>
        </w:rPr>
      </w:pPr>
      <w:r>
        <w:rPr>
          <w:sz w:val="24"/>
          <w:szCs w:val="24"/>
        </w:rPr>
        <w:t>4. Do příslušných jamek dejte 100</w:t>
      </w:r>
      <w:r w:rsidRPr="00214FEE">
        <w:rPr>
          <w:sz w:val="24"/>
          <w:szCs w:val="24"/>
        </w:rPr>
        <w:t xml:space="preserve"> µl </w:t>
      </w:r>
      <w:r>
        <w:rPr>
          <w:sz w:val="24"/>
          <w:szCs w:val="24"/>
        </w:rPr>
        <w:t xml:space="preserve">ZŘEDĚNÝCH </w:t>
      </w:r>
      <w:r w:rsidRPr="00214FEE">
        <w:rPr>
          <w:sz w:val="24"/>
          <w:szCs w:val="24"/>
        </w:rPr>
        <w:t xml:space="preserve">vzorků. </w:t>
      </w:r>
    </w:p>
    <w:p w14:paraId="0D0687A0" w14:textId="77777777" w:rsidR="00214FEE" w:rsidRPr="00214FEE" w:rsidRDefault="00214FEE" w:rsidP="00214FEE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214FEE">
        <w:rPr>
          <w:sz w:val="24"/>
          <w:szCs w:val="24"/>
        </w:rPr>
        <w:t xml:space="preserve">. </w:t>
      </w:r>
      <w:r>
        <w:rPr>
          <w:sz w:val="24"/>
          <w:szCs w:val="24"/>
        </w:rPr>
        <w:t>Zakryjte destičku a i</w:t>
      </w:r>
      <w:r w:rsidRPr="00214FEE">
        <w:rPr>
          <w:sz w:val="24"/>
          <w:szCs w:val="24"/>
        </w:rPr>
        <w:t xml:space="preserve">nkubujte po dobu </w:t>
      </w:r>
      <w:r>
        <w:rPr>
          <w:sz w:val="24"/>
          <w:szCs w:val="24"/>
        </w:rPr>
        <w:t>60 minut (±5 minut) při 37 °C. D</w:t>
      </w:r>
      <w:r w:rsidRPr="00214FEE">
        <w:rPr>
          <w:sz w:val="24"/>
          <w:szCs w:val="24"/>
        </w:rPr>
        <w:t>estičky</w:t>
      </w:r>
      <w:r>
        <w:rPr>
          <w:sz w:val="24"/>
          <w:szCs w:val="24"/>
        </w:rPr>
        <w:t xml:space="preserve"> musí být</w:t>
      </w:r>
      <w:r w:rsidRPr="00214FEE">
        <w:rPr>
          <w:sz w:val="24"/>
          <w:szCs w:val="24"/>
        </w:rPr>
        <w:t xml:space="preserve"> těsně uzavřeny nebo </w:t>
      </w:r>
      <w:r>
        <w:rPr>
          <w:sz w:val="24"/>
          <w:szCs w:val="24"/>
        </w:rPr>
        <w:t xml:space="preserve">inkubovány ve vlhké komoře </w:t>
      </w:r>
      <w:r w:rsidRPr="00214FEE">
        <w:rPr>
          <w:sz w:val="24"/>
          <w:szCs w:val="24"/>
        </w:rPr>
        <w:t>chráněny kryty destiček, aby se zabránilo jakémukoli odpařování.</w:t>
      </w:r>
    </w:p>
    <w:p w14:paraId="4E8DBFF1" w14:textId="07FF6945" w:rsidR="00214FEE" w:rsidRDefault="00214FEE" w:rsidP="00214FEE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14FEE">
        <w:rPr>
          <w:sz w:val="24"/>
          <w:szCs w:val="24"/>
        </w:rPr>
        <w:t>Vylijte tekutinu z jamek a každou jamku pětkrát vymyjte přibližně 300 µl mycího roztoku.</w:t>
      </w:r>
      <w:r w:rsidR="00D97469" w:rsidRPr="00D97469">
        <w:rPr>
          <w:sz w:val="24"/>
          <w:szCs w:val="24"/>
        </w:rPr>
        <w:t xml:space="preserve"> </w:t>
      </w:r>
      <w:r w:rsidR="00D97469" w:rsidRPr="00214FEE">
        <w:rPr>
          <w:sz w:val="24"/>
          <w:szCs w:val="24"/>
        </w:rPr>
        <w:t>Destička nesmí mezi umýváním a před přidáním příští reagencie vyschnout.</w:t>
      </w:r>
      <w:r w:rsidRPr="00214FEE">
        <w:rPr>
          <w:sz w:val="24"/>
          <w:szCs w:val="24"/>
        </w:rPr>
        <w:t xml:space="preserve"> Po posledním odstranění tekutiny odstraňte zbývající mycí tekutinu z každé destičky poklepáváním na savý materiál. </w:t>
      </w:r>
    </w:p>
    <w:p w14:paraId="2F0970F2" w14:textId="77777777" w:rsidR="0093716C" w:rsidRPr="00110BBD" w:rsidRDefault="0093716C" w:rsidP="00214FEE">
      <w:pPr>
        <w:rPr>
          <w:b/>
          <w:sz w:val="24"/>
          <w:szCs w:val="24"/>
        </w:rPr>
      </w:pPr>
      <w:r w:rsidRPr="00110BBD">
        <w:rPr>
          <w:b/>
          <w:sz w:val="24"/>
          <w:szCs w:val="24"/>
        </w:rPr>
        <w:lastRenderedPageBreak/>
        <w:t xml:space="preserve">Důležité – Doporučené nastavení pro automatické mytí destiček: </w:t>
      </w:r>
    </w:p>
    <w:p w14:paraId="183EB913" w14:textId="77777777" w:rsidR="0093716C" w:rsidRPr="00110BBD" w:rsidRDefault="0093716C" w:rsidP="0093716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0BBD">
        <w:rPr>
          <w:b/>
          <w:sz w:val="24"/>
          <w:szCs w:val="24"/>
        </w:rPr>
        <w:t xml:space="preserve">Dávkujte mycí roztok v přepadové pozici (doporučený průtok 200 </w:t>
      </w:r>
      <w:proofErr w:type="spellStart"/>
      <w:r w:rsidRPr="00110BBD">
        <w:rPr>
          <w:b/>
          <w:sz w:val="24"/>
          <w:szCs w:val="24"/>
        </w:rPr>
        <w:t>μL</w:t>
      </w:r>
      <w:proofErr w:type="spellEnd"/>
      <w:r w:rsidRPr="00110BBD">
        <w:rPr>
          <w:b/>
          <w:sz w:val="24"/>
          <w:szCs w:val="24"/>
        </w:rPr>
        <w:t>/s).</w:t>
      </w:r>
    </w:p>
    <w:p w14:paraId="394EDA7B" w14:textId="77777777" w:rsidR="0093716C" w:rsidRPr="00110BBD" w:rsidRDefault="0093716C" w:rsidP="0093716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0BBD">
        <w:rPr>
          <w:b/>
          <w:sz w:val="24"/>
          <w:szCs w:val="24"/>
        </w:rPr>
        <w:t>Zvolte nízkou rychlost aspirace (doporučeno 5 mm/s) a vysoký stupeň aspirace (3 až 5).</w:t>
      </w:r>
    </w:p>
    <w:p w14:paraId="21206C97" w14:textId="77777777" w:rsidR="0093716C" w:rsidRPr="00110BBD" w:rsidRDefault="00110BBD" w:rsidP="0093716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0BBD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inální pozice aspiračních trnů</w:t>
      </w:r>
      <w:r w:rsidRPr="00110BBD">
        <w:rPr>
          <w:b/>
          <w:sz w:val="24"/>
          <w:szCs w:val="24"/>
        </w:rPr>
        <w:t xml:space="preserve"> by měla být zhruba 1 mm nade dnem jamky.</w:t>
      </w:r>
    </w:p>
    <w:p w14:paraId="73F29067" w14:textId="77777777" w:rsidR="00110BBD" w:rsidRPr="00110BBD" w:rsidRDefault="00110BBD" w:rsidP="0093716C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110BBD">
        <w:rPr>
          <w:b/>
          <w:sz w:val="24"/>
          <w:szCs w:val="24"/>
        </w:rPr>
        <w:t xml:space="preserve">Nepoužívejte spodní mytí ani podobné režimy. </w:t>
      </w:r>
    </w:p>
    <w:p w14:paraId="3B9ABE6C" w14:textId="6C763263" w:rsidR="00214FEE" w:rsidRDefault="00110BBD" w:rsidP="00214FEE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14FEE" w:rsidRPr="00214FEE">
        <w:rPr>
          <w:sz w:val="24"/>
          <w:szCs w:val="24"/>
        </w:rPr>
        <w:t>. Do každ</w:t>
      </w:r>
      <w:r>
        <w:rPr>
          <w:sz w:val="24"/>
          <w:szCs w:val="24"/>
        </w:rPr>
        <w:t>é jamky dejte 100 µl konjugátu.</w:t>
      </w:r>
    </w:p>
    <w:p w14:paraId="0D77F442" w14:textId="0BD5CBC6" w:rsidR="00D97469" w:rsidRDefault="00D97469" w:rsidP="00214F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Důležité – Doporučené nakládání s</w:t>
      </w:r>
      <w:r w:rsidR="008957AC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konjugátem</w:t>
      </w:r>
      <w:r w:rsidR="008957AC">
        <w:rPr>
          <w:b/>
          <w:bCs/>
          <w:sz w:val="24"/>
          <w:szCs w:val="24"/>
        </w:rPr>
        <w:t>:</w:t>
      </w:r>
    </w:p>
    <w:p w14:paraId="233BC893" w14:textId="23D20CF7" w:rsidR="00D97469" w:rsidRDefault="00D97469" w:rsidP="00D9746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Udržujte konjugát chlazený</w:t>
      </w:r>
      <w:r w:rsidR="008957AC">
        <w:rPr>
          <w:b/>
          <w:bCs/>
          <w:sz w:val="24"/>
          <w:szCs w:val="24"/>
        </w:rPr>
        <w:t>.</w:t>
      </w:r>
    </w:p>
    <w:p w14:paraId="199F884F" w14:textId="06649E4E" w:rsidR="00D97469" w:rsidRDefault="00D97469" w:rsidP="00D9746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Vyjměte pouze požadované množství potřebné </w:t>
      </w:r>
      <w:r w:rsidR="00ED391A">
        <w:rPr>
          <w:b/>
          <w:bCs/>
          <w:sz w:val="24"/>
          <w:szCs w:val="24"/>
        </w:rPr>
        <w:t>k</w:t>
      </w:r>
      <w:r w:rsidR="008957AC">
        <w:rPr>
          <w:b/>
          <w:bCs/>
          <w:sz w:val="24"/>
          <w:szCs w:val="24"/>
        </w:rPr>
        <w:t> </w:t>
      </w:r>
      <w:r w:rsidR="00ED391A">
        <w:rPr>
          <w:b/>
          <w:bCs/>
          <w:sz w:val="24"/>
          <w:szCs w:val="24"/>
        </w:rPr>
        <w:t>použití</w:t>
      </w:r>
      <w:r w:rsidR="008957AC">
        <w:rPr>
          <w:b/>
          <w:bCs/>
          <w:sz w:val="24"/>
          <w:szCs w:val="24"/>
        </w:rPr>
        <w:t>.</w:t>
      </w:r>
    </w:p>
    <w:p w14:paraId="05C0FAB0" w14:textId="5D19D0B4" w:rsidR="00ED391A" w:rsidRDefault="00ED391A" w:rsidP="00D9746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Temperujte požadované množství na 18 – 26°C před použitím</w:t>
      </w:r>
      <w:r w:rsidR="008957AC">
        <w:rPr>
          <w:b/>
          <w:bCs/>
          <w:sz w:val="24"/>
          <w:szCs w:val="24"/>
        </w:rPr>
        <w:t>.</w:t>
      </w:r>
    </w:p>
    <w:p w14:paraId="3DF0ABD5" w14:textId="583FA582" w:rsidR="00ED391A" w:rsidRDefault="00ED391A" w:rsidP="00D9746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Abyste zabránili možné kontaminaci, nenalévejte zbylý konjugát zpět do lahvičky</w:t>
      </w:r>
      <w:r w:rsidR="008957AC">
        <w:rPr>
          <w:b/>
          <w:bCs/>
          <w:sz w:val="24"/>
          <w:szCs w:val="24"/>
        </w:rPr>
        <w:t>.</w:t>
      </w:r>
    </w:p>
    <w:p w14:paraId="1BA98566" w14:textId="13357F52" w:rsidR="00ED391A" w:rsidRPr="00D97469" w:rsidRDefault="00ED391A" w:rsidP="00D97469">
      <w:pPr>
        <w:pStyle w:val="Odstavecseseznamem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Konjugát je možné alikvotně rozdělit do čistých nádob s jednotlivými proužky nebo destičkami. Skladujte je a zacházejte s nimi tak, jak bylo zmíněno výše.</w:t>
      </w:r>
    </w:p>
    <w:p w14:paraId="3A880A94" w14:textId="1CBD44DF" w:rsidR="00110BBD" w:rsidRPr="00214FEE" w:rsidRDefault="00110BBD" w:rsidP="00110BBD">
      <w:pPr>
        <w:rPr>
          <w:sz w:val="24"/>
          <w:szCs w:val="24"/>
        </w:rPr>
      </w:pPr>
      <w:r>
        <w:rPr>
          <w:sz w:val="24"/>
          <w:szCs w:val="24"/>
        </w:rPr>
        <w:t>8. Zakryjte destičku a i</w:t>
      </w:r>
      <w:r w:rsidR="00214FEE" w:rsidRPr="00214FEE">
        <w:rPr>
          <w:sz w:val="24"/>
          <w:szCs w:val="24"/>
        </w:rPr>
        <w:t xml:space="preserve">nkubujte po dobu 1 hodiny (±5 minut) při </w:t>
      </w:r>
      <w:r w:rsidRPr="00110BBD">
        <w:rPr>
          <w:sz w:val="24"/>
          <w:szCs w:val="24"/>
        </w:rPr>
        <w:t>+37°C (± 3°C)</w:t>
      </w:r>
      <w:r>
        <w:rPr>
          <w:sz w:val="24"/>
          <w:szCs w:val="24"/>
        </w:rPr>
        <w:t>. D</w:t>
      </w:r>
      <w:r w:rsidRPr="00214FEE">
        <w:rPr>
          <w:sz w:val="24"/>
          <w:szCs w:val="24"/>
        </w:rPr>
        <w:t>estičky</w:t>
      </w:r>
      <w:r>
        <w:rPr>
          <w:sz w:val="24"/>
          <w:szCs w:val="24"/>
        </w:rPr>
        <w:t xml:space="preserve"> musí být</w:t>
      </w:r>
      <w:r w:rsidRPr="00214FEE">
        <w:rPr>
          <w:sz w:val="24"/>
          <w:szCs w:val="24"/>
        </w:rPr>
        <w:t xml:space="preserve"> těsně uzavřeny nebo </w:t>
      </w:r>
      <w:r>
        <w:rPr>
          <w:sz w:val="24"/>
          <w:szCs w:val="24"/>
        </w:rPr>
        <w:t xml:space="preserve">inkubovány ve vlhké komoře </w:t>
      </w:r>
      <w:r w:rsidRPr="00214FEE">
        <w:rPr>
          <w:sz w:val="24"/>
          <w:szCs w:val="24"/>
        </w:rPr>
        <w:t>chráněny kryty destiček, aby se zabránilo jakémukoli odpařování.</w:t>
      </w:r>
    </w:p>
    <w:p w14:paraId="100AA556" w14:textId="77777777" w:rsidR="00214FEE" w:rsidRPr="00214FEE" w:rsidRDefault="00110BBD" w:rsidP="00214FEE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214FEE" w:rsidRPr="00214FEE">
        <w:rPr>
          <w:sz w:val="24"/>
          <w:szCs w:val="24"/>
        </w:rPr>
        <w:t xml:space="preserve">. Opakujte krok </w:t>
      </w:r>
      <w:r>
        <w:rPr>
          <w:sz w:val="24"/>
          <w:szCs w:val="24"/>
        </w:rPr>
        <w:t>6.</w:t>
      </w:r>
    </w:p>
    <w:p w14:paraId="0375985B" w14:textId="77777777"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1</w:t>
      </w:r>
      <w:r w:rsidR="00110BBD">
        <w:rPr>
          <w:sz w:val="24"/>
          <w:szCs w:val="24"/>
        </w:rPr>
        <w:t>0</w:t>
      </w:r>
      <w:r w:rsidRPr="00214FEE">
        <w:rPr>
          <w:sz w:val="24"/>
          <w:szCs w:val="24"/>
        </w:rPr>
        <w:t>. Do každé jamky de</w:t>
      </w:r>
      <w:r w:rsidR="00110BBD">
        <w:rPr>
          <w:sz w:val="24"/>
          <w:szCs w:val="24"/>
        </w:rPr>
        <w:t>jte 100 µl TMB substrátu č. 12.</w:t>
      </w:r>
    </w:p>
    <w:p w14:paraId="516292CE" w14:textId="77777777"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1</w:t>
      </w:r>
      <w:r w:rsidR="00110BBD">
        <w:rPr>
          <w:sz w:val="24"/>
          <w:szCs w:val="24"/>
        </w:rPr>
        <w:t>1</w:t>
      </w:r>
      <w:r w:rsidRPr="00214FEE">
        <w:rPr>
          <w:sz w:val="24"/>
          <w:szCs w:val="24"/>
        </w:rPr>
        <w:t>. Inkubujte mimo dosah přímého světla po dobu 1</w:t>
      </w:r>
      <w:r w:rsidR="00110BBD">
        <w:rPr>
          <w:sz w:val="24"/>
          <w:szCs w:val="24"/>
        </w:rPr>
        <w:t>5</w:t>
      </w:r>
      <w:r w:rsidRPr="00214FEE">
        <w:rPr>
          <w:sz w:val="24"/>
          <w:szCs w:val="24"/>
        </w:rPr>
        <w:t xml:space="preserve"> minut (±1 minuta) při </w:t>
      </w:r>
      <w:r w:rsidR="00110BBD" w:rsidRPr="00110BBD">
        <w:rPr>
          <w:sz w:val="24"/>
          <w:szCs w:val="24"/>
        </w:rPr>
        <w:t>+37°C (± 3°C</w:t>
      </w:r>
      <w:r w:rsidR="00110BBD">
        <w:rPr>
          <w:sz w:val="24"/>
          <w:szCs w:val="24"/>
        </w:rPr>
        <w:t>)</w:t>
      </w:r>
      <w:r w:rsidRPr="00214FEE">
        <w:rPr>
          <w:sz w:val="24"/>
          <w:szCs w:val="24"/>
        </w:rPr>
        <w:t xml:space="preserve">. </w:t>
      </w:r>
    </w:p>
    <w:p w14:paraId="4DA6C812" w14:textId="77777777"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1</w:t>
      </w:r>
      <w:r w:rsidR="00110BBD">
        <w:rPr>
          <w:sz w:val="24"/>
          <w:szCs w:val="24"/>
        </w:rPr>
        <w:t>2</w:t>
      </w:r>
      <w:r w:rsidRPr="00214FEE">
        <w:rPr>
          <w:sz w:val="24"/>
          <w:szCs w:val="24"/>
        </w:rPr>
        <w:t>. Do každé jamky dejte 100 µl zastavovacího roztoku č. 3</w:t>
      </w:r>
      <w:r w:rsidR="00110BBD">
        <w:rPr>
          <w:sz w:val="24"/>
          <w:szCs w:val="24"/>
        </w:rPr>
        <w:t>.</w:t>
      </w:r>
    </w:p>
    <w:p w14:paraId="12562F36" w14:textId="77777777" w:rsidR="00214FEE" w:rsidRP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1</w:t>
      </w:r>
      <w:r w:rsidR="00110BBD">
        <w:rPr>
          <w:sz w:val="24"/>
          <w:szCs w:val="24"/>
        </w:rPr>
        <w:t>3</w:t>
      </w:r>
      <w:r w:rsidRPr="00214FEE">
        <w:rPr>
          <w:sz w:val="24"/>
          <w:szCs w:val="24"/>
        </w:rPr>
        <w:t xml:space="preserve">. Změřte a zaznamenejte </w:t>
      </w:r>
      <w:r w:rsidR="00110BBD">
        <w:rPr>
          <w:sz w:val="24"/>
          <w:szCs w:val="24"/>
        </w:rPr>
        <w:t xml:space="preserve">optickou hustotu </w:t>
      </w:r>
      <w:r w:rsidRPr="00214FEE">
        <w:rPr>
          <w:sz w:val="24"/>
          <w:szCs w:val="24"/>
        </w:rPr>
        <w:t xml:space="preserve">vzorků a </w:t>
      </w:r>
      <w:r w:rsidR="00110BBD">
        <w:rPr>
          <w:sz w:val="24"/>
          <w:szCs w:val="24"/>
        </w:rPr>
        <w:t xml:space="preserve">kontrolních vzorků při 450 </w:t>
      </w:r>
      <w:proofErr w:type="spellStart"/>
      <w:r w:rsidR="00110BBD">
        <w:rPr>
          <w:sz w:val="24"/>
          <w:szCs w:val="24"/>
        </w:rPr>
        <w:t>nm</w:t>
      </w:r>
      <w:proofErr w:type="spellEnd"/>
      <w:r w:rsidR="00110BBD">
        <w:rPr>
          <w:sz w:val="24"/>
          <w:szCs w:val="24"/>
        </w:rPr>
        <w:t>.</w:t>
      </w:r>
    </w:p>
    <w:p w14:paraId="0F5DE7D6" w14:textId="1921C296" w:rsidR="00214FEE" w:rsidRDefault="00214FEE" w:rsidP="00214FEE">
      <w:pPr>
        <w:rPr>
          <w:sz w:val="24"/>
          <w:szCs w:val="24"/>
        </w:rPr>
      </w:pPr>
      <w:r w:rsidRPr="00214FEE">
        <w:rPr>
          <w:sz w:val="24"/>
          <w:szCs w:val="24"/>
        </w:rPr>
        <w:t>1</w:t>
      </w:r>
      <w:r w:rsidR="00110BBD">
        <w:rPr>
          <w:sz w:val="24"/>
          <w:szCs w:val="24"/>
        </w:rPr>
        <w:t>4</w:t>
      </w:r>
      <w:r w:rsidRPr="00214FEE">
        <w:rPr>
          <w:sz w:val="24"/>
          <w:szCs w:val="24"/>
        </w:rPr>
        <w:t xml:space="preserve">. </w:t>
      </w:r>
      <w:r w:rsidR="00110BBD">
        <w:rPr>
          <w:sz w:val="24"/>
          <w:szCs w:val="24"/>
        </w:rPr>
        <w:t>Výpoč</w:t>
      </w:r>
      <w:r w:rsidR="0082300C">
        <w:rPr>
          <w:sz w:val="24"/>
          <w:szCs w:val="24"/>
        </w:rPr>
        <w:t>ty</w:t>
      </w:r>
      <w:r w:rsidR="00110BBD">
        <w:rPr>
          <w:sz w:val="24"/>
          <w:szCs w:val="24"/>
        </w:rPr>
        <w:t>:</w:t>
      </w:r>
      <w:r w:rsidR="002F4B81">
        <w:rPr>
          <w:sz w:val="24"/>
          <w:szCs w:val="24"/>
        </w:rPr>
        <w:t xml:space="preserve"> </w:t>
      </w:r>
    </w:p>
    <w:p w14:paraId="2093BF95" w14:textId="206A59A2" w:rsidR="00110BBD" w:rsidRPr="002F4B81" w:rsidRDefault="00110BBD" w:rsidP="00110BBD">
      <w:pPr>
        <w:pStyle w:val="Pa25"/>
        <w:spacing w:before="180"/>
        <w:rPr>
          <w:rFonts w:cs="Swiss 72 1 BT"/>
          <w:color w:val="000000"/>
          <w:sz w:val="17"/>
          <w:szCs w:val="17"/>
        </w:rPr>
      </w:pPr>
      <w:r w:rsidRPr="002F4B81">
        <w:rPr>
          <w:rFonts w:asciiTheme="minorHAnsi" w:hAnsiTheme="minorHAnsi"/>
        </w:rPr>
        <w:t xml:space="preserve">Kontrolní vzorky: </w:t>
      </w:r>
      <w:r>
        <w:br/>
      </w:r>
      <w:r w:rsidR="00E41AC5">
        <w:rPr>
          <w:rFonts w:cs="Swiss 72 1 BT"/>
          <w:noProof/>
          <w:color w:val="000000"/>
          <w:sz w:val="17"/>
          <w:szCs w:val="17"/>
          <w:lang w:eastAsia="cs-CZ"/>
        </w:rPr>
        <w:drawing>
          <wp:inline distT="0" distB="0" distL="0" distR="0" wp14:anchorId="5B281111" wp14:editId="551E3D6F">
            <wp:extent cx="2025650" cy="31246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945" cy="3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AC5">
        <w:rPr>
          <w:rFonts w:asciiTheme="minorHAnsi" w:hAnsiTheme="minorHAnsi"/>
        </w:rPr>
        <w:t xml:space="preserve">  </w:t>
      </w:r>
      <w:r w:rsidR="00E41AC5">
        <w:rPr>
          <w:rFonts w:asciiTheme="minorHAnsi" w:hAnsiTheme="minorHAnsi"/>
          <w:noProof/>
          <w:lang w:eastAsia="cs-CZ"/>
        </w:rPr>
        <w:drawing>
          <wp:inline distT="0" distB="0" distL="0" distR="0" wp14:anchorId="20E30F6F" wp14:editId="1D0304D4">
            <wp:extent cx="2082800" cy="30702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67" cy="329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96B81" w14:textId="46CC7CFB" w:rsidR="002F4B81" w:rsidRPr="002F4B81" w:rsidRDefault="002F4B81" w:rsidP="002F4B81">
      <w:pPr>
        <w:pStyle w:val="Pa25"/>
        <w:spacing w:before="180"/>
        <w:rPr>
          <w:rFonts w:asciiTheme="minorHAnsi" w:hAnsiTheme="minorHAnsi" w:cs="Swiss 72 1 BT"/>
          <w:color w:val="000000"/>
        </w:rPr>
      </w:pPr>
      <w:r>
        <w:rPr>
          <w:rFonts w:asciiTheme="minorHAnsi" w:hAnsiTheme="minorHAnsi" w:cs="Swiss 72 1 BT"/>
          <w:color w:val="000000"/>
        </w:rPr>
        <w:t>Kritéria validity:</w:t>
      </w:r>
      <w:r>
        <w:rPr>
          <w:rFonts w:asciiTheme="minorHAnsi" w:hAnsiTheme="minorHAnsi" w:cs="Swiss 72 1 BT"/>
          <w:color w:val="000000"/>
        </w:rPr>
        <w:br/>
      </w:r>
      <w:r w:rsidR="00E41AC5">
        <w:rPr>
          <w:rFonts w:asciiTheme="minorHAnsi" w:hAnsiTheme="minorHAnsi" w:cs="Swiss 72 1 BT"/>
          <w:noProof/>
          <w:color w:val="000000"/>
          <w:lang w:eastAsia="cs-CZ"/>
        </w:rPr>
        <w:drawing>
          <wp:inline distT="0" distB="0" distL="0" distR="0" wp14:anchorId="68FDA3F0" wp14:editId="74C830D8">
            <wp:extent cx="1536700" cy="22972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823" cy="24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AC5">
        <w:rPr>
          <w:rFonts w:asciiTheme="minorHAnsi" w:hAnsiTheme="minorHAnsi" w:cs="Swiss 72 1 BT"/>
          <w:color w:val="000000"/>
        </w:rPr>
        <w:t xml:space="preserve">  </w:t>
      </w:r>
      <w:r w:rsidR="00E41AC5">
        <w:rPr>
          <w:rFonts w:asciiTheme="minorHAnsi" w:hAnsiTheme="minorHAnsi" w:cs="Swiss 72 1 BT"/>
          <w:noProof/>
          <w:color w:val="000000"/>
          <w:lang w:eastAsia="cs-CZ"/>
        </w:rPr>
        <w:drawing>
          <wp:inline distT="0" distB="0" distL="0" distR="0" wp14:anchorId="2C8AB878" wp14:editId="1336CB58">
            <wp:extent cx="1454150" cy="23359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696" cy="25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AC5">
        <w:rPr>
          <w:rFonts w:asciiTheme="minorHAnsi" w:hAnsiTheme="minorHAnsi" w:cs="Swiss 72 1 BT"/>
          <w:color w:val="000000"/>
        </w:rPr>
        <w:t xml:space="preserve">  </w:t>
      </w:r>
      <w:r w:rsidR="00E41AC5">
        <w:rPr>
          <w:rFonts w:asciiTheme="minorHAnsi" w:hAnsiTheme="minorHAnsi" w:cs="Swiss 72 1 BT"/>
          <w:noProof/>
          <w:color w:val="000000"/>
          <w:lang w:eastAsia="cs-CZ"/>
        </w:rPr>
        <w:drawing>
          <wp:inline distT="0" distB="0" distL="0" distR="0" wp14:anchorId="1B22514A" wp14:editId="18ACD3C9">
            <wp:extent cx="1473200" cy="223212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44" cy="27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Swiss 72 1 BT"/>
          <w:color w:val="000000"/>
        </w:rPr>
        <w:br/>
      </w:r>
    </w:p>
    <w:p w14:paraId="530E0C6D" w14:textId="16C216E6" w:rsidR="002F4B81" w:rsidRDefault="002F4B81" w:rsidP="002F4B81">
      <w:r>
        <w:t xml:space="preserve">U neplatných analýz bude pravděpodobnou příčinou technika; po důkladném prostudování příbalové </w:t>
      </w:r>
      <w:r w:rsidR="00A72483">
        <w:t>informace</w:t>
      </w:r>
      <w:r>
        <w:t xml:space="preserve"> analýzu zopakujte.</w:t>
      </w:r>
    </w:p>
    <w:p w14:paraId="5CFFA642" w14:textId="77777777" w:rsidR="002F4B81" w:rsidRDefault="002F4B81" w:rsidP="002F4B81">
      <w:r>
        <w:t>Vzorek</w:t>
      </w:r>
    </w:p>
    <w:p w14:paraId="16229D62" w14:textId="65246CD1" w:rsidR="002F4B81" w:rsidRDefault="00E41AC5" w:rsidP="002F4B81">
      <w:pPr>
        <w:rPr>
          <w:rFonts w:cs="Swiss 72 1 BT"/>
          <w:strike/>
          <w:color w:val="000000"/>
          <w:sz w:val="24"/>
          <w:szCs w:val="24"/>
        </w:rPr>
      </w:pPr>
      <w:r>
        <w:rPr>
          <w:rFonts w:cs="Swiss 72 1 BT"/>
          <w:strike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486017BA" wp14:editId="3F049792">
            <wp:extent cx="2882900" cy="434723"/>
            <wp:effectExtent l="0" t="0" r="0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262" cy="45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C6363" w14:textId="77777777" w:rsidR="002F4B81" w:rsidRDefault="002F4B81" w:rsidP="002F4B81">
      <w:pPr>
        <w:rPr>
          <w:rFonts w:cs="Swiss 72 1 BT"/>
          <w:color w:val="000000"/>
          <w:sz w:val="24"/>
          <w:szCs w:val="24"/>
        </w:rPr>
      </w:pPr>
      <w:r w:rsidRPr="002F4B81">
        <w:rPr>
          <w:rFonts w:cs="Swiss 72 1 BT"/>
          <w:color w:val="000000"/>
          <w:sz w:val="24"/>
          <w:szCs w:val="24"/>
        </w:rPr>
        <w:t xml:space="preserve">15. Interpretace: </w:t>
      </w:r>
    </w:p>
    <w:p w14:paraId="31830039" w14:textId="4D034235" w:rsidR="002F4B81" w:rsidRDefault="00E41AC5" w:rsidP="002F4B81">
      <w:pPr>
        <w:rPr>
          <w:rFonts w:cs="Swiss 72 1 BT"/>
          <w:color w:val="000000"/>
          <w:sz w:val="24"/>
          <w:szCs w:val="24"/>
        </w:rPr>
      </w:pPr>
      <w:r>
        <w:rPr>
          <w:rFonts w:cs="Swiss 72 1 BT"/>
          <w:color w:val="000000"/>
          <w:sz w:val="24"/>
          <w:szCs w:val="24"/>
        </w:rPr>
        <w:t xml:space="preserve">         Negativní</w:t>
      </w:r>
      <w:r>
        <w:rPr>
          <w:rFonts w:cs="Swiss 72 1 BT"/>
          <w:color w:val="000000"/>
          <w:sz w:val="24"/>
          <w:szCs w:val="24"/>
        </w:rPr>
        <w:tab/>
      </w:r>
      <w:r>
        <w:rPr>
          <w:rFonts w:cs="Swiss 72 1 BT"/>
          <w:color w:val="000000"/>
          <w:sz w:val="24"/>
          <w:szCs w:val="24"/>
        </w:rPr>
        <w:tab/>
      </w:r>
      <w:r>
        <w:rPr>
          <w:rFonts w:cs="Swiss 72 1 BT"/>
          <w:color w:val="000000"/>
          <w:sz w:val="24"/>
          <w:szCs w:val="24"/>
        </w:rPr>
        <w:tab/>
      </w:r>
      <w:r>
        <w:rPr>
          <w:rFonts w:cs="Swiss 72 1 BT"/>
          <w:color w:val="000000"/>
          <w:sz w:val="24"/>
          <w:szCs w:val="24"/>
        </w:rPr>
        <w:tab/>
        <w:t>Suspektní</w:t>
      </w:r>
      <w:r>
        <w:rPr>
          <w:rFonts w:cs="Swiss 72 1 BT"/>
          <w:color w:val="000000"/>
          <w:sz w:val="24"/>
          <w:szCs w:val="24"/>
        </w:rPr>
        <w:tab/>
      </w:r>
      <w:r>
        <w:rPr>
          <w:rFonts w:cs="Swiss 72 1 BT"/>
          <w:color w:val="000000"/>
          <w:sz w:val="24"/>
          <w:szCs w:val="24"/>
        </w:rPr>
        <w:tab/>
      </w:r>
      <w:r>
        <w:rPr>
          <w:rFonts w:cs="Swiss 72 1 BT"/>
          <w:color w:val="000000"/>
          <w:sz w:val="24"/>
          <w:szCs w:val="24"/>
        </w:rPr>
        <w:tab/>
        <w:t>Pozitivní</w:t>
      </w:r>
    </w:p>
    <w:p w14:paraId="6F532216" w14:textId="471D6046" w:rsidR="00E41AC5" w:rsidRDefault="00E41AC5" w:rsidP="002F4B8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 wp14:anchorId="41C4E7AF" wp14:editId="0EB4DBEB">
            <wp:extent cx="1276350" cy="184904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108" cy="18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6925B26B" wp14:editId="35D09B75">
            <wp:extent cx="1250950" cy="187390"/>
            <wp:effectExtent l="0" t="0" r="635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94" cy="22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>
        <w:rPr>
          <w:noProof/>
          <w:sz w:val="24"/>
          <w:szCs w:val="24"/>
          <w:lang w:eastAsia="cs-CZ"/>
        </w:rPr>
        <w:drawing>
          <wp:inline distT="0" distB="0" distL="0" distR="0" wp14:anchorId="0D81418A" wp14:editId="3A9896F4">
            <wp:extent cx="1289050" cy="191930"/>
            <wp:effectExtent l="0" t="0" r="635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743" cy="23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C6274" w14:textId="77777777" w:rsidR="00264063" w:rsidRDefault="00264063" w:rsidP="002F4B81">
      <w:pPr>
        <w:rPr>
          <w:sz w:val="24"/>
          <w:szCs w:val="24"/>
        </w:rPr>
      </w:pPr>
      <w:r>
        <w:rPr>
          <w:sz w:val="24"/>
          <w:szCs w:val="24"/>
        </w:rPr>
        <w:t>Zůstává-li vzorek podezřelý i po druhém opakování testu, doporučuje se analyzovat nový vzorek odebraný tomuto zvířeti. Pokud je nový vzorek také podezřelý, měla by být zvážena epidemiologická situace. Je-li to možné, znovu analyzujte vzorek jinou metodou.</w:t>
      </w:r>
    </w:p>
    <w:p w14:paraId="3549A427" w14:textId="110FD0DC" w:rsidR="00264063" w:rsidRDefault="00264063" w:rsidP="00264063">
      <w:pPr>
        <w:rPr>
          <w:sz w:val="24"/>
          <w:szCs w:val="24"/>
        </w:rPr>
      </w:pPr>
      <w:r w:rsidRPr="00CB15D3">
        <w:rPr>
          <w:b/>
          <w:sz w:val="24"/>
          <w:szCs w:val="24"/>
          <w:u w:val="single"/>
        </w:rPr>
        <w:t>Poznámka:</w:t>
      </w:r>
      <w:r w:rsidRPr="00264063">
        <w:rPr>
          <w:sz w:val="24"/>
          <w:szCs w:val="24"/>
        </w:rPr>
        <w:t xml:space="preserve"> Společnost IDEXX má přístrojové a softwarové systémy, které vypočítávají </w:t>
      </w:r>
      <w:r>
        <w:rPr>
          <w:sz w:val="24"/>
          <w:szCs w:val="24"/>
        </w:rPr>
        <w:t>výsledky</w:t>
      </w:r>
      <w:r w:rsidRPr="00264063">
        <w:rPr>
          <w:sz w:val="24"/>
          <w:szCs w:val="24"/>
        </w:rPr>
        <w:t xml:space="preserve"> a poskytují souhrny </w:t>
      </w:r>
      <w:r>
        <w:rPr>
          <w:sz w:val="24"/>
          <w:szCs w:val="24"/>
        </w:rPr>
        <w:t>dat</w:t>
      </w:r>
      <w:r w:rsidRPr="00264063">
        <w:rPr>
          <w:sz w:val="24"/>
          <w:szCs w:val="24"/>
        </w:rPr>
        <w:t>.</w:t>
      </w:r>
    </w:p>
    <w:p w14:paraId="26CC4717" w14:textId="05CFF58E" w:rsidR="00E41AC5" w:rsidRDefault="00E41AC5" w:rsidP="00264063">
      <w:pPr>
        <w:rPr>
          <w:sz w:val="24"/>
          <w:szCs w:val="24"/>
        </w:rPr>
      </w:pPr>
    </w:p>
    <w:p w14:paraId="34A3B6C8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b/>
          <w:noProof/>
          <w:sz w:val="24"/>
        </w:rPr>
        <w:t>Pro technickou pomoc:</w:t>
      </w:r>
    </w:p>
    <w:p w14:paraId="07A7E855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</w:rPr>
        <w:t>IDEXX USA Tel: +1 800 548 9997 nebo +1 207 556 4895</w:t>
      </w:r>
      <w:r w:rsidRPr="00B23A22">
        <w:rPr>
          <w:rFonts w:cs="TTE1965D00t00"/>
          <w:noProof/>
          <w:color w:val="000000"/>
        </w:rPr>
        <w:br/>
        <w:t>IDEXX Evropa Tel: +800 727 43399</w:t>
      </w:r>
      <w:r w:rsidRPr="00B23A22">
        <w:rPr>
          <w:rFonts w:cs="TTE1965D00t00"/>
          <w:noProof/>
          <w:color w:val="000000"/>
        </w:rPr>
        <w:br/>
        <w:t>Kontaktujte svého oblastního manažera či distributora IDEXX nebo navštivte naše internetové stránky: idexx.com/contactlpd</w:t>
      </w:r>
    </w:p>
    <w:p w14:paraId="4F88B7E8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</w:p>
    <w:p w14:paraId="4B040D82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</w:rPr>
        <w:t>IDEXX a Test With Confidence jsou obchodní značky nebo registrované obchodní známky společnosti IDEXX Laboratories, Inc. Nebo jejích poboček v USA anebo jiných zemích.</w:t>
      </w:r>
    </w:p>
    <w:p w14:paraId="7586FFFA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57170C29" w14:textId="1CCBA38E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ascii="MS Gothic" w:eastAsia="MS Gothic" w:hAnsi="MS Gothic" w:cs="MS Gothic"/>
          <w:noProof/>
          <w:color w:val="000000"/>
        </w:rPr>
        <w:t>ⓒ</w:t>
      </w:r>
      <w:r w:rsidRPr="00B23A22">
        <w:rPr>
          <w:rFonts w:cs="TTE1965D00t00"/>
          <w:noProof/>
          <w:color w:val="000000"/>
        </w:rPr>
        <w:t xml:space="preserve"> 20</w:t>
      </w:r>
      <w:r>
        <w:rPr>
          <w:rFonts w:cs="TTE1965D00t00"/>
          <w:noProof/>
          <w:color w:val="000000"/>
        </w:rPr>
        <w:t>19</w:t>
      </w:r>
      <w:r w:rsidRPr="00B23A22">
        <w:rPr>
          <w:rFonts w:cs="TTE1965D00t00"/>
          <w:noProof/>
          <w:color w:val="000000"/>
        </w:rPr>
        <w:t xml:space="preserve"> IDEXX Laboratories, Inc. All rights reserved.</w:t>
      </w:r>
    </w:p>
    <w:p w14:paraId="160C04E8" w14:textId="77777777" w:rsidR="00E41AC5" w:rsidRDefault="00E41AC5" w:rsidP="00264063">
      <w:pPr>
        <w:rPr>
          <w:sz w:val="24"/>
          <w:szCs w:val="24"/>
        </w:rPr>
      </w:pPr>
    </w:p>
    <w:p w14:paraId="652B45DB" w14:textId="77777777" w:rsidR="00264063" w:rsidRDefault="00264063" w:rsidP="00264063">
      <w:pPr>
        <w:rPr>
          <w:sz w:val="24"/>
          <w:szCs w:val="24"/>
        </w:rPr>
      </w:pPr>
    </w:p>
    <w:p w14:paraId="4823CCA8" w14:textId="77777777" w:rsidR="00264063" w:rsidRPr="00CB15D3" w:rsidRDefault="00264063" w:rsidP="00264063">
      <w:pPr>
        <w:rPr>
          <w:b/>
          <w:sz w:val="24"/>
          <w:szCs w:val="24"/>
          <w:u w:val="single"/>
        </w:rPr>
      </w:pPr>
      <w:r w:rsidRPr="00CB15D3">
        <w:rPr>
          <w:b/>
          <w:sz w:val="24"/>
          <w:szCs w:val="24"/>
          <w:u w:val="single"/>
        </w:rPr>
        <w:t>Varování:</w:t>
      </w:r>
    </w:p>
    <w:p w14:paraId="459D4E1F" w14:textId="77777777" w:rsidR="00E41AC5" w:rsidRDefault="00E41AC5" w:rsidP="00E41AC5">
      <w:pPr>
        <w:rPr>
          <w:sz w:val="24"/>
          <w:szCs w:val="24"/>
        </w:rPr>
      </w:pPr>
      <w:r>
        <w:rPr>
          <w:sz w:val="24"/>
          <w:szCs w:val="24"/>
        </w:rPr>
        <w:t>H314/H317/H318/H412/P280/P301+P330+P331/P303+P361+P353/P304+P340</w:t>
      </w:r>
    </w:p>
    <w:p w14:paraId="3ECAD3AD" w14:textId="77777777" w:rsidR="00E41AC5" w:rsidRDefault="00E41AC5" w:rsidP="00E41AC5">
      <w:pPr>
        <w:rPr>
          <w:sz w:val="24"/>
          <w:szCs w:val="24"/>
        </w:rPr>
      </w:pPr>
      <w:r>
        <w:rPr>
          <w:sz w:val="24"/>
          <w:szCs w:val="24"/>
        </w:rPr>
        <w:t>P305+P351+P338</w:t>
      </w:r>
    </w:p>
    <w:p w14:paraId="06277A94" w14:textId="77777777" w:rsidR="00E41AC5" w:rsidRDefault="00E41AC5" w:rsidP="00FC172F">
      <w:pPr>
        <w:jc w:val="both"/>
        <w:rPr>
          <w:sz w:val="24"/>
          <w:szCs w:val="24"/>
        </w:rPr>
      </w:pPr>
      <w:r>
        <w:rPr>
          <w:sz w:val="24"/>
          <w:szCs w:val="24"/>
        </w:rPr>
        <w:t>Zastavovací roztok – Způsobuje těžké poleptání kůže a poškození očí. Může vyvolat alergickou kožní reakci. Způsobuje vážné poškození očí. Škodlivý pro vodní organismy, s dlouhodobými účinky. Používejte ochranné rukavice/ochranný oděv/ochranné brýle/obličejový štít. PŘI POŽITÍ: Vypláchněte ústa. NEVYVOLÁVEJTE zvracení. PŘI STYKU S KŮŽÍ (nebo s vlasy): Veškeré kontaminované části oděvu okamžitě svlékněte. Opláchněte kůži vodou. PŘI VDECHNUTÍ: Přeneste osobu na čerstvý vzduch a ponechte ji v poloze usnadňující dýchání. PŘI ZASAŽENÍ OČÍ: Několik minut opatrně vyplachujte vodou. Vyjměte kontaktní čočky, jsou-li nasazeny a pokud je lze vyjmout snadno. Pokračujte ve vyplachování.</w:t>
      </w:r>
    </w:p>
    <w:p w14:paraId="19EA5D6C" w14:textId="77777777" w:rsidR="00E41AC5" w:rsidRPr="00B23A22" w:rsidRDefault="00E41AC5" w:rsidP="00E41AC5">
      <w:pPr>
        <w:rPr>
          <w:rFonts w:cs="TTE1965D00t00"/>
          <w:b/>
          <w:noProof/>
          <w:color w:val="000000"/>
        </w:rPr>
      </w:pPr>
      <w:r w:rsidRPr="00B23A22">
        <w:rPr>
          <w:rFonts w:cs="TTE1965D00t00"/>
          <w:b/>
          <w:noProof/>
          <w:color w:val="000000"/>
        </w:rPr>
        <w:lastRenderedPageBreak/>
        <w:t>Popis symbolů</w:t>
      </w:r>
    </w:p>
    <w:p w14:paraId="4F0EA62A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CB54862" wp14:editId="01A6B6C4">
            <wp:extent cx="445135" cy="314960"/>
            <wp:effectExtent l="0" t="0" r="0" b="889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Kód šarže</w:t>
      </w:r>
    </w:p>
    <w:p w14:paraId="0009805D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78E20DE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3BE32ED" wp14:editId="62B49101">
            <wp:extent cx="522605" cy="4216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Sériové číslo</w:t>
      </w:r>
    </w:p>
    <w:p w14:paraId="728F9726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9A684A3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442BAFC0" wp14:editId="5B02312A">
            <wp:extent cx="487045" cy="421640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Katalogové číslo</w:t>
      </w:r>
    </w:p>
    <w:p w14:paraId="543B1DFB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AFA0BEF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E24FEFB" wp14:editId="6C56E482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Diagnostika in vitro</w:t>
      </w:r>
    </w:p>
    <w:p w14:paraId="65A8C349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658C447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C893CD8" wp14:editId="17F020C9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Autorizovaný zástupce v Evropském společenství</w:t>
      </w:r>
    </w:p>
    <w:p w14:paraId="666E9BD3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3C5CEB28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2266B39" wp14:editId="46EC705A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Pozitivní kontrolní vzorek</w:t>
      </w:r>
    </w:p>
    <w:p w14:paraId="53B640E3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1E418C3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779F1644" wp14:editId="2D262C49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Negativní kontrolní vzorek</w:t>
      </w:r>
    </w:p>
    <w:p w14:paraId="7696B193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0E275236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C7DB07B" wp14:editId="6CE82EDB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Použijte do</w:t>
      </w:r>
    </w:p>
    <w:p w14:paraId="15899432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5A070CF1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225A6F09" wp14:editId="02628045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Datum výroby</w:t>
      </w:r>
    </w:p>
    <w:p w14:paraId="5B885E07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198C22A3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17DF7BEF" wp14:editId="73A24163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Výrobce</w:t>
      </w:r>
    </w:p>
    <w:p w14:paraId="301996DD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60BD7958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32B36156" wp14:editId="26A9E926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Teplotní omezení</w:t>
      </w:r>
    </w:p>
    <w:p w14:paraId="5FE515BC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727FB54B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5F622687" wp14:editId="536CED12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TTE1965D00t00"/>
          <w:noProof/>
          <w:color w:val="000000"/>
        </w:rPr>
        <w:tab/>
        <w:t>Čtěte návod na použití</w:t>
      </w:r>
    </w:p>
    <w:p w14:paraId="285B02F2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14:paraId="468CCBC4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B23A22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drawing>
          <wp:inline distT="0" distB="0" distL="0" distR="0" wp14:anchorId="14CFB830" wp14:editId="7FD9CB72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3A22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</w:r>
      <w:r w:rsidRPr="00B23A22">
        <w:rPr>
          <w:rFonts w:cs="Swiss721BT-Bold"/>
          <w:bCs/>
          <w:noProof/>
          <w:color w:val="000000"/>
          <w:sz w:val="24"/>
          <w:szCs w:val="24"/>
        </w:rPr>
        <w:tab/>
        <w:t>Větší změna v návodu na použití</w:t>
      </w:r>
    </w:p>
    <w:p w14:paraId="2271ED7B" w14:textId="41B167CE" w:rsidR="007A2426" w:rsidRDefault="007A2426" w:rsidP="007A2426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>
        <w:rPr>
          <w:rFonts w:cs="TTE1965D00t00"/>
          <w:noProof/>
          <w:color w:val="000000"/>
        </w:rPr>
        <w:tab/>
      </w:r>
    </w:p>
    <w:p w14:paraId="0AF3D2C2" w14:textId="77777777" w:rsidR="007A2426" w:rsidRDefault="007A2426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75387F45" w14:textId="77777777" w:rsidR="007A2426" w:rsidRDefault="007A2426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70EE696A" w14:textId="46E90A2F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bookmarkStart w:id="0" w:name="_GoBack"/>
      <w:bookmarkEnd w:id="0"/>
      <w:r w:rsidRPr="00B23A22">
        <w:rPr>
          <w:rFonts w:cs="TTE1965D00t00"/>
          <w:noProof/>
          <w:sz w:val="20"/>
          <w:szCs w:val="20"/>
        </w:rPr>
        <w:t>IDEXX Laboratories, Inc.</w:t>
      </w:r>
      <w:r w:rsidRPr="00B23A22">
        <w:rPr>
          <w:rFonts w:cs="TTE1965D00t00"/>
          <w:noProof/>
          <w:sz w:val="20"/>
          <w:szCs w:val="20"/>
        </w:rPr>
        <w:br/>
        <w:t>One IDEXX Drive</w:t>
      </w:r>
      <w:r w:rsidRPr="00B23A22">
        <w:rPr>
          <w:rFonts w:cs="TTE1965D00t00"/>
          <w:noProof/>
          <w:sz w:val="20"/>
          <w:szCs w:val="20"/>
        </w:rPr>
        <w:br/>
        <w:t>Westbrook, Maine 04092</w:t>
      </w:r>
      <w:r w:rsidRPr="00B23A22">
        <w:rPr>
          <w:rFonts w:cs="TTE1965D00t00"/>
          <w:noProof/>
          <w:sz w:val="20"/>
          <w:szCs w:val="20"/>
        </w:rPr>
        <w:br/>
        <w:t>USA</w:t>
      </w:r>
      <w:r w:rsidRPr="00B23A22">
        <w:rPr>
          <w:rFonts w:cs="TTE1965D00t00"/>
          <w:noProof/>
          <w:sz w:val="20"/>
          <w:szCs w:val="20"/>
        </w:rPr>
        <w:br/>
      </w:r>
    </w:p>
    <w:p w14:paraId="07B041E8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Výrobce</w:t>
      </w:r>
    </w:p>
    <w:p w14:paraId="0FDD19EE" w14:textId="276DE0CD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 xml:space="preserve">IDEXX </w:t>
      </w:r>
      <w:r>
        <w:rPr>
          <w:rFonts w:cs="TTE1965D00t00"/>
          <w:noProof/>
          <w:sz w:val="20"/>
          <w:szCs w:val="20"/>
        </w:rPr>
        <w:t>Switzerland GmbH</w:t>
      </w:r>
      <w:r w:rsidRPr="00B23A22">
        <w:rPr>
          <w:rFonts w:cs="TTE1965D00t00"/>
          <w:noProof/>
          <w:sz w:val="20"/>
          <w:szCs w:val="20"/>
        </w:rPr>
        <w:br/>
      </w:r>
      <w:r>
        <w:rPr>
          <w:rFonts w:cs="TTE1965D00t00"/>
          <w:noProof/>
          <w:sz w:val="20"/>
          <w:szCs w:val="20"/>
        </w:rPr>
        <w:t>Stationstrasse 12</w:t>
      </w:r>
      <w:r w:rsidRPr="00B23A22">
        <w:rPr>
          <w:rFonts w:cs="TTE1965D00t00"/>
          <w:noProof/>
          <w:sz w:val="20"/>
          <w:szCs w:val="20"/>
        </w:rPr>
        <w:br/>
      </w:r>
      <w:r>
        <w:rPr>
          <w:rFonts w:cs="TTE1965D00t00"/>
          <w:noProof/>
          <w:sz w:val="20"/>
          <w:szCs w:val="20"/>
        </w:rPr>
        <w:t>CH-3097 Liebefeld-Bern</w:t>
      </w:r>
      <w:r w:rsidRPr="00B23A22">
        <w:rPr>
          <w:rFonts w:cs="TTE1965D00t00"/>
          <w:noProof/>
          <w:sz w:val="20"/>
          <w:szCs w:val="20"/>
        </w:rPr>
        <w:br/>
      </w:r>
      <w:r>
        <w:rPr>
          <w:rFonts w:cs="TTE1965D00t00"/>
          <w:noProof/>
          <w:sz w:val="20"/>
          <w:szCs w:val="20"/>
        </w:rPr>
        <w:t>Švýcarsko</w:t>
      </w:r>
    </w:p>
    <w:p w14:paraId="30387F3A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02759DA7" w14:textId="0C5CBEF8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Zástupce pro EU</w:t>
      </w:r>
      <w:r w:rsidR="00FC172F">
        <w:rPr>
          <w:rFonts w:cs="TTE1965D00t00"/>
          <w:noProof/>
          <w:sz w:val="20"/>
          <w:szCs w:val="20"/>
        </w:rPr>
        <w:t xml:space="preserve"> a držitel rozhodnutí o schválení</w:t>
      </w:r>
    </w:p>
    <w:p w14:paraId="752DD161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IDEXX Europe B.V.</w:t>
      </w:r>
      <w:r w:rsidRPr="00B23A22">
        <w:rPr>
          <w:rFonts w:cs="TTE1965D00t00"/>
          <w:noProof/>
          <w:sz w:val="20"/>
          <w:szCs w:val="20"/>
        </w:rPr>
        <w:br/>
        <w:t>P.O. Box 1334</w:t>
      </w:r>
      <w:r w:rsidRPr="00B23A22">
        <w:rPr>
          <w:rFonts w:cs="TTE1965D00t00"/>
          <w:noProof/>
          <w:sz w:val="20"/>
          <w:szCs w:val="20"/>
        </w:rPr>
        <w:br/>
        <w:t>2130 EK Hoofddorp</w:t>
      </w:r>
      <w:r w:rsidRPr="00B23A22">
        <w:rPr>
          <w:rFonts w:cs="TTE1965D00t00"/>
          <w:noProof/>
          <w:sz w:val="20"/>
          <w:szCs w:val="20"/>
        </w:rPr>
        <w:br/>
        <w:t>Nizozemí</w:t>
      </w:r>
    </w:p>
    <w:p w14:paraId="79C65B8A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49B2C43A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  <w:r w:rsidRPr="00B23A22">
        <w:rPr>
          <w:rFonts w:cs="TTE1965D00t00"/>
          <w:noProof/>
          <w:sz w:val="20"/>
          <w:szCs w:val="20"/>
        </w:rPr>
        <w:t>idexx.com</w:t>
      </w:r>
    </w:p>
    <w:p w14:paraId="6A1ED217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sz w:val="20"/>
          <w:szCs w:val="20"/>
        </w:rPr>
      </w:pPr>
    </w:p>
    <w:p w14:paraId="3B6EA136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1E2B5AD4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</w:p>
    <w:p w14:paraId="00483210" w14:textId="77777777" w:rsidR="00E41AC5" w:rsidRPr="00B23A22" w:rsidRDefault="00E41AC5" w:rsidP="00E41AC5">
      <w:pPr>
        <w:autoSpaceDE w:val="0"/>
        <w:autoSpaceDN w:val="0"/>
        <w:adjustRightInd w:val="0"/>
        <w:spacing w:after="0" w:line="240" w:lineRule="auto"/>
        <w:rPr>
          <w:rFonts w:cs="TTE1965D00t00"/>
          <w:noProof/>
          <w:color w:val="000000"/>
        </w:rPr>
      </w:pPr>
      <w:r w:rsidRPr="00B23A22">
        <w:rPr>
          <w:rFonts w:cs="TTE1965D00t00"/>
          <w:noProof/>
          <w:color w:val="000000"/>
          <w:lang w:eastAsia="cs-CZ"/>
        </w:rPr>
        <w:drawing>
          <wp:inline distT="0" distB="0" distL="0" distR="0" wp14:anchorId="615ED597" wp14:editId="0E34E164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35A6" w14:textId="77777777" w:rsidR="00CB15D3" w:rsidRPr="00264063" w:rsidRDefault="00CB15D3" w:rsidP="00264063">
      <w:pPr>
        <w:rPr>
          <w:sz w:val="24"/>
          <w:szCs w:val="24"/>
        </w:rPr>
      </w:pPr>
    </w:p>
    <w:sectPr w:rsidR="00CB15D3" w:rsidRPr="00264063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D94B4" w14:textId="77777777" w:rsidR="00111143" w:rsidRDefault="00111143" w:rsidP="008957AC">
      <w:pPr>
        <w:spacing w:after="0" w:line="240" w:lineRule="auto"/>
      </w:pPr>
      <w:r>
        <w:separator/>
      </w:r>
    </w:p>
  </w:endnote>
  <w:endnote w:type="continuationSeparator" w:id="0">
    <w:p w14:paraId="0C7C5459" w14:textId="77777777" w:rsidR="00111143" w:rsidRDefault="00111143" w:rsidP="0089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6A7F4" w14:textId="77777777" w:rsidR="00483D30" w:rsidRDefault="00483D3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A77CF" w14:textId="77777777" w:rsidR="00483D30" w:rsidRDefault="00483D3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57499" w14:textId="77777777" w:rsidR="00483D30" w:rsidRDefault="00483D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68E71" w14:textId="77777777" w:rsidR="00111143" w:rsidRDefault="00111143" w:rsidP="008957AC">
      <w:pPr>
        <w:spacing w:after="0" w:line="240" w:lineRule="auto"/>
      </w:pPr>
      <w:r>
        <w:separator/>
      </w:r>
    </w:p>
  </w:footnote>
  <w:footnote w:type="continuationSeparator" w:id="0">
    <w:p w14:paraId="46CDAC84" w14:textId="77777777" w:rsidR="00111143" w:rsidRDefault="00111143" w:rsidP="0089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E54AE" w14:textId="77777777" w:rsidR="00483D30" w:rsidRDefault="00483D3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6B81A" w14:textId="6D627667" w:rsidR="008957AC" w:rsidRPr="00BE73B7" w:rsidRDefault="008957AC" w:rsidP="008957AC">
    <w:pPr>
      <w:rPr>
        <w:bCs/>
      </w:rPr>
    </w:pPr>
    <w:r w:rsidRPr="00BE73B7">
      <w:rPr>
        <w:bCs/>
      </w:rPr>
      <w:t xml:space="preserve">Text příbalové informace součást dokumentace schválené rozhodnutím </w:t>
    </w:r>
    <w:proofErr w:type="spellStart"/>
    <w:r w:rsidRPr="00BE73B7">
      <w:rPr>
        <w:bCs/>
      </w:rPr>
      <w:t>sp.zn</w:t>
    </w:r>
    <w:proofErr w:type="spellEnd"/>
    <w:r w:rsidRPr="00BE73B7">
      <w:rPr>
        <w:bCs/>
      </w:rPr>
      <w:t xml:space="preserve">. </w:t>
    </w:r>
    <w:sdt>
      <w:sdtPr>
        <w:rPr>
          <w:rFonts w:eastAsia="Times New Roman"/>
          <w:lang w:eastAsia="cs-CZ"/>
        </w:rPr>
        <w:id w:val="2058362447"/>
        <w:placeholder>
          <w:docPart w:val="DFE03A7EC0964EA2BAD9FD25F0D7D7E2"/>
        </w:placeholder>
        <w:text/>
      </w:sdtPr>
      <w:sdtEndPr/>
      <w:sdtContent>
        <w:r w:rsidR="00483D30" w:rsidRPr="00BE73B7">
          <w:rPr>
            <w:rFonts w:eastAsia="Times New Roman"/>
            <w:lang w:eastAsia="cs-CZ"/>
          </w:rPr>
          <w:t>USKVBL/4136/2021/POD</w:t>
        </w:r>
      </w:sdtContent>
    </w:sdt>
    <w:r w:rsidRPr="00BE73B7">
      <w:rPr>
        <w:bCs/>
      </w:rPr>
      <w:t xml:space="preserve">, č.j. </w:t>
    </w:r>
    <w:sdt>
      <w:sdtPr>
        <w:rPr>
          <w:rFonts w:eastAsia="Times New Roman"/>
          <w:lang w:eastAsia="cs-CZ"/>
        </w:rPr>
        <w:id w:val="256413127"/>
        <w:placeholder>
          <w:docPart w:val="DFE03A7EC0964EA2BAD9FD25F0D7D7E2"/>
        </w:placeholder>
        <w:text/>
      </w:sdtPr>
      <w:sdtEndPr/>
      <w:sdtContent>
        <w:r w:rsidR="00483D30" w:rsidRPr="00BE73B7">
          <w:rPr>
            <w:rFonts w:eastAsia="Times New Roman"/>
            <w:lang w:eastAsia="cs-CZ"/>
          </w:rPr>
          <w:t>USKVBL/8164/2021/REG-</w:t>
        </w:r>
        <w:proofErr w:type="spellStart"/>
        <w:r w:rsidR="00483D30" w:rsidRPr="00BE73B7">
          <w:rPr>
            <w:rFonts w:eastAsia="Times New Roman"/>
            <w:lang w:eastAsia="cs-CZ"/>
          </w:rPr>
          <w:t>Gro</w:t>
        </w:r>
        <w:proofErr w:type="spellEnd"/>
      </w:sdtContent>
    </w:sdt>
    <w:r w:rsidRPr="00BE73B7">
      <w:rPr>
        <w:bCs/>
      </w:rPr>
      <w:t xml:space="preserve"> ze dne </w:t>
    </w:r>
    <w:sdt>
      <w:sdtPr>
        <w:rPr>
          <w:bCs/>
        </w:rPr>
        <w:id w:val="1773286175"/>
        <w:placeholder>
          <w:docPart w:val="25837250C090407A834835F0D76D3AB4"/>
        </w:placeholder>
        <w:date w:fullDate="2021-06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83D30" w:rsidRPr="00BE73B7">
          <w:rPr>
            <w:bCs/>
          </w:rPr>
          <w:t>10.6.2021</w:t>
        </w:r>
      </w:sdtContent>
    </w:sdt>
    <w:r w:rsidRPr="00BE73B7">
      <w:rPr>
        <w:bCs/>
      </w:rPr>
      <w:t xml:space="preserve"> o </w:t>
    </w:r>
    <w:sdt>
      <w:sdtPr>
        <w:rPr>
          <w:rFonts w:eastAsia="Times New Roman" w:cs="Calibri"/>
          <w:lang w:eastAsia="cs-CZ"/>
        </w:rPr>
        <w:id w:val="-2045283072"/>
        <w:placeholder>
          <w:docPart w:val="FB710A74FE394A43A39A0D4042FB23B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483D30" w:rsidRPr="00BE73B7">
          <w:rPr>
            <w:rFonts w:eastAsia="Times New Roman" w:cs="Calibri"/>
            <w:lang w:eastAsia="cs-CZ"/>
          </w:rPr>
          <w:t>prodloužení platnosti rozhodnutí o schválení veterinárního přípravku</w:t>
        </w:r>
      </w:sdtContent>
    </w:sdt>
    <w:r w:rsidRPr="00BE73B7">
      <w:rPr>
        <w:bCs/>
      </w:rPr>
      <w:t xml:space="preserve"> </w:t>
    </w:r>
    <w:sdt>
      <w:sdtPr>
        <w:rPr>
          <w:rFonts w:ascii="Calibri" w:eastAsia="Calibri" w:hAnsi="Calibri" w:cs="Times New Roman"/>
        </w:rPr>
        <w:id w:val="28773371"/>
        <w:placeholder>
          <w:docPart w:val="29A4DAEA67CD4379BC0B5B97F6FA1C69"/>
        </w:placeholder>
        <w:text/>
      </w:sdtPr>
      <w:sdtEndPr/>
      <w:sdtContent>
        <w:r w:rsidR="00483D30" w:rsidRPr="00BE73B7">
          <w:rPr>
            <w:rFonts w:ascii="Calibri" w:eastAsia="Calibri" w:hAnsi="Calibri" w:cs="Times New Roman"/>
          </w:rPr>
          <w:t>IDEXX APP-</w:t>
        </w:r>
        <w:proofErr w:type="spellStart"/>
        <w:r w:rsidR="00483D30" w:rsidRPr="00BE73B7">
          <w:rPr>
            <w:rFonts w:ascii="Calibri" w:eastAsia="Calibri" w:hAnsi="Calibri" w:cs="Times New Roman"/>
          </w:rPr>
          <w:t>ApxIV</w:t>
        </w:r>
        <w:proofErr w:type="spellEnd"/>
        <w:r w:rsidR="00483D30" w:rsidRPr="00BE73B7">
          <w:rPr>
            <w:rFonts w:ascii="Calibri" w:eastAsia="Calibri" w:hAnsi="Calibri" w:cs="Times New Roman"/>
          </w:rPr>
          <w:t xml:space="preserve"> Ab Test </w:t>
        </w:r>
        <w:proofErr w:type="spellStart"/>
        <w:r w:rsidR="00483D30" w:rsidRPr="00BE73B7">
          <w:rPr>
            <w:rFonts w:ascii="Calibri" w:eastAsia="Calibri" w:hAnsi="Calibri" w:cs="Times New Roman"/>
          </w:rPr>
          <w:t>Kit</w:t>
        </w:r>
        <w:proofErr w:type="spellEnd"/>
      </w:sdtContent>
    </w:sdt>
  </w:p>
  <w:p w14:paraId="380EBCA7" w14:textId="77777777" w:rsidR="008957AC" w:rsidRPr="008957AC" w:rsidRDefault="008957AC" w:rsidP="008957A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D11FE" w14:textId="77777777" w:rsidR="00483D30" w:rsidRDefault="00483D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683B"/>
    <w:multiLevelType w:val="hybridMultilevel"/>
    <w:tmpl w:val="076053C2"/>
    <w:lvl w:ilvl="0" w:tplc="63E49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3602B"/>
    <w:multiLevelType w:val="hybridMultilevel"/>
    <w:tmpl w:val="5D421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34C3F"/>
    <w:multiLevelType w:val="hybridMultilevel"/>
    <w:tmpl w:val="AFF24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10FC"/>
    <w:multiLevelType w:val="hybridMultilevel"/>
    <w:tmpl w:val="9B1E6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36243"/>
    <w:multiLevelType w:val="hybridMultilevel"/>
    <w:tmpl w:val="F698C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B6723"/>
    <w:multiLevelType w:val="hybridMultilevel"/>
    <w:tmpl w:val="05725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A6F62"/>
    <w:multiLevelType w:val="hybridMultilevel"/>
    <w:tmpl w:val="408CA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FB5"/>
    <w:rsid w:val="000728D6"/>
    <w:rsid w:val="000F41EF"/>
    <w:rsid w:val="00100AA1"/>
    <w:rsid w:val="00110BBD"/>
    <w:rsid w:val="00111143"/>
    <w:rsid w:val="00214FEE"/>
    <w:rsid w:val="00264063"/>
    <w:rsid w:val="002F4B81"/>
    <w:rsid w:val="00303E1C"/>
    <w:rsid w:val="00357661"/>
    <w:rsid w:val="00365950"/>
    <w:rsid w:val="00483D30"/>
    <w:rsid w:val="00527D2E"/>
    <w:rsid w:val="006E61E6"/>
    <w:rsid w:val="007A2426"/>
    <w:rsid w:val="007B4FB5"/>
    <w:rsid w:val="008023BB"/>
    <w:rsid w:val="0082300C"/>
    <w:rsid w:val="008957AC"/>
    <w:rsid w:val="0093716C"/>
    <w:rsid w:val="00A72483"/>
    <w:rsid w:val="00A928F9"/>
    <w:rsid w:val="00BE73B7"/>
    <w:rsid w:val="00CB15D3"/>
    <w:rsid w:val="00D97469"/>
    <w:rsid w:val="00E41AC5"/>
    <w:rsid w:val="00ED391A"/>
    <w:rsid w:val="00FC172F"/>
    <w:rsid w:val="00FD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94DD0"/>
  <w15:docId w15:val="{07C353BE-7A0B-416F-B95E-4A7594BB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41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61E6"/>
    <w:pPr>
      <w:ind w:left="720"/>
      <w:contextualSpacing/>
    </w:pPr>
  </w:style>
  <w:style w:type="paragraph" w:customStyle="1" w:styleId="Pa25">
    <w:name w:val="Pa25"/>
    <w:basedOn w:val="Normln"/>
    <w:next w:val="Normln"/>
    <w:uiPriority w:val="99"/>
    <w:rsid w:val="00110BBD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9">
    <w:name w:val="A9"/>
    <w:uiPriority w:val="99"/>
    <w:rsid w:val="00110BBD"/>
    <w:rPr>
      <w:rFonts w:cs="Swiss 72 1 BT"/>
      <w:color w:val="000000"/>
      <w:sz w:val="17"/>
      <w:szCs w:val="17"/>
    </w:rPr>
  </w:style>
  <w:style w:type="character" w:customStyle="1" w:styleId="A10">
    <w:name w:val="A10"/>
    <w:uiPriority w:val="99"/>
    <w:rsid w:val="00110BBD"/>
    <w:rPr>
      <w:rFonts w:cs="Swiss 72 1 BT"/>
      <w:strike/>
      <w:color w:val="000000"/>
      <w:sz w:val="17"/>
      <w:szCs w:val="17"/>
    </w:rPr>
  </w:style>
  <w:style w:type="character" w:customStyle="1" w:styleId="A11">
    <w:name w:val="A11"/>
    <w:uiPriority w:val="99"/>
    <w:rsid w:val="00110BBD"/>
    <w:rPr>
      <w:rFonts w:cs="Swiss 72 1 BT"/>
      <w:color w:val="000000"/>
      <w:sz w:val="17"/>
      <w:szCs w:val="17"/>
      <w:u w:val="single"/>
    </w:rPr>
  </w:style>
  <w:style w:type="paragraph" w:customStyle="1" w:styleId="Pa26">
    <w:name w:val="Pa26"/>
    <w:basedOn w:val="Normln"/>
    <w:next w:val="Normln"/>
    <w:uiPriority w:val="99"/>
    <w:rsid w:val="00110BBD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character" w:customStyle="1" w:styleId="A6">
    <w:name w:val="A6"/>
    <w:uiPriority w:val="99"/>
    <w:rsid w:val="00110BBD"/>
    <w:rPr>
      <w:rFonts w:cs="Swiss 72 1 BT"/>
      <w:color w:val="000000"/>
      <w:sz w:val="17"/>
      <w:szCs w:val="17"/>
    </w:rPr>
  </w:style>
  <w:style w:type="character" w:customStyle="1" w:styleId="A12">
    <w:name w:val="A12"/>
    <w:uiPriority w:val="99"/>
    <w:rsid w:val="002F4B81"/>
    <w:rPr>
      <w:rFonts w:cs="Swiss 72 1 BT"/>
      <w:strike/>
      <w:color w:val="000000"/>
      <w:sz w:val="17"/>
      <w:szCs w:val="17"/>
    </w:rPr>
  </w:style>
  <w:style w:type="character" w:customStyle="1" w:styleId="A13">
    <w:name w:val="A13"/>
    <w:uiPriority w:val="99"/>
    <w:rsid w:val="002F4B81"/>
    <w:rPr>
      <w:rFonts w:cs="Swiss 72 1 BT"/>
      <w:color w:val="000000"/>
      <w:sz w:val="17"/>
      <w:szCs w:val="17"/>
    </w:rPr>
  </w:style>
  <w:style w:type="character" w:customStyle="1" w:styleId="A14">
    <w:name w:val="A14"/>
    <w:uiPriority w:val="99"/>
    <w:rsid w:val="002F4B81"/>
    <w:rPr>
      <w:rFonts w:cs="Swiss 72 1 BT"/>
      <w:strike/>
      <w:color w:val="000000"/>
      <w:sz w:val="17"/>
      <w:szCs w:val="17"/>
    </w:rPr>
  </w:style>
  <w:style w:type="paragraph" w:customStyle="1" w:styleId="Pa27">
    <w:name w:val="Pa27"/>
    <w:basedOn w:val="Normln"/>
    <w:next w:val="Normln"/>
    <w:uiPriority w:val="99"/>
    <w:rsid w:val="002F4B81"/>
    <w:pPr>
      <w:autoSpaceDE w:val="0"/>
      <w:autoSpaceDN w:val="0"/>
      <w:adjustRightInd w:val="0"/>
      <w:spacing w:after="0" w:line="241" w:lineRule="atLeast"/>
    </w:pPr>
    <w:rPr>
      <w:rFonts w:ascii="Swiss 72 1 BT" w:hAnsi="Swiss 72 1 BT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95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7AC"/>
  </w:style>
  <w:style w:type="paragraph" w:styleId="Zpat">
    <w:name w:val="footer"/>
    <w:basedOn w:val="Normln"/>
    <w:link w:val="ZpatChar"/>
    <w:uiPriority w:val="99"/>
    <w:unhideWhenUsed/>
    <w:rsid w:val="00895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57AC"/>
  </w:style>
  <w:style w:type="character" w:styleId="Zstupntext">
    <w:name w:val="Placeholder Text"/>
    <w:semiHidden/>
    <w:rsid w:val="008957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theme" Target="theme/theme1.xml"/><Relationship Id="rId21" Type="http://schemas.openxmlformats.org/officeDocument/2006/relationships/image" Target="media/image14.emf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footer" Target="footer1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emf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E03A7EC0964EA2BAD9FD25F0D7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E25AEC-1EAC-43B8-8E7D-7843A43F5289}"/>
      </w:docPartPr>
      <w:docPartBody>
        <w:p w:rsidR="00652D71" w:rsidRDefault="00BA6DA1" w:rsidP="00BA6DA1">
          <w:pPr>
            <w:pStyle w:val="DFE03A7EC0964EA2BAD9FD25F0D7D7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837250C090407A834835F0D76D3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5E38C-460F-40AB-A52A-222AD3865D8C}"/>
      </w:docPartPr>
      <w:docPartBody>
        <w:p w:rsidR="00652D71" w:rsidRDefault="00BA6DA1" w:rsidP="00BA6DA1">
          <w:pPr>
            <w:pStyle w:val="25837250C090407A834835F0D76D3AB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710A74FE394A43A39A0D4042FB2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844C9-6EAE-42D6-972D-E3A93EE3E178}"/>
      </w:docPartPr>
      <w:docPartBody>
        <w:p w:rsidR="00652D71" w:rsidRDefault="00BA6DA1" w:rsidP="00BA6DA1">
          <w:pPr>
            <w:pStyle w:val="FB710A74FE394A43A39A0D4042FB23B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9A4DAEA67CD4379BC0B5B97F6FA1C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75FB1A-B165-4466-80A0-04F514498F1F}"/>
      </w:docPartPr>
      <w:docPartBody>
        <w:p w:rsidR="00652D71" w:rsidRDefault="00BA6DA1" w:rsidP="00BA6DA1">
          <w:pPr>
            <w:pStyle w:val="29A4DAEA67CD4379BC0B5B97F6FA1C6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1"/>
    <w:rsid w:val="003445AD"/>
    <w:rsid w:val="00516C64"/>
    <w:rsid w:val="00652D71"/>
    <w:rsid w:val="00BA6DA1"/>
    <w:rsid w:val="00BC14EC"/>
    <w:rsid w:val="00ED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6DA1"/>
  </w:style>
  <w:style w:type="paragraph" w:customStyle="1" w:styleId="DFE03A7EC0964EA2BAD9FD25F0D7D7E2">
    <w:name w:val="DFE03A7EC0964EA2BAD9FD25F0D7D7E2"/>
    <w:rsid w:val="00BA6DA1"/>
  </w:style>
  <w:style w:type="paragraph" w:customStyle="1" w:styleId="25837250C090407A834835F0D76D3AB4">
    <w:name w:val="25837250C090407A834835F0D76D3AB4"/>
    <w:rsid w:val="00BA6DA1"/>
  </w:style>
  <w:style w:type="paragraph" w:customStyle="1" w:styleId="FB710A74FE394A43A39A0D4042FB23B4">
    <w:name w:val="FB710A74FE394A43A39A0D4042FB23B4"/>
    <w:rsid w:val="00BA6DA1"/>
  </w:style>
  <w:style w:type="paragraph" w:customStyle="1" w:styleId="29A4DAEA67CD4379BC0B5B97F6FA1C69">
    <w:name w:val="29A4DAEA67CD4379BC0B5B97F6FA1C69"/>
    <w:rsid w:val="00BA6D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D59FA-38F5-475B-9C72-5918122E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1344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Kalmiel</dc:creator>
  <cp:lastModifiedBy>Morávková Věra</cp:lastModifiedBy>
  <cp:revision>10</cp:revision>
  <dcterms:created xsi:type="dcterms:W3CDTF">2021-06-03T12:08:00Z</dcterms:created>
  <dcterms:modified xsi:type="dcterms:W3CDTF">2021-06-16T08:14:00Z</dcterms:modified>
</cp:coreProperties>
</file>