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D9407" w14:textId="77777777" w:rsidR="00FA2E82" w:rsidRPr="00FA2180" w:rsidRDefault="00FA2E82">
      <w:pPr>
        <w:rPr>
          <w:noProof/>
        </w:rPr>
      </w:pPr>
    </w:p>
    <w:p w14:paraId="660477BA" w14:textId="77777777" w:rsidR="00FA2E82" w:rsidRPr="00FA2180" w:rsidRDefault="00FA2E82">
      <w:pPr>
        <w:rPr>
          <w:noProof/>
        </w:rPr>
      </w:pPr>
    </w:p>
    <w:p w14:paraId="54721AB2" w14:textId="77777777" w:rsidR="00FA2E82" w:rsidRPr="00FA2180" w:rsidRDefault="00FA2E82">
      <w:pPr>
        <w:rPr>
          <w:noProof/>
        </w:rPr>
      </w:pPr>
    </w:p>
    <w:p w14:paraId="38770FBB" w14:textId="77777777" w:rsidR="00FA2E82" w:rsidRPr="00FA2180" w:rsidRDefault="00FA2E82">
      <w:pPr>
        <w:rPr>
          <w:noProof/>
        </w:rPr>
      </w:pPr>
    </w:p>
    <w:p w14:paraId="4AA35672" w14:textId="77777777" w:rsidR="00FA2E82" w:rsidRPr="00FA2180" w:rsidRDefault="00FA2E82">
      <w:pPr>
        <w:rPr>
          <w:noProof/>
        </w:rPr>
      </w:pPr>
    </w:p>
    <w:p w14:paraId="77382143" w14:textId="77777777" w:rsidR="00FA2E82" w:rsidRPr="00FA2180" w:rsidRDefault="00FA2E82">
      <w:pPr>
        <w:rPr>
          <w:noProof/>
        </w:rPr>
      </w:pPr>
    </w:p>
    <w:p w14:paraId="3F60FCFA" w14:textId="77777777" w:rsidR="00FA2E82" w:rsidRPr="00FA2180" w:rsidRDefault="00FA2E82">
      <w:pPr>
        <w:rPr>
          <w:noProof/>
        </w:rPr>
      </w:pPr>
      <w:r w:rsidRPr="00FA2180">
        <w:rPr>
          <w:rStyle w:val="A1"/>
          <w:b/>
          <w:bCs/>
          <w:noProof/>
        </w:rPr>
        <w:t>Brucelový antigen pro test s bengálskou červení</w:t>
      </w:r>
    </w:p>
    <w:p w14:paraId="06D5E38E" w14:textId="77777777" w:rsidR="00FA2E82" w:rsidRPr="00FA2180" w:rsidRDefault="00FA2E82">
      <w:pPr>
        <w:rPr>
          <w:noProof/>
        </w:rPr>
      </w:pPr>
    </w:p>
    <w:p w14:paraId="5687852B" w14:textId="77777777" w:rsidR="00FA2E82" w:rsidRPr="00FA2180" w:rsidRDefault="00FA2E82">
      <w:pPr>
        <w:rPr>
          <w:noProof/>
        </w:rPr>
      </w:pPr>
    </w:p>
    <w:p w14:paraId="280CA082" w14:textId="77777777" w:rsidR="00FA2E82" w:rsidRPr="00FA2180" w:rsidRDefault="00FA2E82">
      <w:pPr>
        <w:rPr>
          <w:noProof/>
        </w:rPr>
      </w:pPr>
    </w:p>
    <w:p w14:paraId="0776658F" w14:textId="77777777" w:rsidR="00FA2E82" w:rsidRPr="00FA2180" w:rsidRDefault="00FA2E82">
      <w:pPr>
        <w:rPr>
          <w:noProof/>
        </w:rPr>
      </w:pPr>
    </w:p>
    <w:p w14:paraId="6422D99E" w14:textId="77777777" w:rsidR="00FA2E82" w:rsidRPr="00FA2180" w:rsidRDefault="00FA2E82">
      <w:pPr>
        <w:rPr>
          <w:noProof/>
        </w:rPr>
      </w:pPr>
    </w:p>
    <w:p w14:paraId="280364DB" w14:textId="77777777" w:rsidR="00FA2E82" w:rsidRPr="00FA2180" w:rsidRDefault="00FA2E82">
      <w:pPr>
        <w:rPr>
          <w:noProof/>
        </w:rPr>
      </w:pPr>
    </w:p>
    <w:p w14:paraId="2540F2F6" w14:textId="77777777" w:rsidR="00FA2E82" w:rsidRPr="00FA2180" w:rsidRDefault="00FA2E82">
      <w:pPr>
        <w:rPr>
          <w:noProof/>
        </w:rPr>
      </w:pPr>
    </w:p>
    <w:p w14:paraId="47B59332" w14:textId="77777777" w:rsidR="00FA2E82" w:rsidRPr="00FA2180" w:rsidRDefault="00FA2E82">
      <w:pPr>
        <w:rPr>
          <w:noProof/>
        </w:rPr>
      </w:pPr>
    </w:p>
    <w:p w14:paraId="1BDCB81D" w14:textId="77777777" w:rsidR="00FA2E82" w:rsidRPr="00FA2180" w:rsidRDefault="00FA2E82">
      <w:pPr>
        <w:rPr>
          <w:noProof/>
        </w:rPr>
      </w:pPr>
    </w:p>
    <w:p w14:paraId="7D8FE6EE" w14:textId="77777777" w:rsidR="00FA2E82" w:rsidRPr="00FA2180" w:rsidRDefault="00FA2E82">
      <w:pPr>
        <w:rPr>
          <w:noProof/>
        </w:rPr>
      </w:pPr>
    </w:p>
    <w:p w14:paraId="149B33B9" w14:textId="77777777" w:rsidR="00FA2E82" w:rsidRPr="00FA2180" w:rsidRDefault="00FA2E82">
      <w:pPr>
        <w:rPr>
          <w:noProof/>
        </w:rPr>
      </w:pPr>
    </w:p>
    <w:p w14:paraId="211BEC0B" w14:textId="77777777" w:rsidR="00FA2E82" w:rsidRPr="00FA2180" w:rsidRDefault="00FA2E82">
      <w:pPr>
        <w:rPr>
          <w:noProof/>
        </w:rPr>
      </w:pPr>
    </w:p>
    <w:p w14:paraId="473B1F70" w14:textId="77777777" w:rsidR="00FA2E82" w:rsidRPr="00FA2180" w:rsidRDefault="00FA2E82">
      <w:pPr>
        <w:rPr>
          <w:noProof/>
        </w:rPr>
      </w:pPr>
    </w:p>
    <w:p w14:paraId="4231E36E" w14:textId="77777777" w:rsidR="00FA2E82" w:rsidRPr="00FA2180" w:rsidRDefault="00FA2E82">
      <w:pPr>
        <w:rPr>
          <w:noProof/>
        </w:rPr>
      </w:pPr>
    </w:p>
    <w:p w14:paraId="0EEEC157" w14:textId="77777777" w:rsidR="00FA2E82" w:rsidRPr="00FA2180" w:rsidRDefault="00FA2E82">
      <w:pPr>
        <w:rPr>
          <w:noProof/>
        </w:rPr>
      </w:pPr>
    </w:p>
    <w:p w14:paraId="787BD9EE" w14:textId="77777777" w:rsidR="00FA2E82" w:rsidRPr="00FA2180" w:rsidRDefault="00FA2E82">
      <w:pPr>
        <w:rPr>
          <w:noProof/>
        </w:rPr>
      </w:pPr>
    </w:p>
    <w:p w14:paraId="4264698F" w14:textId="77777777" w:rsidR="00FA2E82" w:rsidRPr="00FA2180" w:rsidRDefault="00FA2E82">
      <w:pPr>
        <w:rPr>
          <w:noProof/>
        </w:rPr>
      </w:pPr>
    </w:p>
    <w:p w14:paraId="21327495" w14:textId="77777777" w:rsidR="00FA2E82" w:rsidRPr="00FA2180" w:rsidRDefault="00FA2E82">
      <w:pPr>
        <w:rPr>
          <w:noProof/>
        </w:rPr>
      </w:pPr>
    </w:p>
    <w:p w14:paraId="27AF459B" w14:textId="77777777" w:rsidR="00FA2E82" w:rsidRPr="00FA2180" w:rsidRDefault="00FA2E82">
      <w:pPr>
        <w:rPr>
          <w:noProof/>
        </w:rPr>
      </w:pPr>
    </w:p>
    <w:p w14:paraId="0A0E1E1C" w14:textId="77777777" w:rsidR="00FA2E82" w:rsidRPr="00FA2180" w:rsidRDefault="00FA2E82">
      <w:pPr>
        <w:rPr>
          <w:noProof/>
        </w:rPr>
      </w:pPr>
    </w:p>
    <w:p w14:paraId="5AA5C0A2" w14:textId="77777777" w:rsidR="00FA2E82" w:rsidRPr="00FA2180" w:rsidRDefault="00FA2E82">
      <w:pPr>
        <w:rPr>
          <w:noProof/>
        </w:rPr>
      </w:pPr>
    </w:p>
    <w:p w14:paraId="23DBE3FD" w14:textId="77777777" w:rsidR="00FA2E82" w:rsidRPr="00FA2180" w:rsidRDefault="00FA2E82">
      <w:pPr>
        <w:rPr>
          <w:noProof/>
        </w:rPr>
      </w:pPr>
    </w:p>
    <w:p w14:paraId="45C63248" w14:textId="77777777" w:rsidR="00FA2E82" w:rsidRPr="00FA2180" w:rsidRDefault="00FA2E82">
      <w:pPr>
        <w:rPr>
          <w:noProof/>
        </w:rPr>
      </w:pPr>
    </w:p>
    <w:p w14:paraId="5F83D809" w14:textId="77777777" w:rsidR="00FA2E82" w:rsidRPr="00FA2180" w:rsidRDefault="00FA2E82">
      <w:pPr>
        <w:rPr>
          <w:noProof/>
        </w:rPr>
      </w:pPr>
    </w:p>
    <w:p w14:paraId="6003AFFA" w14:textId="77777777" w:rsidR="00FA2E82" w:rsidRPr="00FA2180" w:rsidRDefault="00FA2E82">
      <w:pPr>
        <w:rPr>
          <w:noProof/>
        </w:rPr>
      </w:pPr>
    </w:p>
    <w:p w14:paraId="0882FA71" w14:textId="77777777" w:rsidR="00FA2E82" w:rsidRPr="00FA2180" w:rsidRDefault="00FA2E82">
      <w:pPr>
        <w:rPr>
          <w:noProof/>
        </w:rPr>
      </w:pPr>
    </w:p>
    <w:p w14:paraId="23CE74C1" w14:textId="77777777" w:rsidR="00FA2E82" w:rsidRPr="00FA2180" w:rsidRDefault="00FA2E82">
      <w:pPr>
        <w:rPr>
          <w:noProof/>
        </w:rPr>
      </w:pPr>
    </w:p>
    <w:p w14:paraId="4261D054" w14:textId="77777777" w:rsidR="00FA2E82" w:rsidRPr="00FA2180" w:rsidRDefault="00FA2E82">
      <w:pPr>
        <w:rPr>
          <w:noProof/>
        </w:rPr>
      </w:pPr>
    </w:p>
    <w:p w14:paraId="3D81F38B" w14:textId="77777777" w:rsidR="00FA2E82" w:rsidRPr="00FA2180" w:rsidRDefault="00FA2E82">
      <w:pPr>
        <w:rPr>
          <w:noProof/>
        </w:rPr>
      </w:pPr>
    </w:p>
    <w:p w14:paraId="3D68EAD8" w14:textId="77777777" w:rsidR="00FA2E82" w:rsidRPr="00FA2180" w:rsidRDefault="00FA2E82">
      <w:pPr>
        <w:rPr>
          <w:noProof/>
        </w:rPr>
      </w:pPr>
    </w:p>
    <w:p w14:paraId="7D064804" w14:textId="77777777" w:rsidR="00FA2E82" w:rsidRPr="00FA2180" w:rsidRDefault="00FA2E82">
      <w:pPr>
        <w:rPr>
          <w:noProof/>
        </w:rPr>
      </w:pPr>
    </w:p>
    <w:p w14:paraId="7505C2B4" w14:textId="77777777" w:rsidR="00FA2E82" w:rsidRPr="00FA2180" w:rsidRDefault="00FA2E82">
      <w:pPr>
        <w:rPr>
          <w:noProof/>
        </w:rPr>
      </w:pPr>
    </w:p>
    <w:p w14:paraId="790B59F7" w14:textId="77777777" w:rsidR="00FA2E82" w:rsidRPr="00FA2180" w:rsidRDefault="00FA2E82">
      <w:pPr>
        <w:rPr>
          <w:noProof/>
        </w:rPr>
      </w:pPr>
    </w:p>
    <w:p w14:paraId="43874C32" w14:textId="77777777" w:rsidR="00FA2E82" w:rsidRPr="00FA2180" w:rsidRDefault="00FA2E82">
      <w:pPr>
        <w:rPr>
          <w:noProof/>
        </w:rPr>
      </w:pPr>
    </w:p>
    <w:p w14:paraId="3882F08F" w14:textId="77777777" w:rsidR="00FA2E82" w:rsidRPr="00FA2180" w:rsidRDefault="00FA2E82">
      <w:pPr>
        <w:rPr>
          <w:noProof/>
        </w:rPr>
      </w:pPr>
    </w:p>
    <w:p w14:paraId="125361FD" w14:textId="77777777" w:rsidR="00FA2E82" w:rsidRPr="00FA2180" w:rsidRDefault="00FA2E82">
      <w:pPr>
        <w:rPr>
          <w:noProof/>
        </w:rPr>
      </w:pPr>
    </w:p>
    <w:p w14:paraId="23E2D7B1" w14:textId="77777777" w:rsidR="00FA2E82" w:rsidRPr="00FA2180" w:rsidRDefault="00FA2E82">
      <w:pPr>
        <w:rPr>
          <w:noProof/>
        </w:rPr>
      </w:pPr>
    </w:p>
    <w:p w14:paraId="50795E4B" w14:textId="77777777" w:rsidR="00FA2E82" w:rsidRPr="00FA2180" w:rsidRDefault="00227D85">
      <w:pPr>
        <w:rPr>
          <w:noProof/>
        </w:rPr>
      </w:pPr>
      <w:r>
        <w:rPr>
          <w:noProof/>
          <w:lang w:eastAsia="cs-CZ"/>
        </w:rPr>
        <w:drawing>
          <wp:anchor distT="0" distB="0" distL="114300" distR="114300" simplePos="0" relativeHeight="251657728" behindDoc="1" locked="0" layoutInCell="1" allowOverlap="1" wp14:anchorId="0E8D6597" wp14:editId="617F18E3">
            <wp:simplePos x="0" y="0"/>
            <wp:positionH relativeFrom="column">
              <wp:posOffset>4224655</wp:posOffset>
            </wp:positionH>
            <wp:positionV relativeFrom="paragraph">
              <wp:posOffset>161290</wp:posOffset>
            </wp:positionV>
            <wp:extent cx="1368425" cy="819150"/>
            <wp:effectExtent l="0" t="0" r="3175" b="0"/>
            <wp:wrapNone/>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8425" cy="819150"/>
                    </a:xfrm>
                    <a:prstGeom prst="rect">
                      <a:avLst/>
                    </a:prstGeom>
                    <a:noFill/>
                  </pic:spPr>
                </pic:pic>
              </a:graphicData>
            </a:graphic>
            <wp14:sizeRelH relativeFrom="page">
              <wp14:pctWidth>0</wp14:pctWidth>
            </wp14:sizeRelH>
            <wp14:sizeRelV relativeFrom="page">
              <wp14:pctHeight>0</wp14:pctHeight>
            </wp14:sizeRelV>
          </wp:anchor>
        </w:drawing>
      </w:r>
    </w:p>
    <w:p w14:paraId="5B23378A" w14:textId="77777777" w:rsidR="00FA2E82" w:rsidRPr="00FA2180" w:rsidRDefault="00FA2E82">
      <w:pPr>
        <w:rPr>
          <w:noProof/>
        </w:rPr>
      </w:pPr>
    </w:p>
    <w:p w14:paraId="7116903B" w14:textId="77777777" w:rsidR="00FA2E82" w:rsidRPr="00FA2180" w:rsidRDefault="00FA2E82" w:rsidP="00D64993">
      <w:pPr>
        <w:rPr>
          <w:noProof/>
        </w:rPr>
      </w:pPr>
      <w:r w:rsidRPr="00FA2180">
        <w:rPr>
          <w:noProof/>
          <w:sz w:val="18"/>
          <w:szCs w:val="18"/>
        </w:rPr>
        <w:t>Pourquier* Rose Bengal Ag</w:t>
      </w:r>
    </w:p>
    <w:p w14:paraId="09A8253E" w14:textId="77777777" w:rsidR="00FA2E82" w:rsidRPr="00FA2180" w:rsidRDefault="00FA2E82" w:rsidP="00D64993">
      <w:pPr>
        <w:rPr>
          <w:noProof/>
          <w:sz w:val="16"/>
          <w:szCs w:val="16"/>
        </w:rPr>
      </w:pPr>
      <w:r w:rsidRPr="00FA2180">
        <w:rPr>
          <w:noProof/>
          <w:sz w:val="16"/>
          <w:szCs w:val="16"/>
        </w:rPr>
        <w:t>P00215-01</w:t>
      </w:r>
    </w:p>
    <w:p w14:paraId="12A96E1A" w14:textId="77777777" w:rsidR="00FA2E82" w:rsidRPr="00FA2180" w:rsidRDefault="00FA2E82">
      <w:pPr>
        <w:rPr>
          <w:noProof/>
        </w:rPr>
      </w:pPr>
    </w:p>
    <w:p w14:paraId="08F1A63A" w14:textId="77777777" w:rsidR="00FA2E82" w:rsidRPr="00FA2180" w:rsidRDefault="00FA2E82">
      <w:pPr>
        <w:rPr>
          <w:noProof/>
        </w:rPr>
      </w:pPr>
    </w:p>
    <w:p w14:paraId="3982BD30" w14:textId="77777777" w:rsidR="00FA2E82" w:rsidRPr="00FA2180" w:rsidRDefault="00FA2E82">
      <w:pPr>
        <w:rPr>
          <w:noProof/>
        </w:rPr>
      </w:pPr>
    </w:p>
    <w:p w14:paraId="67A0A42A" w14:textId="77777777" w:rsidR="00FA2E82" w:rsidRPr="00FA2180" w:rsidRDefault="00FA2E82" w:rsidP="00D64993">
      <w:pPr>
        <w:pBdr>
          <w:top w:val="single" w:sz="4" w:space="1" w:color="auto"/>
          <w:left w:val="single" w:sz="4" w:space="4" w:color="auto"/>
          <w:bottom w:val="single" w:sz="4" w:space="1" w:color="auto"/>
          <w:right w:val="single" w:sz="4" w:space="4" w:color="auto"/>
        </w:pBdr>
        <w:shd w:val="clear" w:color="auto" w:fill="404040"/>
        <w:rPr>
          <w:b/>
          <w:bCs/>
          <w:noProof/>
          <w:color w:val="000000"/>
          <w:sz w:val="16"/>
          <w:szCs w:val="16"/>
        </w:rPr>
      </w:pPr>
    </w:p>
    <w:p w14:paraId="18C6D546" w14:textId="77777777" w:rsidR="00FA2E82" w:rsidRPr="00FA2180" w:rsidRDefault="00FA2E82" w:rsidP="00D64993">
      <w:pPr>
        <w:pBdr>
          <w:top w:val="single" w:sz="4" w:space="1" w:color="auto"/>
          <w:left w:val="single" w:sz="4" w:space="4" w:color="auto"/>
          <w:bottom w:val="single" w:sz="4" w:space="1" w:color="auto"/>
          <w:right w:val="single" w:sz="4" w:space="4" w:color="auto"/>
        </w:pBdr>
        <w:shd w:val="clear" w:color="auto" w:fill="404040"/>
        <w:jc w:val="right"/>
        <w:rPr>
          <w:noProof/>
          <w:color w:val="FFFFFF"/>
          <w:sz w:val="28"/>
          <w:szCs w:val="28"/>
        </w:rPr>
      </w:pPr>
      <w:r w:rsidRPr="00FA2180">
        <w:rPr>
          <w:b/>
          <w:bCs/>
          <w:noProof/>
          <w:color w:val="FFFFFF"/>
          <w:sz w:val="28"/>
          <w:szCs w:val="28"/>
        </w:rPr>
        <w:t>Brucelový antigen pro test s bengálskou červení</w:t>
      </w:r>
    </w:p>
    <w:p w14:paraId="1EF09521" w14:textId="77777777" w:rsidR="00FA2E82" w:rsidRPr="00FA2180" w:rsidRDefault="00FA2E82" w:rsidP="00D64993">
      <w:pPr>
        <w:pBdr>
          <w:top w:val="single" w:sz="4" w:space="1" w:color="auto"/>
          <w:left w:val="single" w:sz="4" w:space="4" w:color="auto"/>
          <w:bottom w:val="single" w:sz="4" w:space="1" w:color="auto"/>
          <w:right w:val="single" w:sz="4" w:space="4" w:color="auto"/>
        </w:pBdr>
        <w:shd w:val="clear" w:color="auto" w:fill="404040"/>
        <w:rPr>
          <w:noProof/>
          <w:sz w:val="16"/>
          <w:szCs w:val="16"/>
        </w:rPr>
      </w:pPr>
    </w:p>
    <w:p w14:paraId="0E95DD65" w14:textId="77777777" w:rsidR="00FA2E82" w:rsidRPr="00FA2180" w:rsidRDefault="00FA2E82" w:rsidP="00D64993">
      <w:pPr>
        <w:jc w:val="right"/>
        <w:rPr>
          <w:noProof/>
          <w:color w:val="000000"/>
          <w:sz w:val="16"/>
          <w:szCs w:val="16"/>
        </w:rPr>
      </w:pPr>
    </w:p>
    <w:p w14:paraId="265B2D55" w14:textId="052AD84F" w:rsidR="00FA2E82" w:rsidRPr="00FA2180" w:rsidRDefault="00FA2E82" w:rsidP="00D64993">
      <w:pPr>
        <w:jc w:val="right"/>
        <w:rPr>
          <w:noProof/>
        </w:rPr>
      </w:pPr>
      <w:r w:rsidRPr="00FA2180">
        <w:rPr>
          <w:noProof/>
          <w:color w:val="000000"/>
        </w:rPr>
        <w:t xml:space="preserve">Pouze pro veterinární </w:t>
      </w:r>
      <w:r w:rsidR="0052731E">
        <w:rPr>
          <w:noProof/>
          <w:color w:val="000000"/>
        </w:rPr>
        <w:t>užití</w:t>
      </w:r>
    </w:p>
    <w:p w14:paraId="12E6CDDA" w14:textId="77777777" w:rsidR="00FA2E82" w:rsidRPr="00FA2180" w:rsidRDefault="00FA2E82" w:rsidP="00D64993">
      <w:pPr>
        <w:rPr>
          <w:noProof/>
        </w:rPr>
      </w:pPr>
    </w:p>
    <w:p w14:paraId="3B73F1F9" w14:textId="77777777" w:rsidR="00FA2E82" w:rsidRPr="00FA2180" w:rsidRDefault="00FA2E82" w:rsidP="00D64993">
      <w:pPr>
        <w:rPr>
          <w:noProof/>
        </w:rPr>
      </w:pPr>
    </w:p>
    <w:p w14:paraId="6A16A5C3" w14:textId="77777777" w:rsidR="00FA2E82" w:rsidRPr="00FA2180" w:rsidRDefault="00FA2E82" w:rsidP="00D64993">
      <w:pPr>
        <w:autoSpaceDE w:val="0"/>
        <w:autoSpaceDN w:val="0"/>
        <w:adjustRightInd w:val="0"/>
        <w:spacing w:line="360" w:lineRule="auto"/>
        <w:rPr>
          <w:b/>
          <w:bCs/>
          <w:noProof/>
          <w:sz w:val="25"/>
          <w:szCs w:val="25"/>
        </w:rPr>
      </w:pPr>
      <w:r w:rsidRPr="00FA2180">
        <w:rPr>
          <w:b/>
          <w:bCs/>
          <w:noProof/>
          <w:sz w:val="25"/>
          <w:szCs w:val="25"/>
        </w:rPr>
        <w:t>Název a určené použití</w:t>
      </w:r>
    </w:p>
    <w:p w14:paraId="01E20E8C" w14:textId="77777777" w:rsidR="00FA2E82" w:rsidRPr="00FA2180" w:rsidRDefault="00FA2E82" w:rsidP="00D64993">
      <w:pPr>
        <w:autoSpaceDE w:val="0"/>
        <w:autoSpaceDN w:val="0"/>
        <w:adjustRightInd w:val="0"/>
        <w:rPr>
          <w:noProof/>
        </w:rPr>
      </w:pPr>
      <w:r w:rsidRPr="00FA2180">
        <w:rPr>
          <w:noProof/>
        </w:rPr>
        <w:t>Pourquier* Rose Bengal Ag je test společnosti IDEXX používající bengálskou červeň pro sérologickou diagnostiku protilátek proti brucelóze (</w:t>
      </w:r>
      <w:r w:rsidRPr="00FA2180">
        <w:rPr>
          <w:i/>
          <w:iCs/>
          <w:noProof/>
        </w:rPr>
        <w:t>B. melitensis, B. abortus</w:t>
      </w:r>
      <w:r w:rsidRPr="00FA2180">
        <w:rPr>
          <w:noProof/>
        </w:rPr>
        <w:t xml:space="preserve"> a </w:t>
      </w:r>
      <w:r w:rsidRPr="00FA2180">
        <w:rPr>
          <w:i/>
          <w:iCs/>
          <w:noProof/>
        </w:rPr>
        <w:t>B. suis</w:t>
      </w:r>
      <w:r w:rsidRPr="00FA2180">
        <w:rPr>
          <w:noProof/>
        </w:rPr>
        <w:t>) metodou rychlé sklíčkové aglutinace.</w:t>
      </w:r>
    </w:p>
    <w:p w14:paraId="5854C921" w14:textId="77777777" w:rsidR="00FA2E82" w:rsidRPr="00FA2180" w:rsidRDefault="00FA2E82" w:rsidP="00D64993">
      <w:pPr>
        <w:rPr>
          <w:noProof/>
          <w:sz w:val="16"/>
          <w:szCs w:val="16"/>
        </w:rPr>
      </w:pPr>
    </w:p>
    <w:p w14:paraId="47B4E0A4" w14:textId="77777777" w:rsidR="00FA2E82" w:rsidRPr="00FA2180" w:rsidRDefault="00FA2E82" w:rsidP="00D64993">
      <w:pPr>
        <w:rPr>
          <w:noProof/>
        </w:rPr>
      </w:pPr>
    </w:p>
    <w:p w14:paraId="011AC268" w14:textId="77777777" w:rsidR="00FA2E82" w:rsidRPr="00FA2180" w:rsidRDefault="00FA2E82" w:rsidP="006F53E5">
      <w:pPr>
        <w:autoSpaceDE w:val="0"/>
        <w:autoSpaceDN w:val="0"/>
        <w:adjustRightInd w:val="0"/>
        <w:spacing w:line="360" w:lineRule="auto"/>
        <w:rPr>
          <w:b/>
          <w:bCs/>
          <w:noProof/>
          <w:sz w:val="25"/>
          <w:szCs w:val="25"/>
        </w:rPr>
      </w:pPr>
      <w:r w:rsidRPr="00FA2180">
        <w:rPr>
          <w:b/>
          <w:bCs/>
          <w:noProof/>
          <w:sz w:val="25"/>
          <w:szCs w:val="25"/>
        </w:rPr>
        <w:t>Popis a principy</w:t>
      </w:r>
    </w:p>
    <w:p w14:paraId="7AA0C68D" w14:textId="77777777" w:rsidR="00FA2E82" w:rsidRPr="00FA2180" w:rsidRDefault="00FA2E82">
      <w:pPr>
        <w:rPr>
          <w:noProof/>
        </w:rPr>
      </w:pPr>
      <w:r w:rsidRPr="00FA2180">
        <w:rPr>
          <w:noProof/>
        </w:rPr>
        <w:t>Pourquier* Rose Bengal Ag je založen na metodě aglutinace na des</w:t>
      </w:r>
      <w:r w:rsidR="00227D85">
        <w:rPr>
          <w:noProof/>
        </w:rPr>
        <w:t>tič</w:t>
      </w:r>
      <w:r w:rsidRPr="00FA2180">
        <w:rPr>
          <w:noProof/>
        </w:rPr>
        <w:t>kách při použití antigenu obarveného bengálskou červení v pufrovaném kyselém médiu (pH 3,65  ± 0,05). Kyselé médium zabraňuje nespecifickým aglutinacím. Pokud jsou ve vzorku přítomny protilátky proti brucelóze, brucelový antigen se naváže (aglutinuje) na vzorek. Vzorky vykazující přítomnost aglutinace (i nepatrné aglutinace) se považují za pozitivní (tj. přítomnost protilátek proti brucelóze). Vzorky, které nevykazují žádnou aglutinaci, se považují za negativní (tj. bez přítomnosti protilátek proti brucelóze).</w:t>
      </w:r>
    </w:p>
    <w:p w14:paraId="04EE06F7" w14:textId="419BF8DD" w:rsidR="00FA2E82" w:rsidRPr="00FA2180" w:rsidRDefault="00FA2E82">
      <w:pPr>
        <w:rPr>
          <w:noProof/>
        </w:rPr>
      </w:pPr>
      <w:r w:rsidRPr="00FA2180">
        <w:rPr>
          <w:noProof/>
        </w:rPr>
        <w:t xml:space="preserve">V případě suspenze brucelového antigenu použité v této testovací soupravě se jedná o koncentrovanou suspenzi antigenu </w:t>
      </w:r>
      <w:r w:rsidRPr="00FA2180">
        <w:rPr>
          <w:i/>
          <w:iCs/>
          <w:noProof/>
        </w:rPr>
        <w:t>Brucella abortus</w:t>
      </w:r>
      <w:r w:rsidRPr="00FA2180">
        <w:rPr>
          <w:noProof/>
        </w:rPr>
        <w:t xml:space="preserve"> (kmen Weybridge 99), inaktivovanou teplem a fenolem</w:t>
      </w:r>
      <w:r w:rsidR="0052731E">
        <w:rPr>
          <w:noProof/>
        </w:rPr>
        <w:t xml:space="preserve"> (0,5%)</w:t>
      </w:r>
      <w:r w:rsidRPr="00FA2180">
        <w:rPr>
          <w:noProof/>
        </w:rPr>
        <w:t xml:space="preserve">, rozpuštěnou v kyselém pufru a obarvenou bengálskou červení. Suspenze je kalibrována na základě standardního séra OIE (OIE International Standard Serum - OIEISS) nebo národního sekundárního standardu tak, aby poskytovala pozitivní reakci při ředění 1:45 a negativní reakci při ředění 1:55, v souladu s požadavky Světové organizace pro zdraví zvířat (OIE). </w:t>
      </w:r>
    </w:p>
    <w:p w14:paraId="3A8DD46C" w14:textId="77777777" w:rsidR="00FA2E82" w:rsidRPr="00FA2180" w:rsidRDefault="00FA2E82">
      <w:pPr>
        <w:rPr>
          <w:noProof/>
          <w:sz w:val="16"/>
          <w:szCs w:val="16"/>
        </w:rPr>
      </w:pPr>
    </w:p>
    <w:p w14:paraId="71CB2F2E" w14:textId="77777777" w:rsidR="00FA2E82" w:rsidRPr="00FA2180" w:rsidRDefault="00FA2E82" w:rsidP="00BA6948">
      <w:pPr>
        <w:rPr>
          <w:noProof/>
          <w:sz w:val="12"/>
          <w:szCs w:val="12"/>
        </w:rPr>
      </w:pPr>
    </w:p>
    <w:tbl>
      <w:tblPr>
        <w:tblW w:w="0" w:type="auto"/>
        <w:tblInd w:w="-106" w:type="dxa"/>
        <w:tblLayout w:type="fixed"/>
        <w:tblLook w:val="00A0" w:firstRow="1" w:lastRow="0" w:firstColumn="1" w:lastColumn="0" w:noHBand="0" w:noVBand="0"/>
      </w:tblPr>
      <w:tblGrid>
        <w:gridCol w:w="1758"/>
        <w:gridCol w:w="3912"/>
        <w:gridCol w:w="1701"/>
        <w:gridCol w:w="1701"/>
      </w:tblGrid>
      <w:tr w:rsidR="00FA2E82" w:rsidRPr="000B0A1C" w14:paraId="7A7D3CD6" w14:textId="77777777">
        <w:tc>
          <w:tcPr>
            <w:tcW w:w="1758" w:type="dxa"/>
          </w:tcPr>
          <w:p w14:paraId="1ADDF1EC" w14:textId="77777777" w:rsidR="00FA2E82" w:rsidRPr="000B0A1C" w:rsidRDefault="00FA2E82">
            <w:pPr>
              <w:rPr>
                <w:b/>
                <w:bCs/>
                <w:noProof/>
              </w:rPr>
            </w:pPr>
            <w:r w:rsidRPr="000B0A1C">
              <w:rPr>
                <w:b/>
                <w:bCs/>
                <w:noProof/>
              </w:rPr>
              <w:t>Reagencie</w:t>
            </w:r>
          </w:p>
        </w:tc>
        <w:tc>
          <w:tcPr>
            <w:tcW w:w="3912" w:type="dxa"/>
          </w:tcPr>
          <w:p w14:paraId="4F96A81A" w14:textId="77777777" w:rsidR="00FA2E82" w:rsidRPr="000B0A1C" w:rsidRDefault="00FA2E82">
            <w:pPr>
              <w:rPr>
                <w:noProof/>
              </w:rPr>
            </w:pPr>
          </w:p>
        </w:tc>
        <w:tc>
          <w:tcPr>
            <w:tcW w:w="3402" w:type="dxa"/>
            <w:gridSpan w:val="2"/>
          </w:tcPr>
          <w:p w14:paraId="61BBBE37" w14:textId="77777777" w:rsidR="00FA2E82" w:rsidRPr="000B0A1C" w:rsidRDefault="00FA2E82" w:rsidP="000B0A1C">
            <w:pPr>
              <w:jc w:val="center"/>
              <w:rPr>
                <w:b/>
                <w:bCs/>
                <w:noProof/>
              </w:rPr>
            </w:pPr>
            <w:r w:rsidRPr="000B0A1C">
              <w:rPr>
                <w:b/>
                <w:bCs/>
                <w:noProof/>
              </w:rPr>
              <w:t>Množství</w:t>
            </w:r>
          </w:p>
        </w:tc>
      </w:tr>
      <w:tr w:rsidR="00FA2E82" w:rsidRPr="000B0A1C" w14:paraId="6A563D77" w14:textId="77777777">
        <w:tc>
          <w:tcPr>
            <w:tcW w:w="1758" w:type="dxa"/>
          </w:tcPr>
          <w:p w14:paraId="3193DD6C" w14:textId="77777777" w:rsidR="00FA2E82" w:rsidRPr="000B0A1C" w:rsidRDefault="00FA2E82" w:rsidP="000B0A1C">
            <w:pPr>
              <w:jc w:val="center"/>
              <w:rPr>
                <w:noProof/>
                <w:sz w:val="12"/>
                <w:szCs w:val="12"/>
              </w:rPr>
            </w:pPr>
          </w:p>
          <w:p w14:paraId="10A23F7F" w14:textId="77777777" w:rsidR="00FA2E82" w:rsidRPr="000B0A1C" w:rsidRDefault="00FA2E82" w:rsidP="000B0A1C">
            <w:pPr>
              <w:jc w:val="center"/>
              <w:rPr>
                <w:noProof/>
              </w:rPr>
            </w:pPr>
            <w:r w:rsidRPr="000B0A1C">
              <w:rPr>
                <w:noProof/>
              </w:rPr>
              <w:t>1</w:t>
            </w:r>
          </w:p>
        </w:tc>
        <w:tc>
          <w:tcPr>
            <w:tcW w:w="3912" w:type="dxa"/>
          </w:tcPr>
          <w:p w14:paraId="3B6A94A6" w14:textId="77777777" w:rsidR="00FA2E82" w:rsidRPr="000B0A1C" w:rsidRDefault="00FA2E82">
            <w:pPr>
              <w:rPr>
                <w:noProof/>
                <w:sz w:val="12"/>
                <w:szCs w:val="12"/>
              </w:rPr>
            </w:pPr>
          </w:p>
          <w:p w14:paraId="02D56FE9" w14:textId="77777777" w:rsidR="00FA2E82" w:rsidRPr="000B0A1C" w:rsidRDefault="00FA2E82">
            <w:pPr>
              <w:rPr>
                <w:noProof/>
              </w:rPr>
            </w:pPr>
            <w:r w:rsidRPr="000B0A1C">
              <w:rPr>
                <w:noProof/>
              </w:rPr>
              <w:t>Brucelový antigen pro test s bengálskou červení</w:t>
            </w:r>
          </w:p>
        </w:tc>
        <w:tc>
          <w:tcPr>
            <w:tcW w:w="1701" w:type="dxa"/>
          </w:tcPr>
          <w:p w14:paraId="5132FBAF" w14:textId="77777777" w:rsidR="00FA2E82" w:rsidRPr="000B0A1C" w:rsidRDefault="00FA2E82" w:rsidP="000B0A1C">
            <w:pPr>
              <w:jc w:val="center"/>
              <w:rPr>
                <w:noProof/>
                <w:sz w:val="12"/>
                <w:szCs w:val="12"/>
              </w:rPr>
            </w:pPr>
          </w:p>
          <w:p w14:paraId="2BEE51B4" w14:textId="77777777" w:rsidR="00FA2E82" w:rsidRPr="000B0A1C" w:rsidRDefault="00FA2E82" w:rsidP="000B0A1C">
            <w:pPr>
              <w:jc w:val="center"/>
              <w:rPr>
                <w:noProof/>
              </w:rPr>
            </w:pPr>
            <w:r w:rsidRPr="000B0A1C">
              <w:rPr>
                <w:noProof/>
              </w:rPr>
              <w:t>5 x 10 ml</w:t>
            </w:r>
          </w:p>
        </w:tc>
        <w:tc>
          <w:tcPr>
            <w:tcW w:w="1701" w:type="dxa"/>
          </w:tcPr>
          <w:p w14:paraId="70C12ACC" w14:textId="77777777" w:rsidR="00FA2E82" w:rsidRPr="000B0A1C" w:rsidRDefault="00FA2E82" w:rsidP="000B0A1C">
            <w:pPr>
              <w:jc w:val="center"/>
              <w:rPr>
                <w:noProof/>
                <w:sz w:val="12"/>
                <w:szCs w:val="12"/>
              </w:rPr>
            </w:pPr>
          </w:p>
          <w:p w14:paraId="3D93CE18" w14:textId="002119DB" w:rsidR="00FA2E82" w:rsidRPr="000B0A1C" w:rsidRDefault="0052731E" w:rsidP="000B0A1C">
            <w:pPr>
              <w:jc w:val="center"/>
              <w:rPr>
                <w:noProof/>
              </w:rPr>
            </w:pPr>
            <w:r>
              <w:rPr>
                <w:noProof/>
              </w:rPr>
              <w:t xml:space="preserve">1 x </w:t>
            </w:r>
            <w:r w:rsidR="00FA2E82" w:rsidRPr="000B0A1C">
              <w:rPr>
                <w:noProof/>
              </w:rPr>
              <w:t>100 ml</w:t>
            </w:r>
          </w:p>
        </w:tc>
      </w:tr>
    </w:tbl>
    <w:p w14:paraId="0980FAC4" w14:textId="77777777" w:rsidR="00FA2E82" w:rsidRPr="00FA2180" w:rsidRDefault="00FA2E82" w:rsidP="00243977">
      <w:pPr>
        <w:pStyle w:val="Bezmezer1"/>
        <w:ind w:left="0" w:firstLine="0"/>
        <w:rPr>
          <w:rFonts w:ascii="Times New Roman" w:hAnsi="Times New Roman" w:cs="Times New Roman"/>
          <w:noProof/>
          <w:sz w:val="18"/>
          <w:szCs w:val="18"/>
        </w:rPr>
      </w:pPr>
    </w:p>
    <w:p w14:paraId="3420E056" w14:textId="6FA6BDE6" w:rsidR="00FA2E82" w:rsidRPr="00FA2180" w:rsidRDefault="00FA2E82" w:rsidP="00243977">
      <w:pPr>
        <w:pStyle w:val="Bezmezer1"/>
        <w:ind w:left="0" w:firstLine="0"/>
        <w:rPr>
          <w:rFonts w:ascii="Times New Roman" w:hAnsi="Times New Roman" w:cs="Times New Roman"/>
          <w:noProof/>
          <w:sz w:val="18"/>
          <w:szCs w:val="18"/>
        </w:rPr>
      </w:pPr>
      <w:r w:rsidRPr="00FA2180">
        <w:rPr>
          <w:rFonts w:ascii="Times New Roman" w:hAnsi="Times New Roman" w:cs="Times New Roman"/>
          <w:noProof/>
          <w:sz w:val="18"/>
          <w:szCs w:val="18"/>
        </w:rPr>
        <w:t xml:space="preserve">POZNÁMKA: </w:t>
      </w:r>
      <w:r w:rsidRPr="00FA2180">
        <w:rPr>
          <w:rFonts w:ascii="Times New Roman" w:hAnsi="Times New Roman" w:cs="Times New Roman"/>
          <w:noProof/>
          <w:snapToGrid w:val="0"/>
          <w:sz w:val="18"/>
          <w:szCs w:val="18"/>
        </w:rPr>
        <w:t>Popis mezinárodních symbolů použitých na etiketách soupravy je uveden</w:t>
      </w:r>
      <w:r w:rsidR="0052731E">
        <w:rPr>
          <w:rFonts w:ascii="Times New Roman" w:hAnsi="Times New Roman" w:cs="Times New Roman"/>
          <w:noProof/>
          <w:snapToGrid w:val="0"/>
          <w:sz w:val="18"/>
          <w:szCs w:val="18"/>
        </w:rPr>
        <w:t xml:space="preserve"> na konci </w:t>
      </w:r>
      <w:r w:rsidR="005417FB">
        <w:rPr>
          <w:rFonts w:ascii="Times New Roman" w:hAnsi="Times New Roman" w:cs="Times New Roman"/>
          <w:noProof/>
          <w:snapToGrid w:val="0"/>
          <w:sz w:val="18"/>
          <w:szCs w:val="18"/>
        </w:rPr>
        <w:t>této příbalové informace</w:t>
      </w:r>
      <w:r w:rsidR="0052731E">
        <w:rPr>
          <w:rFonts w:ascii="Times New Roman" w:hAnsi="Times New Roman" w:cs="Times New Roman"/>
          <w:noProof/>
          <w:snapToGrid w:val="0"/>
          <w:sz w:val="18"/>
          <w:szCs w:val="18"/>
        </w:rPr>
        <w:t>.</w:t>
      </w:r>
    </w:p>
    <w:p w14:paraId="6C4B0062" w14:textId="77777777" w:rsidR="00FA2E82" w:rsidRPr="00FA2180" w:rsidRDefault="00FA2E82">
      <w:pPr>
        <w:rPr>
          <w:noProof/>
          <w:sz w:val="16"/>
          <w:szCs w:val="16"/>
        </w:rPr>
      </w:pPr>
    </w:p>
    <w:p w14:paraId="5B5E7D9D" w14:textId="4270E5E9" w:rsidR="0052731E" w:rsidRPr="00FA2180" w:rsidRDefault="0052731E" w:rsidP="0052731E">
      <w:pPr>
        <w:autoSpaceDE w:val="0"/>
        <w:autoSpaceDN w:val="0"/>
        <w:adjustRightInd w:val="0"/>
        <w:spacing w:line="360" w:lineRule="auto"/>
        <w:rPr>
          <w:b/>
          <w:bCs/>
          <w:noProof/>
          <w:sz w:val="25"/>
          <w:szCs w:val="25"/>
        </w:rPr>
      </w:pPr>
      <w:r>
        <w:rPr>
          <w:b/>
          <w:bCs/>
          <w:noProof/>
          <w:sz w:val="25"/>
          <w:szCs w:val="25"/>
        </w:rPr>
        <w:t>Uchovávání</w:t>
      </w:r>
    </w:p>
    <w:p w14:paraId="5305E080" w14:textId="1014B06B" w:rsidR="0052731E" w:rsidRPr="00FA2180" w:rsidRDefault="0052731E" w:rsidP="0052731E">
      <w:pPr>
        <w:rPr>
          <w:b/>
          <w:bCs/>
          <w:noProof/>
          <w:u w:val="single"/>
        </w:rPr>
      </w:pPr>
      <w:r w:rsidRPr="00FA2180">
        <w:rPr>
          <w:noProof/>
        </w:rPr>
        <w:t xml:space="preserve">Všechny reagencie uchovávejte v temnu při teplotě 2 – 8°C. </w:t>
      </w:r>
      <w:r w:rsidRPr="00FA2180">
        <w:rPr>
          <w:b/>
          <w:bCs/>
          <w:noProof/>
          <w:u w:val="single"/>
        </w:rPr>
        <w:t>Nezmrazujte.</w:t>
      </w:r>
      <w:r>
        <w:rPr>
          <w:b/>
          <w:bCs/>
          <w:noProof/>
          <w:u w:val="single"/>
        </w:rPr>
        <w:t xml:space="preserve"> </w:t>
      </w:r>
      <w:r>
        <w:rPr>
          <w:noProof/>
        </w:rPr>
        <w:t xml:space="preserve"> </w:t>
      </w:r>
      <w:r w:rsidRPr="0052731E">
        <w:rPr>
          <w:noProof/>
        </w:rPr>
        <w:t>Pokud byly dodrženy podmínky správné přípravy, jsou reagencie stabilní až do data exspirace.</w:t>
      </w:r>
    </w:p>
    <w:p w14:paraId="145A91D6" w14:textId="77777777" w:rsidR="00FA2E82" w:rsidRPr="00FA2180" w:rsidRDefault="00FA2E82">
      <w:pPr>
        <w:rPr>
          <w:noProof/>
        </w:rPr>
      </w:pPr>
    </w:p>
    <w:p w14:paraId="6CCEF8F4" w14:textId="5B319177" w:rsidR="0052731E" w:rsidRPr="0052731E" w:rsidRDefault="00FA2E82" w:rsidP="00243977">
      <w:pPr>
        <w:autoSpaceDE w:val="0"/>
        <w:autoSpaceDN w:val="0"/>
        <w:adjustRightInd w:val="0"/>
        <w:spacing w:line="360" w:lineRule="auto"/>
        <w:rPr>
          <w:b/>
          <w:bCs/>
          <w:noProof/>
          <w:sz w:val="25"/>
          <w:szCs w:val="25"/>
        </w:rPr>
      </w:pPr>
      <w:r w:rsidRPr="00FA2180">
        <w:rPr>
          <w:b/>
          <w:bCs/>
          <w:noProof/>
          <w:sz w:val="25"/>
          <w:szCs w:val="25"/>
        </w:rPr>
        <w:t>Potřebné materiály, které nejsou součástí soupravy</w:t>
      </w:r>
    </w:p>
    <w:p w14:paraId="27831739" w14:textId="471305B1" w:rsidR="00FA2E82" w:rsidRDefault="0052731E" w:rsidP="00243977">
      <w:pPr>
        <w:pStyle w:val="Odstavecseseznamem"/>
        <w:numPr>
          <w:ilvl w:val="0"/>
          <w:numId w:val="1"/>
        </w:numPr>
        <w:rPr>
          <w:noProof/>
        </w:rPr>
      </w:pPr>
      <w:r>
        <w:rPr>
          <w:noProof/>
        </w:rPr>
        <w:t>Pozitivní kontrola (dostupná od firmy IDEXX)</w:t>
      </w:r>
    </w:p>
    <w:p w14:paraId="3FCE3EDA" w14:textId="4DC53855" w:rsidR="0052731E" w:rsidRDefault="0052731E" w:rsidP="00243977">
      <w:pPr>
        <w:pStyle w:val="Odstavecseseznamem"/>
        <w:numPr>
          <w:ilvl w:val="0"/>
          <w:numId w:val="1"/>
        </w:numPr>
        <w:rPr>
          <w:noProof/>
        </w:rPr>
      </w:pPr>
      <w:r>
        <w:rPr>
          <w:noProof/>
        </w:rPr>
        <w:t>Negativní kontrola (dostupna od firmy IDEXX)</w:t>
      </w:r>
    </w:p>
    <w:p w14:paraId="64D36873" w14:textId="3885AD58" w:rsidR="0052731E" w:rsidRPr="00FA2180" w:rsidRDefault="0052731E" w:rsidP="0052731E">
      <w:pPr>
        <w:pStyle w:val="Odstavecseseznamem"/>
        <w:numPr>
          <w:ilvl w:val="0"/>
          <w:numId w:val="1"/>
        </w:numPr>
        <w:rPr>
          <w:noProof/>
        </w:rPr>
      </w:pPr>
      <w:r w:rsidRPr="00FA2180">
        <w:rPr>
          <w:noProof/>
        </w:rPr>
        <w:t>Destičky pro distribuci reagencií a vzorků</w:t>
      </w:r>
    </w:p>
    <w:p w14:paraId="6B1EB38E" w14:textId="2FDDB20E" w:rsidR="00FA2E82" w:rsidRPr="00FA2180" w:rsidRDefault="00FA2E82" w:rsidP="00243977">
      <w:pPr>
        <w:pStyle w:val="Odstavecseseznamem"/>
        <w:numPr>
          <w:ilvl w:val="0"/>
          <w:numId w:val="1"/>
        </w:numPr>
        <w:rPr>
          <w:noProof/>
        </w:rPr>
      </w:pPr>
      <w:r w:rsidRPr="00FA2180">
        <w:rPr>
          <w:rFonts w:eastAsia="Swiss721BT-Roman"/>
          <w:noProof/>
          <w:color w:val="000000"/>
        </w:rPr>
        <w:t>Přesné pipety a vícekanálové mikropipety</w:t>
      </w:r>
    </w:p>
    <w:p w14:paraId="13DB443A" w14:textId="77777777" w:rsidR="00FA2E82" w:rsidRPr="00FA2180" w:rsidRDefault="00FA2E82" w:rsidP="00243977">
      <w:pPr>
        <w:pStyle w:val="Odstavecseseznamem"/>
        <w:numPr>
          <w:ilvl w:val="0"/>
          <w:numId w:val="1"/>
        </w:numPr>
        <w:rPr>
          <w:noProof/>
        </w:rPr>
      </w:pPr>
      <w:r w:rsidRPr="00FA2180">
        <w:rPr>
          <w:noProof/>
        </w:rPr>
        <w:t>Jednorázové pipetové špičky</w:t>
      </w:r>
    </w:p>
    <w:p w14:paraId="5DD51F70" w14:textId="77777777" w:rsidR="00FA2E82" w:rsidRPr="00FA2180" w:rsidRDefault="00FA2E82" w:rsidP="00243977">
      <w:pPr>
        <w:pStyle w:val="Odstavecseseznamem"/>
        <w:numPr>
          <w:ilvl w:val="0"/>
          <w:numId w:val="1"/>
        </w:numPr>
        <w:rPr>
          <w:noProof/>
        </w:rPr>
      </w:pPr>
      <w:r w:rsidRPr="00FA2180">
        <w:rPr>
          <w:noProof/>
        </w:rPr>
        <w:lastRenderedPageBreak/>
        <w:t>Třepačka mikrotitračních destiček</w:t>
      </w:r>
    </w:p>
    <w:p w14:paraId="5423F8A2" w14:textId="77777777" w:rsidR="00FA2E82" w:rsidRPr="00FA2180" w:rsidRDefault="00FA2E82">
      <w:pPr>
        <w:rPr>
          <w:noProof/>
        </w:rPr>
      </w:pPr>
    </w:p>
    <w:p w14:paraId="03063CBE" w14:textId="77777777" w:rsidR="00FA2E82" w:rsidRPr="00FA2180" w:rsidRDefault="00FA2E82" w:rsidP="00243977">
      <w:pPr>
        <w:jc w:val="right"/>
        <w:rPr>
          <w:noProof/>
          <w:sz w:val="16"/>
          <w:szCs w:val="16"/>
        </w:rPr>
      </w:pPr>
      <w:r w:rsidRPr="00FA2180">
        <w:rPr>
          <w:noProof/>
          <w:sz w:val="16"/>
          <w:szCs w:val="16"/>
        </w:rPr>
        <w:t>Pourquier* Rose Bengal Ag - 1</w:t>
      </w:r>
    </w:p>
    <w:p w14:paraId="2154E8FE" w14:textId="77777777" w:rsidR="00FA2E82" w:rsidRPr="00FA2180" w:rsidRDefault="00FA2E82">
      <w:pPr>
        <w:rPr>
          <w:noProof/>
        </w:rPr>
      </w:pPr>
    </w:p>
    <w:p w14:paraId="517B12F2" w14:textId="77777777" w:rsidR="00FA2E82" w:rsidRPr="00FA2180" w:rsidRDefault="00FA2E82">
      <w:pPr>
        <w:rPr>
          <w:noProof/>
        </w:rPr>
      </w:pPr>
    </w:p>
    <w:p w14:paraId="66C6C6F0" w14:textId="77777777" w:rsidR="0052731E" w:rsidRPr="0052731E" w:rsidRDefault="0052731E" w:rsidP="0052731E">
      <w:pPr>
        <w:rPr>
          <w:b/>
          <w:bCs/>
          <w:noProof/>
        </w:rPr>
      </w:pPr>
      <w:r w:rsidRPr="0052731E">
        <w:rPr>
          <w:b/>
          <w:bCs/>
          <w:noProof/>
        </w:rPr>
        <w:t>Upozornění a varování pro uživatele</w:t>
      </w:r>
    </w:p>
    <w:p w14:paraId="72CAC5FE" w14:textId="77777777" w:rsidR="0052731E" w:rsidRPr="0052731E" w:rsidRDefault="0052731E" w:rsidP="0052731E">
      <w:pPr>
        <w:rPr>
          <w:noProof/>
        </w:rPr>
      </w:pPr>
    </w:p>
    <w:p w14:paraId="681A952F" w14:textId="77777777" w:rsidR="0052731E" w:rsidRPr="0052731E" w:rsidRDefault="0052731E" w:rsidP="0052731E">
      <w:pPr>
        <w:pStyle w:val="Odstavecseseznamem"/>
        <w:numPr>
          <w:ilvl w:val="0"/>
          <w:numId w:val="7"/>
        </w:numPr>
        <w:contextualSpacing/>
        <w:jc w:val="left"/>
        <w:rPr>
          <w:noProof/>
        </w:rPr>
      </w:pPr>
      <w:r w:rsidRPr="0052731E">
        <w:rPr>
          <w:noProof/>
        </w:rPr>
        <w:t>S veškerým biologickým materiálem nakládejte jako s potenciálně infekčním materiálem.</w:t>
      </w:r>
    </w:p>
    <w:p w14:paraId="5EDA2C46" w14:textId="77777777" w:rsidR="0052731E" w:rsidRPr="0052731E" w:rsidRDefault="0052731E" w:rsidP="0052731E">
      <w:pPr>
        <w:pStyle w:val="Odstavecseseznamem"/>
        <w:numPr>
          <w:ilvl w:val="0"/>
          <w:numId w:val="7"/>
        </w:numPr>
        <w:contextualSpacing/>
        <w:jc w:val="left"/>
        <w:rPr>
          <w:noProof/>
        </w:rPr>
      </w:pPr>
      <w:r w:rsidRPr="0052731E">
        <w:rPr>
          <w:noProof/>
        </w:rPr>
        <w:t>Při manipulaci se vzorky a reagenciemi používejte ochranné rukavice / ochranné oblečení / ochranné prostředky na oči nebo obličej.</w:t>
      </w:r>
    </w:p>
    <w:p w14:paraId="72E17176" w14:textId="77777777" w:rsidR="0052731E" w:rsidRPr="0052731E" w:rsidRDefault="0052731E" w:rsidP="0052731E">
      <w:pPr>
        <w:pStyle w:val="Odstavecseseznamem"/>
        <w:numPr>
          <w:ilvl w:val="0"/>
          <w:numId w:val="7"/>
        </w:numPr>
        <w:contextualSpacing/>
        <w:jc w:val="left"/>
        <w:rPr>
          <w:noProof/>
        </w:rPr>
      </w:pPr>
      <w:r w:rsidRPr="0052731E">
        <w:rPr>
          <w:noProof/>
        </w:rPr>
        <w:t>Další informace najdete v bezpečnostním listu výrobku.</w:t>
      </w:r>
    </w:p>
    <w:p w14:paraId="4DCABB9F" w14:textId="31789CA4" w:rsidR="0052731E" w:rsidRPr="0052731E" w:rsidRDefault="0052731E" w:rsidP="0052731E">
      <w:pPr>
        <w:pStyle w:val="Odstavecseseznamem"/>
        <w:numPr>
          <w:ilvl w:val="0"/>
          <w:numId w:val="7"/>
        </w:numPr>
        <w:spacing w:after="200" w:line="276" w:lineRule="auto"/>
        <w:contextualSpacing/>
        <w:jc w:val="left"/>
        <w:rPr>
          <w:noProof/>
        </w:rPr>
      </w:pPr>
      <w:r w:rsidRPr="0052731E">
        <w:rPr>
          <w:noProof/>
        </w:rPr>
        <w:t xml:space="preserve">Upozornění a bezpečnostní opatření pro použití reagencií najdete na konci </w:t>
      </w:r>
      <w:r w:rsidR="005417FB">
        <w:rPr>
          <w:noProof/>
        </w:rPr>
        <w:t>této příbalové informace</w:t>
      </w:r>
      <w:r w:rsidRPr="0052731E">
        <w:rPr>
          <w:noProof/>
        </w:rPr>
        <w:t>.</w:t>
      </w:r>
    </w:p>
    <w:p w14:paraId="12908D7E" w14:textId="77777777" w:rsidR="0067460B" w:rsidRPr="0067460B" w:rsidRDefault="0067460B" w:rsidP="0067460B">
      <w:pPr>
        <w:rPr>
          <w:b/>
          <w:bCs/>
          <w:noProof/>
        </w:rPr>
      </w:pPr>
      <w:r w:rsidRPr="0067460B">
        <w:rPr>
          <w:b/>
          <w:bCs/>
          <w:noProof/>
        </w:rPr>
        <w:t>Laboratorní postupy</w:t>
      </w:r>
    </w:p>
    <w:p w14:paraId="4E90C46F" w14:textId="77777777" w:rsidR="0067460B" w:rsidRPr="0067460B" w:rsidRDefault="0067460B" w:rsidP="0067460B">
      <w:pPr>
        <w:rPr>
          <w:noProof/>
        </w:rPr>
      </w:pPr>
    </w:p>
    <w:p w14:paraId="22CCAFDE" w14:textId="4856F3BD" w:rsidR="0067460B" w:rsidRPr="0067460B" w:rsidRDefault="0067460B" w:rsidP="0067460B">
      <w:pPr>
        <w:pStyle w:val="Odstavecseseznamem"/>
        <w:numPr>
          <w:ilvl w:val="0"/>
          <w:numId w:val="8"/>
        </w:numPr>
        <w:contextualSpacing/>
        <w:jc w:val="left"/>
        <w:rPr>
          <w:noProof/>
        </w:rPr>
      </w:pPr>
      <w:r w:rsidRPr="0067460B">
        <w:rPr>
          <w:noProof/>
        </w:rPr>
        <w:t>Pro dosažení optimálních výsledků přesně dodržujte tento protokol. Pro každý vzorek a kontrolu použijte vždy novou pipetovací špičku.</w:t>
      </w:r>
    </w:p>
    <w:p w14:paraId="4ED6384A" w14:textId="77777777" w:rsidR="0067460B" w:rsidRPr="0067460B" w:rsidRDefault="0067460B" w:rsidP="0067460B">
      <w:pPr>
        <w:pStyle w:val="Odstavecseseznamem"/>
        <w:numPr>
          <w:ilvl w:val="0"/>
          <w:numId w:val="8"/>
        </w:numPr>
        <w:contextualSpacing/>
        <w:jc w:val="left"/>
        <w:rPr>
          <w:noProof/>
        </w:rPr>
      </w:pPr>
      <w:r w:rsidRPr="0067460B">
        <w:rPr>
          <w:noProof/>
        </w:rPr>
        <w:t>Všechny odpady je třeba před likvidací řádně dekontaminovat. Obsah likvidujte v souladu s místními, regionálními a státními předpisy.</w:t>
      </w:r>
    </w:p>
    <w:p w14:paraId="0B3A3B9D" w14:textId="4AD16842" w:rsidR="0067460B" w:rsidRPr="0067460B" w:rsidRDefault="0067460B" w:rsidP="0067460B">
      <w:pPr>
        <w:pStyle w:val="Odstavecseseznamem"/>
        <w:numPr>
          <w:ilvl w:val="0"/>
          <w:numId w:val="8"/>
        </w:numPr>
        <w:contextualSpacing/>
        <w:jc w:val="left"/>
        <w:rPr>
          <w:noProof/>
        </w:rPr>
      </w:pPr>
      <w:r w:rsidRPr="0067460B">
        <w:rPr>
          <w:noProof/>
        </w:rPr>
        <w:t>Snažte se zabránit kontaminaci složek soupravy. Nenalévejte nepoužité reagencie zpět do nádob.</w:t>
      </w:r>
    </w:p>
    <w:p w14:paraId="540DA983" w14:textId="77777777" w:rsidR="0067460B" w:rsidRPr="0067460B" w:rsidRDefault="0067460B" w:rsidP="0067460B">
      <w:pPr>
        <w:pStyle w:val="Odstavecseseznamem"/>
        <w:numPr>
          <w:ilvl w:val="0"/>
          <w:numId w:val="8"/>
        </w:numPr>
        <w:contextualSpacing/>
        <w:jc w:val="left"/>
        <w:rPr>
          <w:noProof/>
        </w:rPr>
      </w:pPr>
      <w:r w:rsidRPr="0067460B">
        <w:rPr>
          <w:noProof/>
        </w:rPr>
        <w:t>Nepoužívejte soupravu po datu exspirace.</w:t>
      </w:r>
    </w:p>
    <w:p w14:paraId="32D40D18" w14:textId="77777777" w:rsidR="00FA2E82" w:rsidRPr="00FA2180" w:rsidRDefault="00FA2E82">
      <w:pPr>
        <w:rPr>
          <w:noProof/>
          <w:sz w:val="16"/>
          <w:szCs w:val="16"/>
        </w:rPr>
      </w:pPr>
    </w:p>
    <w:p w14:paraId="0C071AB4" w14:textId="77777777" w:rsidR="00FA2E82" w:rsidRPr="00FA2180" w:rsidRDefault="00FA2E82">
      <w:pPr>
        <w:rPr>
          <w:noProof/>
        </w:rPr>
      </w:pPr>
    </w:p>
    <w:p w14:paraId="07981BB9" w14:textId="77777777" w:rsidR="00FA2E82" w:rsidRPr="00FA2180" w:rsidRDefault="00FA2E82" w:rsidP="004D0D88">
      <w:pPr>
        <w:autoSpaceDE w:val="0"/>
        <w:autoSpaceDN w:val="0"/>
        <w:adjustRightInd w:val="0"/>
        <w:spacing w:line="360" w:lineRule="auto"/>
        <w:rPr>
          <w:rFonts w:ascii="Swiss721BT-Bold" w:hAnsi="Swiss721BT-Bold" w:cs="Swiss721BT-Bold"/>
          <w:b/>
          <w:bCs/>
          <w:noProof/>
          <w:color w:val="000000"/>
          <w:sz w:val="25"/>
          <w:szCs w:val="25"/>
        </w:rPr>
      </w:pPr>
      <w:r w:rsidRPr="00FA2180">
        <w:rPr>
          <w:b/>
          <w:bCs/>
          <w:noProof/>
          <w:sz w:val="25"/>
          <w:szCs w:val="25"/>
        </w:rPr>
        <w:t>Postup testu</w:t>
      </w:r>
    </w:p>
    <w:p w14:paraId="716C41C0" w14:textId="77777777" w:rsidR="00FA2E82" w:rsidRPr="00FA2180" w:rsidRDefault="00FA2E82" w:rsidP="004D0D88">
      <w:pPr>
        <w:rPr>
          <w:rFonts w:eastAsia="Swiss721BT-Roman"/>
          <w:noProof/>
          <w:color w:val="000000"/>
        </w:rPr>
      </w:pPr>
      <w:r w:rsidRPr="00FA2180">
        <w:rPr>
          <w:noProof/>
        </w:rPr>
        <w:t>Brucelový antigen pro test s bengálskou červení a testované vzorky séra je nutno nechat po dobu 30 - 60 minut před použitím temperovat na teplotu 18 - 26 °C a poté je obracením a kroužením promíchat.</w:t>
      </w:r>
      <w:r w:rsidRPr="00FA2180">
        <w:rPr>
          <w:rFonts w:eastAsia="Swiss721BT-Roman"/>
          <w:noProof/>
          <w:color w:val="000000"/>
        </w:rPr>
        <w:t xml:space="preserve"> </w:t>
      </w:r>
    </w:p>
    <w:p w14:paraId="61234FC5" w14:textId="77777777" w:rsidR="00FA2E82" w:rsidRPr="00FA2180" w:rsidRDefault="00FA2E82" w:rsidP="004D0D88">
      <w:pPr>
        <w:rPr>
          <w:rFonts w:eastAsia="Swiss721BT-Roman"/>
          <w:noProof/>
          <w:color w:val="000000"/>
        </w:rPr>
      </w:pPr>
      <w:r w:rsidRPr="00FA2180">
        <w:rPr>
          <w:rFonts w:eastAsia="Swiss721BT-Roman"/>
          <w:noProof/>
          <w:color w:val="000000"/>
        </w:rPr>
        <w:t>Z chladničky je třeba odebírat pouze takové množství antigenu, které postačí pro testy prováděné v příslušný den.</w:t>
      </w:r>
    </w:p>
    <w:p w14:paraId="0C505E51" w14:textId="77777777" w:rsidR="00FA2E82" w:rsidRPr="00FA2180" w:rsidRDefault="00FA2E82" w:rsidP="0036231C">
      <w:pPr>
        <w:ind w:left="454" w:hanging="454"/>
        <w:rPr>
          <w:noProof/>
        </w:rPr>
      </w:pPr>
      <w:r w:rsidRPr="00FA2180">
        <w:rPr>
          <w:noProof/>
        </w:rPr>
        <w:t>1.</w:t>
      </w:r>
      <w:r w:rsidRPr="00FA2180">
        <w:rPr>
          <w:noProof/>
        </w:rPr>
        <w:tab/>
        <w:t xml:space="preserve">Připravte si destičky pro rozdělení reagencií a vzorků a zaznamenejte polohu vzorku do pracovního listu. </w:t>
      </w:r>
    </w:p>
    <w:p w14:paraId="023F005A" w14:textId="77777777" w:rsidR="00FA2E82" w:rsidRPr="00FA2180" w:rsidRDefault="00FA2E82">
      <w:pPr>
        <w:rPr>
          <w:noProof/>
        </w:rPr>
      </w:pPr>
      <w:r w:rsidRPr="00FA2180">
        <w:rPr>
          <w:noProof/>
        </w:rPr>
        <w:t>2.</w:t>
      </w:r>
      <w:r w:rsidRPr="00FA2180">
        <w:rPr>
          <w:noProof/>
        </w:rPr>
        <w:tab/>
        <w:t xml:space="preserve">Na destičku pipetujte 25-30 </w:t>
      </w:r>
      <w:r w:rsidRPr="00FA2180">
        <w:rPr>
          <w:noProof/>
          <w:sz w:val="23"/>
          <w:szCs w:val="23"/>
        </w:rPr>
        <w:t>μl každého testovaného séra.</w:t>
      </w:r>
    </w:p>
    <w:p w14:paraId="45FD35A4" w14:textId="6972E1C9" w:rsidR="00FA2E82" w:rsidRPr="00FA2180" w:rsidRDefault="00FA2E82" w:rsidP="00153A19">
      <w:pPr>
        <w:ind w:left="454" w:hanging="454"/>
        <w:rPr>
          <w:noProof/>
        </w:rPr>
      </w:pPr>
      <w:r w:rsidRPr="00FA2180">
        <w:rPr>
          <w:noProof/>
        </w:rPr>
        <w:t>3.</w:t>
      </w:r>
      <w:r w:rsidRPr="00FA2180">
        <w:rPr>
          <w:noProof/>
        </w:rPr>
        <w:tab/>
        <w:t>Lahvičku s brucelovým antigenem pro test s bengálskou červení jemně protřepejte a vedle každého vzorku pipetujte stejné množství</w:t>
      </w:r>
      <w:r w:rsidR="0067460B">
        <w:rPr>
          <w:noProof/>
        </w:rPr>
        <w:t xml:space="preserve"> antigenu</w:t>
      </w:r>
      <w:r w:rsidRPr="00FA2180">
        <w:rPr>
          <w:noProof/>
        </w:rPr>
        <w:t xml:space="preserve"> (tj. 25-30 </w:t>
      </w:r>
      <w:r w:rsidRPr="00FA2180">
        <w:rPr>
          <w:noProof/>
          <w:sz w:val="23"/>
          <w:szCs w:val="23"/>
        </w:rPr>
        <w:t>μl).</w:t>
      </w:r>
    </w:p>
    <w:p w14:paraId="1DFFB038" w14:textId="77777777" w:rsidR="00FA2E82" w:rsidRPr="00FA2180" w:rsidRDefault="00FA2E82" w:rsidP="00153A19">
      <w:pPr>
        <w:ind w:left="454" w:hanging="454"/>
        <w:rPr>
          <w:noProof/>
        </w:rPr>
      </w:pPr>
      <w:r w:rsidRPr="00FA2180">
        <w:rPr>
          <w:noProof/>
        </w:rPr>
        <w:t>4.</w:t>
      </w:r>
      <w:r w:rsidRPr="00FA2180">
        <w:rPr>
          <w:noProof/>
        </w:rPr>
        <w:tab/>
        <w:t>Brucelový antigen pro test s bengálskou červení a sérum opatrně smíchejte tak, aby se vytvořila kruhová nebo oválná zóna o průměru cca. 2 cm.</w:t>
      </w:r>
    </w:p>
    <w:p w14:paraId="75182470" w14:textId="77777777" w:rsidR="00FA2E82" w:rsidRPr="00FA2180" w:rsidRDefault="00FA2E82">
      <w:pPr>
        <w:rPr>
          <w:noProof/>
        </w:rPr>
      </w:pPr>
      <w:r w:rsidRPr="00FA2180">
        <w:rPr>
          <w:noProof/>
        </w:rPr>
        <w:t>5.</w:t>
      </w:r>
      <w:r w:rsidRPr="00FA2180">
        <w:rPr>
          <w:noProof/>
        </w:rPr>
        <w:tab/>
        <w:t>Destičku jemně protřepávejte přesně 4 minuty a proveďte okamžité odečtení výsledků.</w:t>
      </w:r>
    </w:p>
    <w:p w14:paraId="3A3AE38F" w14:textId="77777777" w:rsidR="00FA2E82" w:rsidRPr="00FA2180" w:rsidRDefault="00FA2E82">
      <w:pPr>
        <w:rPr>
          <w:noProof/>
        </w:rPr>
      </w:pPr>
    </w:p>
    <w:p w14:paraId="0038BCFF" w14:textId="7928D396" w:rsidR="00FA2E82" w:rsidRPr="00FA2180" w:rsidRDefault="00FA2E82">
      <w:pPr>
        <w:rPr>
          <w:noProof/>
        </w:rPr>
      </w:pPr>
      <w:r w:rsidRPr="00FA2180">
        <w:rPr>
          <w:noProof/>
        </w:rPr>
        <w:t>Poznámka: Za účelem standardizace odečítání výsledků je vhodné použít jako kontrolu pro každou sérii testů kontrolní sérum pozitivní na brucelózu a známý negativní vzorek séra</w:t>
      </w:r>
      <w:r w:rsidR="0067460B">
        <w:rPr>
          <w:noProof/>
        </w:rPr>
        <w:t>.</w:t>
      </w:r>
    </w:p>
    <w:p w14:paraId="1BB72029" w14:textId="77777777" w:rsidR="00FA2E82" w:rsidRPr="00FA2180" w:rsidRDefault="00FA2E82">
      <w:pPr>
        <w:rPr>
          <w:noProof/>
          <w:sz w:val="16"/>
          <w:szCs w:val="16"/>
        </w:rPr>
      </w:pPr>
    </w:p>
    <w:p w14:paraId="5B598E19" w14:textId="77777777" w:rsidR="00FA2E82" w:rsidRPr="00FA2180" w:rsidRDefault="00FA2E82">
      <w:pPr>
        <w:rPr>
          <w:noProof/>
        </w:rPr>
      </w:pPr>
    </w:p>
    <w:p w14:paraId="15AD4F11" w14:textId="77777777" w:rsidR="00FA2E82" w:rsidRPr="00FA2180" w:rsidRDefault="00FA2E82" w:rsidP="005051AA">
      <w:pPr>
        <w:autoSpaceDE w:val="0"/>
        <w:autoSpaceDN w:val="0"/>
        <w:adjustRightInd w:val="0"/>
        <w:spacing w:line="360" w:lineRule="auto"/>
        <w:rPr>
          <w:rFonts w:ascii="Swiss721BT-Bold" w:hAnsi="Swiss721BT-Bold" w:cs="Swiss721BT-Bold"/>
          <w:b/>
          <w:bCs/>
          <w:noProof/>
          <w:color w:val="000000"/>
          <w:sz w:val="25"/>
          <w:szCs w:val="25"/>
        </w:rPr>
      </w:pPr>
      <w:r w:rsidRPr="00FA2180">
        <w:rPr>
          <w:b/>
          <w:bCs/>
          <w:noProof/>
          <w:sz w:val="25"/>
          <w:szCs w:val="25"/>
        </w:rPr>
        <w:t>Výsledky</w:t>
      </w:r>
    </w:p>
    <w:p w14:paraId="34BF0DED" w14:textId="77777777" w:rsidR="00FA2E82" w:rsidRPr="00FA2180" w:rsidRDefault="00FA2E82">
      <w:pPr>
        <w:rPr>
          <w:noProof/>
        </w:rPr>
      </w:pPr>
      <w:r w:rsidRPr="00FA2180">
        <w:rPr>
          <w:noProof/>
        </w:rPr>
        <w:t>Ověřte, zda výsledky kontrol odpovídají očekávaným výsledkům.</w:t>
      </w:r>
    </w:p>
    <w:p w14:paraId="20861344" w14:textId="77777777" w:rsidR="00FA2E82" w:rsidRPr="00FA2180" w:rsidRDefault="00FA2E82" w:rsidP="005051AA">
      <w:pPr>
        <w:rPr>
          <w:noProof/>
          <w:sz w:val="16"/>
          <w:szCs w:val="16"/>
        </w:rPr>
      </w:pPr>
    </w:p>
    <w:p w14:paraId="529DED32" w14:textId="77777777" w:rsidR="00FA2E82" w:rsidRPr="00FA2180" w:rsidRDefault="00FA2E82" w:rsidP="005051AA">
      <w:pPr>
        <w:rPr>
          <w:noProof/>
        </w:rPr>
      </w:pPr>
    </w:p>
    <w:p w14:paraId="0FA17AAC" w14:textId="77777777" w:rsidR="00FA2E82" w:rsidRPr="00FA2180" w:rsidRDefault="00FA2E82" w:rsidP="005051AA">
      <w:pPr>
        <w:autoSpaceDE w:val="0"/>
        <w:autoSpaceDN w:val="0"/>
        <w:adjustRightInd w:val="0"/>
        <w:spacing w:line="360" w:lineRule="auto"/>
        <w:rPr>
          <w:rFonts w:ascii="Swiss721BT-Bold" w:hAnsi="Swiss721BT-Bold" w:cs="Swiss721BT-Bold"/>
          <w:b/>
          <w:bCs/>
          <w:noProof/>
          <w:color w:val="000000"/>
          <w:sz w:val="25"/>
          <w:szCs w:val="25"/>
        </w:rPr>
      </w:pPr>
      <w:r w:rsidRPr="00FA2180">
        <w:rPr>
          <w:b/>
          <w:bCs/>
          <w:noProof/>
          <w:sz w:val="25"/>
          <w:szCs w:val="25"/>
        </w:rPr>
        <w:lastRenderedPageBreak/>
        <w:t>Vyhodnocení výsledků</w:t>
      </w:r>
    </w:p>
    <w:p w14:paraId="40EBD45A" w14:textId="77777777" w:rsidR="00FA2E82" w:rsidRPr="00FA2180" w:rsidRDefault="00FA2E82" w:rsidP="005051AA">
      <w:pPr>
        <w:pStyle w:val="Odstavecseseznamem"/>
        <w:numPr>
          <w:ilvl w:val="0"/>
          <w:numId w:val="3"/>
        </w:numPr>
        <w:rPr>
          <w:noProof/>
        </w:rPr>
      </w:pPr>
      <w:r w:rsidRPr="00FA2180">
        <w:rPr>
          <w:noProof/>
        </w:rPr>
        <w:t xml:space="preserve">Vzorky vykazující přítomnost aglutinace (byť i nepatrné) se považují za pozitivní (tj. přítomnost protilátek proti brucelóze). </w:t>
      </w:r>
    </w:p>
    <w:p w14:paraId="323E5F8E" w14:textId="77777777" w:rsidR="00FA2E82" w:rsidRPr="00FA2180" w:rsidRDefault="00FA2E82" w:rsidP="005051AA">
      <w:pPr>
        <w:pStyle w:val="Odstavecseseznamem"/>
        <w:numPr>
          <w:ilvl w:val="0"/>
          <w:numId w:val="3"/>
        </w:numPr>
        <w:rPr>
          <w:noProof/>
        </w:rPr>
      </w:pPr>
      <w:r w:rsidRPr="00FA2180">
        <w:rPr>
          <w:noProof/>
        </w:rPr>
        <w:t>Vzorky, které nevykazují žádnou aglutinaci, se považují za negativní (tj. bez přítomnosti protilátek proti brucelóze).</w:t>
      </w:r>
    </w:p>
    <w:p w14:paraId="1DE4A2C7" w14:textId="77777777" w:rsidR="00FA2E82" w:rsidRPr="00FA2180" w:rsidRDefault="00FA2E82">
      <w:pPr>
        <w:rPr>
          <w:noProof/>
        </w:rPr>
      </w:pPr>
    </w:p>
    <w:p w14:paraId="67457E1D" w14:textId="77777777" w:rsidR="00FA2E82" w:rsidRPr="00FA2180" w:rsidRDefault="00FA2E82" w:rsidP="005051AA">
      <w:pPr>
        <w:rPr>
          <w:noProof/>
          <w:sz w:val="16"/>
          <w:szCs w:val="16"/>
        </w:rPr>
      </w:pPr>
      <w:r w:rsidRPr="00FA2180">
        <w:rPr>
          <w:noProof/>
          <w:sz w:val="16"/>
          <w:szCs w:val="16"/>
        </w:rPr>
        <w:t xml:space="preserve">2 - Pourquier* Rose Bengal Ag </w:t>
      </w:r>
    </w:p>
    <w:p w14:paraId="700405DC" w14:textId="77777777" w:rsidR="00FA2E82" w:rsidRPr="00FA2180" w:rsidRDefault="00FA2E82">
      <w:pPr>
        <w:rPr>
          <w:noProof/>
        </w:rPr>
      </w:pPr>
    </w:p>
    <w:p w14:paraId="6561B544" w14:textId="77777777" w:rsidR="00FA2E82" w:rsidRPr="00FA2180" w:rsidRDefault="00FA2E82">
      <w:pPr>
        <w:rPr>
          <w:noProof/>
        </w:rPr>
      </w:pPr>
    </w:p>
    <w:p w14:paraId="149BF715" w14:textId="77777777" w:rsidR="0067460B" w:rsidRDefault="0067460B" w:rsidP="0067460B">
      <w:pPr>
        <w:rPr>
          <w:rFonts w:asciiTheme="minorHAnsi" w:hAnsiTheme="minorHAnsi" w:cs="Swiss 72 1 BT"/>
          <w:b/>
          <w:bCs/>
          <w:color w:val="000000"/>
        </w:rPr>
      </w:pPr>
      <w:r w:rsidRPr="00815CBA">
        <w:rPr>
          <w:rFonts w:asciiTheme="minorHAnsi" w:hAnsiTheme="minorHAnsi" w:cs="Swiss 72 1 BT"/>
          <w:b/>
          <w:bCs/>
          <w:color w:val="000000"/>
        </w:rPr>
        <w:t xml:space="preserve">Potřebujete-li technickou podporu: </w:t>
      </w:r>
    </w:p>
    <w:p w14:paraId="3E62A005" w14:textId="77777777" w:rsidR="0067460B" w:rsidRDefault="0067460B" w:rsidP="0067460B">
      <w:pPr>
        <w:rPr>
          <w:rFonts w:asciiTheme="minorHAnsi" w:hAnsiTheme="minorHAnsi" w:cs="Swiss 72 1 BT"/>
          <w:color w:val="000000"/>
        </w:rPr>
      </w:pPr>
      <w:r>
        <w:rPr>
          <w:rFonts w:asciiTheme="minorHAnsi" w:hAnsiTheme="minorHAnsi" w:cs="Swiss 72 1 BT"/>
          <w:color w:val="000000"/>
        </w:rPr>
        <w:t>IDEXX USA Tel: +1 800 5489997 nebo +1 207 556 4895</w:t>
      </w:r>
    </w:p>
    <w:p w14:paraId="68A1ACEA" w14:textId="77777777" w:rsidR="0067460B" w:rsidRPr="00234A84" w:rsidRDefault="0067460B" w:rsidP="0067460B">
      <w:pPr>
        <w:rPr>
          <w:rFonts w:asciiTheme="minorHAnsi" w:hAnsiTheme="minorHAnsi" w:cs="Swiss 72 1 BT"/>
          <w:color w:val="000000"/>
        </w:rPr>
      </w:pPr>
      <w:r>
        <w:rPr>
          <w:rFonts w:asciiTheme="minorHAnsi" w:hAnsiTheme="minorHAnsi" w:cs="Swiss 72 1 BT"/>
          <w:color w:val="000000"/>
        </w:rPr>
        <w:t>IDEXX Evropa Tel: +800 727 43399</w:t>
      </w:r>
    </w:p>
    <w:p w14:paraId="1D7389B1" w14:textId="77777777" w:rsidR="0067460B" w:rsidRPr="00815CBA" w:rsidRDefault="0067460B" w:rsidP="0067460B">
      <w:pPr>
        <w:rPr>
          <w:rFonts w:asciiTheme="minorHAnsi" w:hAnsiTheme="minorHAnsi" w:cs="Swiss 72 1 BT"/>
          <w:bCs/>
          <w:color w:val="000000"/>
        </w:rPr>
      </w:pPr>
      <w:r w:rsidRPr="00815CBA">
        <w:rPr>
          <w:rFonts w:asciiTheme="minorHAnsi" w:hAnsiTheme="minorHAnsi" w:cs="Swiss 72 1 BT"/>
          <w:bCs/>
          <w:color w:val="000000"/>
        </w:rPr>
        <w:t xml:space="preserve">Obraťte se na manažera nebo distributora společnosti IDEXX pro Vaši oblast nebo navštivte naši webovou stránku: www.idexx.com/production/contactlpd </w:t>
      </w:r>
    </w:p>
    <w:p w14:paraId="7476085D" w14:textId="77777777" w:rsidR="0067460B" w:rsidRPr="00815CBA" w:rsidRDefault="0067460B" w:rsidP="0067460B">
      <w:pPr>
        <w:rPr>
          <w:rFonts w:asciiTheme="minorHAnsi" w:hAnsiTheme="minorHAnsi" w:cs="Swiss 72 1 BT"/>
          <w:bCs/>
          <w:color w:val="000000"/>
        </w:rPr>
      </w:pPr>
      <w:r w:rsidRPr="00815CBA">
        <w:rPr>
          <w:rFonts w:asciiTheme="minorHAnsi" w:hAnsiTheme="minorHAnsi" w:cs="Swiss 72 1 BT"/>
          <w:bCs/>
          <w:color w:val="000000"/>
        </w:rPr>
        <w:t xml:space="preserve">*IDEXX a Test </w:t>
      </w:r>
      <w:proofErr w:type="spellStart"/>
      <w:r w:rsidRPr="00815CBA">
        <w:rPr>
          <w:rFonts w:asciiTheme="minorHAnsi" w:hAnsiTheme="minorHAnsi" w:cs="Swiss 72 1 BT"/>
          <w:bCs/>
          <w:color w:val="000000"/>
        </w:rPr>
        <w:t>With</w:t>
      </w:r>
      <w:proofErr w:type="spellEnd"/>
      <w:r w:rsidRPr="00815CBA">
        <w:rPr>
          <w:rFonts w:asciiTheme="minorHAnsi" w:hAnsiTheme="minorHAnsi" w:cs="Swiss 72 1 BT"/>
          <w:bCs/>
          <w:color w:val="000000"/>
        </w:rPr>
        <w:t xml:space="preserve"> </w:t>
      </w:r>
      <w:proofErr w:type="spellStart"/>
      <w:r w:rsidRPr="00815CBA">
        <w:rPr>
          <w:rFonts w:asciiTheme="minorHAnsi" w:hAnsiTheme="minorHAnsi" w:cs="Swiss 72 1 BT"/>
          <w:bCs/>
          <w:color w:val="000000"/>
        </w:rPr>
        <w:t>Confidence</w:t>
      </w:r>
      <w:proofErr w:type="spellEnd"/>
      <w:r w:rsidRPr="00815CBA">
        <w:rPr>
          <w:rFonts w:asciiTheme="minorHAnsi" w:hAnsiTheme="minorHAnsi" w:cs="Swiss 72 1 BT"/>
          <w:bCs/>
          <w:color w:val="000000"/>
        </w:rPr>
        <w:t xml:space="preserve"> jsou ochranné známky nebo zapsané ochranné známky společnosti IDEXX Laboratories, Inc. nebo jejích přidružených společností ve Spojených státech amerických a/nebo v jiných zemích.  </w:t>
      </w:r>
    </w:p>
    <w:p w14:paraId="6F2BD969" w14:textId="77777777" w:rsidR="0067460B" w:rsidRPr="00815CBA" w:rsidRDefault="0067460B" w:rsidP="0067460B">
      <w:pPr>
        <w:rPr>
          <w:rFonts w:asciiTheme="minorHAnsi" w:hAnsiTheme="minorHAnsi" w:cs="Swiss 72 1 BT"/>
          <w:bCs/>
          <w:color w:val="000000"/>
        </w:rPr>
      </w:pPr>
      <w:r w:rsidRPr="00815CBA">
        <w:rPr>
          <w:rFonts w:asciiTheme="minorHAnsi" w:hAnsiTheme="minorHAnsi"/>
        </w:rPr>
        <w:t>©20</w:t>
      </w:r>
      <w:r>
        <w:rPr>
          <w:rFonts w:asciiTheme="minorHAnsi" w:hAnsiTheme="minorHAnsi"/>
        </w:rPr>
        <w:t>20</w:t>
      </w:r>
      <w:r w:rsidRPr="00815CBA">
        <w:rPr>
          <w:rFonts w:asciiTheme="minorHAnsi" w:hAnsiTheme="minorHAnsi"/>
        </w:rPr>
        <w:t xml:space="preserve"> IDEXX Laboratories, Inc. </w:t>
      </w:r>
      <w:proofErr w:type="spellStart"/>
      <w:r w:rsidRPr="00815CBA">
        <w:rPr>
          <w:rFonts w:asciiTheme="minorHAnsi" w:hAnsiTheme="minorHAnsi"/>
        </w:rPr>
        <w:t>All</w:t>
      </w:r>
      <w:proofErr w:type="spellEnd"/>
      <w:r w:rsidRPr="00815CBA">
        <w:rPr>
          <w:rFonts w:asciiTheme="minorHAnsi" w:hAnsiTheme="minorHAnsi"/>
        </w:rPr>
        <w:t xml:space="preserve"> </w:t>
      </w:r>
      <w:proofErr w:type="spellStart"/>
      <w:r w:rsidRPr="00815CBA">
        <w:rPr>
          <w:rFonts w:asciiTheme="minorHAnsi" w:hAnsiTheme="minorHAnsi"/>
        </w:rPr>
        <w:t>rights</w:t>
      </w:r>
      <w:proofErr w:type="spellEnd"/>
      <w:r w:rsidRPr="00815CBA">
        <w:rPr>
          <w:rFonts w:asciiTheme="minorHAnsi" w:hAnsiTheme="minorHAnsi"/>
        </w:rPr>
        <w:t xml:space="preserve"> </w:t>
      </w:r>
      <w:proofErr w:type="spellStart"/>
      <w:r w:rsidRPr="00815CBA">
        <w:rPr>
          <w:rFonts w:asciiTheme="minorHAnsi" w:hAnsiTheme="minorHAnsi"/>
        </w:rPr>
        <w:t>reserved</w:t>
      </w:r>
      <w:proofErr w:type="spellEnd"/>
      <w:r w:rsidRPr="00815CBA">
        <w:rPr>
          <w:rFonts w:asciiTheme="minorHAnsi" w:hAnsiTheme="minorHAnsi"/>
        </w:rPr>
        <w:t>. (Všechna práva vyhrazena.)</w:t>
      </w:r>
    </w:p>
    <w:p w14:paraId="5817F33E" w14:textId="77777777" w:rsidR="00FA2E82" w:rsidRPr="00FA2180" w:rsidRDefault="00FA2E82" w:rsidP="00E4397C">
      <w:pPr>
        <w:rPr>
          <w:noProof/>
        </w:rPr>
      </w:pPr>
    </w:p>
    <w:p w14:paraId="29DB6897" w14:textId="77777777" w:rsidR="00FA2E82" w:rsidRPr="00FA2180" w:rsidRDefault="00FA2E82" w:rsidP="00E4397C">
      <w:pPr>
        <w:rPr>
          <w:noProof/>
          <w:sz w:val="23"/>
          <w:szCs w:val="23"/>
        </w:rPr>
      </w:pPr>
    </w:p>
    <w:p w14:paraId="6148453E" w14:textId="77777777" w:rsidR="00FA2E82" w:rsidRPr="00FA2180" w:rsidRDefault="00FA2E82">
      <w:pPr>
        <w:rPr>
          <w:noProof/>
        </w:rPr>
      </w:pPr>
    </w:p>
    <w:p w14:paraId="2C9533F1" w14:textId="77777777" w:rsidR="00FA2E82" w:rsidRPr="00FA2180" w:rsidRDefault="00FA2E82">
      <w:pPr>
        <w:rPr>
          <w:noProof/>
        </w:rPr>
      </w:pPr>
    </w:p>
    <w:p w14:paraId="72F664E9" w14:textId="77777777" w:rsidR="00FA2E82" w:rsidRPr="00FA2180" w:rsidRDefault="00FA2E82">
      <w:pPr>
        <w:rPr>
          <w:noProof/>
        </w:rPr>
      </w:pPr>
    </w:p>
    <w:p w14:paraId="718A3FF8" w14:textId="77777777" w:rsidR="00FA2E82" w:rsidRPr="00FA2180" w:rsidRDefault="00FA2E82">
      <w:pPr>
        <w:rPr>
          <w:noProof/>
        </w:rPr>
      </w:pPr>
    </w:p>
    <w:p w14:paraId="5FC4FAB6" w14:textId="77777777" w:rsidR="00FA2E82" w:rsidRPr="00FA2180" w:rsidRDefault="00FA2E82">
      <w:pPr>
        <w:rPr>
          <w:noProof/>
        </w:rPr>
      </w:pPr>
    </w:p>
    <w:p w14:paraId="22D30E6E" w14:textId="77777777" w:rsidR="00FA2E82" w:rsidRPr="00FA2180" w:rsidRDefault="00FA2E82">
      <w:pPr>
        <w:rPr>
          <w:noProof/>
        </w:rPr>
      </w:pPr>
    </w:p>
    <w:p w14:paraId="0DB437C1" w14:textId="55CBACA5" w:rsidR="0067460B" w:rsidRDefault="0067460B">
      <w:pPr>
        <w:rPr>
          <w:noProof/>
        </w:rPr>
      </w:pPr>
    </w:p>
    <w:p w14:paraId="1DC51816" w14:textId="77777777" w:rsidR="0067460B" w:rsidRPr="00AD67AF" w:rsidRDefault="0067460B" w:rsidP="0067460B">
      <w:pPr>
        <w:rPr>
          <w:rFonts w:asciiTheme="minorHAnsi" w:hAnsiTheme="minorHAnsi" w:cs="Swiss 72 1 BT"/>
          <w:color w:val="000000"/>
        </w:rPr>
      </w:pPr>
      <w:r w:rsidRPr="00B23A22">
        <w:rPr>
          <w:rFonts w:cs="TTE1965D00t00"/>
          <w:b/>
          <w:noProof/>
          <w:color w:val="000000"/>
        </w:rPr>
        <w:t>Popis symbolů</w:t>
      </w:r>
    </w:p>
    <w:p w14:paraId="2D39B96B" w14:textId="77777777" w:rsidR="0067460B" w:rsidRPr="00B23A22" w:rsidRDefault="0067460B" w:rsidP="0067460B">
      <w:pPr>
        <w:autoSpaceDE w:val="0"/>
        <w:autoSpaceDN w:val="0"/>
        <w:adjustRightInd w:val="0"/>
        <w:ind w:left="2268" w:hanging="2268"/>
        <w:rPr>
          <w:rFonts w:cs="TTE1965D00t00"/>
          <w:noProof/>
          <w:color w:val="000000"/>
        </w:rPr>
      </w:pPr>
      <w:r w:rsidRPr="00B23A22">
        <w:rPr>
          <w:rFonts w:cs="TTE1965D00t00"/>
          <w:noProof/>
          <w:color w:val="000000"/>
          <w:lang w:eastAsia="cs-CZ"/>
        </w:rPr>
        <w:drawing>
          <wp:inline distT="0" distB="0" distL="0" distR="0" wp14:anchorId="22CA7594" wp14:editId="4C0D6829">
            <wp:extent cx="445135" cy="314960"/>
            <wp:effectExtent l="0" t="0" r="0" b="889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135" cy="314960"/>
                    </a:xfrm>
                    <a:prstGeom prst="rect">
                      <a:avLst/>
                    </a:prstGeom>
                    <a:noFill/>
                    <a:ln>
                      <a:noFill/>
                    </a:ln>
                  </pic:spPr>
                </pic:pic>
              </a:graphicData>
            </a:graphic>
          </wp:inline>
        </w:drawing>
      </w:r>
      <w:r w:rsidRPr="00B23A22">
        <w:rPr>
          <w:rFonts w:cs="TTE1965D00t00"/>
          <w:noProof/>
          <w:color w:val="000000"/>
        </w:rPr>
        <w:tab/>
        <w:t>Kód šarže</w:t>
      </w:r>
    </w:p>
    <w:p w14:paraId="1A8B1BE9" w14:textId="77777777" w:rsidR="0067460B" w:rsidRPr="00B23A22" w:rsidRDefault="0067460B" w:rsidP="0067460B">
      <w:pPr>
        <w:autoSpaceDE w:val="0"/>
        <w:autoSpaceDN w:val="0"/>
        <w:adjustRightInd w:val="0"/>
        <w:ind w:left="2268" w:hanging="2268"/>
        <w:rPr>
          <w:rFonts w:cs="TTE1965D00t00"/>
          <w:noProof/>
          <w:color w:val="000000"/>
        </w:rPr>
      </w:pPr>
    </w:p>
    <w:p w14:paraId="65BA6B8B" w14:textId="77777777" w:rsidR="0067460B" w:rsidRPr="00B23A22" w:rsidRDefault="0067460B" w:rsidP="0067460B">
      <w:pPr>
        <w:autoSpaceDE w:val="0"/>
        <w:autoSpaceDN w:val="0"/>
        <w:adjustRightInd w:val="0"/>
        <w:ind w:left="2268" w:hanging="2268"/>
        <w:rPr>
          <w:rFonts w:cs="TTE1965D00t00"/>
          <w:noProof/>
          <w:color w:val="000000"/>
        </w:rPr>
      </w:pPr>
      <w:r w:rsidRPr="00B23A22">
        <w:rPr>
          <w:rFonts w:cs="TTE1965D00t00"/>
          <w:noProof/>
          <w:color w:val="000000"/>
          <w:lang w:eastAsia="cs-CZ"/>
        </w:rPr>
        <w:drawing>
          <wp:inline distT="0" distB="0" distL="0" distR="0" wp14:anchorId="3961CBFB" wp14:editId="77DB22EA">
            <wp:extent cx="522605" cy="42164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605" cy="421640"/>
                    </a:xfrm>
                    <a:prstGeom prst="rect">
                      <a:avLst/>
                    </a:prstGeom>
                    <a:noFill/>
                    <a:ln>
                      <a:noFill/>
                    </a:ln>
                  </pic:spPr>
                </pic:pic>
              </a:graphicData>
            </a:graphic>
          </wp:inline>
        </w:drawing>
      </w:r>
      <w:r w:rsidRPr="00B23A22">
        <w:rPr>
          <w:rFonts w:cs="TTE1965D00t00"/>
          <w:noProof/>
          <w:color w:val="000000"/>
        </w:rPr>
        <w:tab/>
        <w:t>Sériové číslo</w:t>
      </w:r>
    </w:p>
    <w:p w14:paraId="3BBCB2A6" w14:textId="77777777" w:rsidR="0067460B" w:rsidRPr="00B23A22" w:rsidRDefault="0067460B" w:rsidP="0067460B">
      <w:pPr>
        <w:autoSpaceDE w:val="0"/>
        <w:autoSpaceDN w:val="0"/>
        <w:adjustRightInd w:val="0"/>
        <w:ind w:left="2268" w:hanging="2268"/>
        <w:rPr>
          <w:rFonts w:cs="TTE1965D00t00"/>
          <w:noProof/>
          <w:color w:val="000000"/>
        </w:rPr>
      </w:pPr>
    </w:p>
    <w:p w14:paraId="511E6D82" w14:textId="77777777" w:rsidR="0067460B" w:rsidRPr="00B23A22" w:rsidRDefault="0067460B" w:rsidP="0067460B">
      <w:pPr>
        <w:autoSpaceDE w:val="0"/>
        <w:autoSpaceDN w:val="0"/>
        <w:adjustRightInd w:val="0"/>
        <w:ind w:left="2268" w:hanging="2268"/>
        <w:rPr>
          <w:rFonts w:cs="TTE1965D00t00"/>
          <w:noProof/>
          <w:color w:val="000000"/>
        </w:rPr>
      </w:pPr>
      <w:r w:rsidRPr="00B23A22">
        <w:rPr>
          <w:rFonts w:cs="TTE1965D00t00"/>
          <w:noProof/>
          <w:color w:val="000000"/>
          <w:lang w:eastAsia="cs-CZ"/>
        </w:rPr>
        <w:drawing>
          <wp:inline distT="0" distB="0" distL="0" distR="0" wp14:anchorId="2CD756D5" wp14:editId="5C2AEB8A">
            <wp:extent cx="487045" cy="421640"/>
            <wp:effectExtent l="0" t="0" r="825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045" cy="421640"/>
                    </a:xfrm>
                    <a:prstGeom prst="rect">
                      <a:avLst/>
                    </a:prstGeom>
                    <a:noFill/>
                    <a:ln>
                      <a:noFill/>
                    </a:ln>
                  </pic:spPr>
                </pic:pic>
              </a:graphicData>
            </a:graphic>
          </wp:inline>
        </w:drawing>
      </w:r>
      <w:r w:rsidRPr="00B23A22">
        <w:rPr>
          <w:rFonts w:cs="TTE1965D00t00"/>
          <w:noProof/>
          <w:color w:val="000000"/>
        </w:rPr>
        <w:tab/>
        <w:t>Katalogové číslo</w:t>
      </w:r>
    </w:p>
    <w:p w14:paraId="175C00F3" w14:textId="77777777" w:rsidR="0067460B" w:rsidRPr="00B23A22" w:rsidRDefault="0067460B" w:rsidP="0067460B">
      <w:pPr>
        <w:autoSpaceDE w:val="0"/>
        <w:autoSpaceDN w:val="0"/>
        <w:adjustRightInd w:val="0"/>
        <w:ind w:left="2268" w:hanging="2268"/>
        <w:rPr>
          <w:rFonts w:cs="TTE1965D00t00"/>
          <w:noProof/>
          <w:color w:val="000000"/>
        </w:rPr>
      </w:pPr>
    </w:p>
    <w:p w14:paraId="3F9D3342" w14:textId="77777777" w:rsidR="0067460B" w:rsidRPr="00B23A22" w:rsidRDefault="0067460B" w:rsidP="0067460B">
      <w:pPr>
        <w:autoSpaceDE w:val="0"/>
        <w:autoSpaceDN w:val="0"/>
        <w:adjustRightInd w:val="0"/>
        <w:ind w:left="2268" w:hanging="2268"/>
        <w:rPr>
          <w:rFonts w:cs="TTE1965D00t00"/>
          <w:noProof/>
          <w:color w:val="000000"/>
        </w:rPr>
      </w:pPr>
      <w:r w:rsidRPr="00B23A22">
        <w:rPr>
          <w:rFonts w:cs="TTE1965D00t00"/>
          <w:noProof/>
          <w:color w:val="000000"/>
          <w:lang w:eastAsia="cs-CZ"/>
        </w:rPr>
        <w:drawing>
          <wp:inline distT="0" distB="0" distL="0" distR="0" wp14:anchorId="759AF5E1" wp14:editId="54D7B664">
            <wp:extent cx="563880" cy="409575"/>
            <wp:effectExtent l="0" t="0" r="7620" b="952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 cy="409575"/>
                    </a:xfrm>
                    <a:prstGeom prst="rect">
                      <a:avLst/>
                    </a:prstGeom>
                    <a:noFill/>
                    <a:ln>
                      <a:noFill/>
                    </a:ln>
                  </pic:spPr>
                </pic:pic>
              </a:graphicData>
            </a:graphic>
          </wp:inline>
        </w:drawing>
      </w:r>
      <w:r w:rsidRPr="00B23A22">
        <w:rPr>
          <w:rFonts w:cs="TTE1965D00t00"/>
          <w:noProof/>
          <w:color w:val="000000"/>
        </w:rPr>
        <w:tab/>
        <w:t>Diagnostika in vitro</w:t>
      </w:r>
    </w:p>
    <w:p w14:paraId="0CC441AC" w14:textId="77777777" w:rsidR="0067460B" w:rsidRPr="00B23A22" w:rsidRDefault="0067460B" w:rsidP="0067460B">
      <w:pPr>
        <w:autoSpaceDE w:val="0"/>
        <w:autoSpaceDN w:val="0"/>
        <w:adjustRightInd w:val="0"/>
        <w:ind w:left="2268" w:hanging="2268"/>
        <w:rPr>
          <w:rFonts w:cs="TTE1965D00t00"/>
          <w:noProof/>
          <w:color w:val="000000"/>
        </w:rPr>
      </w:pPr>
    </w:p>
    <w:p w14:paraId="60181D07" w14:textId="77777777" w:rsidR="0067460B" w:rsidRPr="00B23A22" w:rsidRDefault="0067460B" w:rsidP="0067460B">
      <w:pPr>
        <w:autoSpaceDE w:val="0"/>
        <w:autoSpaceDN w:val="0"/>
        <w:adjustRightInd w:val="0"/>
        <w:ind w:left="2268" w:hanging="2268"/>
        <w:rPr>
          <w:rFonts w:cs="TTE1965D00t00"/>
          <w:noProof/>
          <w:color w:val="000000"/>
        </w:rPr>
      </w:pPr>
      <w:r w:rsidRPr="00B23A22">
        <w:rPr>
          <w:rFonts w:cs="TTE1965D00t00"/>
          <w:noProof/>
          <w:color w:val="000000"/>
          <w:lang w:eastAsia="cs-CZ"/>
        </w:rPr>
        <w:drawing>
          <wp:inline distT="0" distB="0" distL="0" distR="0" wp14:anchorId="727D0BB1" wp14:editId="42367EAF">
            <wp:extent cx="563880" cy="445135"/>
            <wp:effectExtent l="0" t="0" r="762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880" cy="445135"/>
                    </a:xfrm>
                    <a:prstGeom prst="rect">
                      <a:avLst/>
                    </a:prstGeom>
                    <a:noFill/>
                    <a:ln>
                      <a:noFill/>
                    </a:ln>
                  </pic:spPr>
                </pic:pic>
              </a:graphicData>
            </a:graphic>
          </wp:inline>
        </w:drawing>
      </w:r>
      <w:r w:rsidRPr="00B23A22">
        <w:rPr>
          <w:rFonts w:cs="TTE1965D00t00"/>
          <w:noProof/>
          <w:color w:val="000000"/>
        </w:rPr>
        <w:tab/>
        <w:t>Autorizovaný zástupce v Evropském společenství</w:t>
      </w:r>
    </w:p>
    <w:p w14:paraId="181E8291" w14:textId="77777777" w:rsidR="0067460B" w:rsidRPr="00B23A22" w:rsidRDefault="0067460B" w:rsidP="0067460B">
      <w:pPr>
        <w:autoSpaceDE w:val="0"/>
        <w:autoSpaceDN w:val="0"/>
        <w:adjustRightInd w:val="0"/>
        <w:ind w:left="2268" w:hanging="2268"/>
        <w:rPr>
          <w:rFonts w:cs="TTE1965D00t00"/>
          <w:noProof/>
          <w:color w:val="000000"/>
        </w:rPr>
      </w:pPr>
    </w:p>
    <w:p w14:paraId="6583B32A" w14:textId="77777777" w:rsidR="0067460B" w:rsidRPr="00B23A22" w:rsidRDefault="0067460B" w:rsidP="0067460B">
      <w:pPr>
        <w:autoSpaceDE w:val="0"/>
        <w:autoSpaceDN w:val="0"/>
        <w:adjustRightInd w:val="0"/>
        <w:ind w:left="2268" w:hanging="2268"/>
        <w:rPr>
          <w:rFonts w:cs="TTE1965D00t00"/>
          <w:noProof/>
          <w:color w:val="000000"/>
        </w:rPr>
      </w:pPr>
      <w:r w:rsidRPr="00B23A22">
        <w:rPr>
          <w:rFonts w:cs="TTE1965D00t00"/>
          <w:noProof/>
          <w:color w:val="000000"/>
          <w:lang w:eastAsia="cs-CZ"/>
        </w:rPr>
        <w:drawing>
          <wp:inline distT="0" distB="0" distL="0" distR="0" wp14:anchorId="3FA6E34E" wp14:editId="006AF81D">
            <wp:extent cx="754380" cy="379730"/>
            <wp:effectExtent l="0" t="0" r="7620" b="127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4380" cy="379730"/>
                    </a:xfrm>
                    <a:prstGeom prst="rect">
                      <a:avLst/>
                    </a:prstGeom>
                    <a:noFill/>
                    <a:ln>
                      <a:noFill/>
                    </a:ln>
                  </pic:spPr>
                </pic:pic>
              </a:graphicData>
            </a:graphic>
          </wp:inline>
        </w:drawing>
      </w:r>
      <w:r w:rsidRPr="00B23A22">
        <w:rPr>
          <w:rFonts w:cs="TTE1965D00t00"/>
          <w:noProof/>
          <w:color w:val="000000"/>
        </w:rPr>
        <w:tab/>
        <w:t>Pozitivní kontrolní vzorek</w:t>
      </w:r>
    </w:p>
    <w:p w14:paraId="087D3ED5" w14:textId="77777777" w:rsidR="0067460B" w:rsidRPr="00B23A22" w:rsidRDefault="0067460B" w:rsidP="0067460B">
      <w:pPr>
        <w:autoSpaceDE w:val="0"/>
        <w:autoSpaceDN w:val="0"/>
        <w:adjustRightInd w:val="0"/>
        <w:ind w:left="2268" w:hanging="2268"/>
        <w:rPr>
          <w:rFonts w:cs="TTE1965D00t00"/>
          <w:noProof/>
          <w:color w:val="000000"/>
        </w:rPr>
      </w:pPr>
    </w:p>
    <w:p w14:paraId="47E02C6C" w14:textId="77777777" w:rsidR="0067460B" w:rsidRPr="00B23A22" w:rsidRDefault="0067460B" w:rsidP="0067460B">
      <w:pPr>
        <w:autoSpaceDE w:val="0"/>
        <w:autoSpaceDN w:val="0"/>
        <w:adjustRightInd w:val="0"/>
        <w:ind w:left="2268" w:hanging="2268"/>
        <w:rPr>
          <w:rFonts w:cs="TTE1965D00t00"/>
          <w:noProof/>
          <w:color w:val="000000"/>
        </w:rPr>
      </w:pPr>
      <w:r w:rsidRPr="00B23A22">
        <w:rPr>
          <w:rFonts w:cs="TTE1965D00t00"/>
          <w:noProof/>
          <w:color w:val="000000"/>
          <w:lang w:eastAsia="cs-CZ"/>
        </w:rPr>
        <w:drawing>
          <wp:inline distT="0" distB="0" distL="0" distR="0" wp14:anchorId="22BD1CAC" wp14:editId="4C01A570">
            <wp:extent cx="789940" cy="297180"/>
            <wp:effectExtent l="0" t="0" r="0" b="762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9940" cy="297180"/>
                    </a:xfrm>
                    <a:prstGeom prst="rect">
                      <a:avLst/>
                    </a:prstGeom>
                    <a:noFill/>
                    <a:ln>
                      <a:noFill/>
                    </a:ln>
                  </pic:spPr>
                </pic:pic>
              </a:graphicData>
            </a:graphic>
          </wp:inline>
        </w:drawing>
      </w:r>
      <w:r w:rsidRPr="00B23A22">
        <w:rPr>
          <w:rFonts w:cs="TTE1965D00t00"/>
          <w:noProof/>
          <w:color w:val="000000"/>
        </w:rPr>
        <w:tab/>
        <w:t>Negativní kontrolní vzorek</w:t>
      </w:r>
    </w:p>
    <w:p w14:paraId="7E150A2A" w14:textId="77777777" w:rsidR="0067460B" w:rsidRPr="00B23A22" w:rsidRDefault="0067460B" w:rsidP="0067460B">
      <w:pPr>
        <w:autoSpaceDE w:val="0"/>
        <w:autoSpaceDN w:val="0"/>
        <w:adjustRightInd w:val="0"/>
        <w:ind w:left="2268" w:hanging="2268"/>
        <w:rPr>
          <w:rFonts w:cs="TTE1965D00t00"/>
          <w:noProof/>
          <w:color w:val="000000"/>
        </w:rPr>
      </w:pPr>
    </w:p>
    <w:p w14:paraId="0833F2C9" w14:textId="77777777" w:rsidR="0067460B" w:rsidRPr="00B23A22" w:rsidRDefault="0067460B" w:rsidP="0067460B">
      <w:pPr>
        <w:autoSpaceDE w:val="0"/>
        <w:autoSpaceDN w:val="0"/>
        <w:adjustRightInd w:val="0"/>
        <w:ind w:left="2268" w:hanging="2268"/>
        <w:rPr>
          <w:rFonts w:cs="TTE1965D00t00"/>
          <w:noProof/>
          <w:color w:val="000000"/>
        </w:rPr>
      </w:pPr>
      <w:r w:rsidRPr="00B23A22">
        <w:rPr>
          <w:rFonts w:cs="TTE1965D00t00"/>
          <w:noProof/>
          <w:color w:val="000000"/>
          <w:lang w:eastAsia="cs-CZ"/>
        </w:rPr>
        <w:drawing>
          <wp:inline distT="0" distB="0" distL="0" distR="0" wp14:anchorId="76348C71" wp14:editId="58FCCFF9">
            <wp:extent cx="445135" cy="581660"/>
            <wp:effectExtent l="0" t="0" r="0" b="889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581660"/>
                    </a:xfrm>
                    <a:prstGeom prst="rect">
                      <a:avLst/>
                    </a:prstGeom>
                    <a:noFill/>
                    <a:ln>
                      <a:noFill/>
                    </a:ln>
                  </pic:spPr>
                </pic:pic>
              </a:graphicData>
            </a:graphic>
          </wp:inline>
        </w:drawing>
      </w:r>
      <w:r w:rsidRPr="00B23A22">
        <w:rPr>
          <w:rFonts w:cs="TTE1965D00t00"/>
          <w:noProof/>
          <w:color w:val="000000"/>
        </w:rPr>
        <w:tab/>
        <w:t>Použijte do</w:t>
      </w:r>
    </w:p>
    <w:p w14:paraId="4BF5B082" w14:textId="77777777" w:rsidR="0067460B" w:rsidRPr="00B23A22" w:rsidRDefault="0067460B" w:rsidP="0067460B">
      <w:pPr>
        <w:autoSpaceDE w:val="0"/>
        <w:autoSpaceDN w:val="0"/>
        <w:adjustRightInd w:val="0"/>
        <w:ind w:left="2268" w:hanging="2268"/>
        <w:rPr>
          <w:rFonts w:cs="TTE1965D00t00"/>
          <w:noProof/>
          <w:color w:val="000000"/>
        </w:rPr>
      </w:pPr>
    </w:p>
    <w:p w14:paraId="2B813A81" w14:textId="77777777" w:rsidR="0067460B" w:rsidRPr="00B23A22" w:rsidRDefault="0067460B" w:rsidP="0067460B">
      <w:pPr>
        <w:autoSpaceDE w:val="0"/>
        <w:autoSpaceDN w:val="0"/>
        <w:adjustRightInd w:val="0"/>
        <w:ind w:left="2268" w:hanging="2268"/>
        <w:rPr>
          <w:rFonts w:cs="TTE1965D00t00"/>
          <w:noProof/>
          <w:color w:val="000000"/>
        </w:rPr>
      </w:pPr>
      <w:r w:rsidRPr="00B23A22">
        <w:rPr>
          <w:rFonts w:cs="TTE1965D00t00"/>
          <w:noProof/>
          <w:color w:val="000000"/>
          <w:lang w:eastAsia="cs-CZ"/>
        </w:rPr>
        <w:drawing>
          <wp:inline distT="0" distB="0" distL="0" distR="0" wp14:anchorId="75C36649" wp14:editId="6437EEC3">
            <wp:extent cx="487045" cy="487045"/>
            <wp:effectExtent l="0" t="0" r="8255" b="825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045" cy="487045"/>
                    </a:xfrm>
                    <a:prstGeom prst="rect">
                      <a:avLst/>
                    </a:prstGeom>
                    <a:noFill/>
                    <a:ln>
                      <a:noFill/>
                    </a:ln>
                  </pic:spPr>
                </pic:pic>
              </a:graphicData>
            </a:graphic>
          </wp:inline>
        </w:drawing>
      </w:r>
      <w:r w:rsidRPr="00B23A22">
        <w:rPr>
          <w:rFonts w:cs="TTE1965D00t00"/>
          <w:noProof/>
          <w:color w:val="000000"/>
        </w:rPr>
        <w:tab/>
        <w:t>Datum výroby</w:t>
      </w:r>
    </w:p>
    <w:p w14:paraId="17AE2116" w14:textId="77777777" w:rsidR="0067460B" w:rsidRPr="00B23A22" w:rsidRDefault="0067460B" w:rsidP="0067460B">
      <w:pPr>
        <w:autoSpaceDE w:val="0"/>
        <w:autoSpaceDN w:val="0"/>
        <w:adjustRightInd w:val="0"/>
        <w:ind w:left="2268" w:hanging="2268"/>
        <w:rPr>
          <w:rFonts w:cs="TTE1965D00t00"/>
          <w:noProof/>
          <w:color w:val="000000"/>
        </w:rPr>
      </w:pPr>
    </w:p>
    <w:p w14:paraId="0E3801A4" w14:textId="77777777" w:rsidR="0067460B" w:rsidRPr="00B23A22" w:rsidRDefault="0067460B" w:rsidP="0067460B">
      <w:pPr>
        <w:autoSpaceDE w:val="0"/>
        <w:autoSpaceDN w:val="0"/>
        <w:adjustRightInd w:val="0"/>
        <w:ind w:left="2268" w:hanging="2268"/>
        <w:rPr>
          <w:rFonts w:cs="TTE1965D00t00"/>
          <w:noProof/>
          <w:color w:val="000000"/>
        </w:rPr>
      </w:pPr>
      <w:r w:rsidRPr="00B23A22">
        <w:rPr>
          <w:rFonts w:cs="TTE1965D00t00"/>
          <w:noProof/>
          <w:color w:val="000000"/>
          <w:lang w:eastAsia="cs-CZ"/>
        </w:rPr>
        <w:drawing>
          <wp:inline distT="0" distB="0" distL="0" distR="0" wp14:anchorId="50CF8C93" wp14:editId="4550C628">
            <wp:extent cx="487045" cy="611505"/>
            <wp:effectExtent l="0" t="0" r="825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045" cy="611505"/>
                    </a:xfrm>
                    <a:prstGeom prst="rect">
                      <a:avLst/>
                    </a:prstGeom>
                    <a:noFill/>
                    <a:ln>
                      <a:noFill/>
                    </a:ln>
                  </pic:spPr>
                </pic:pic>
              </a:graphicData>
            </a:graphic>
          </wp:inline>
        </w:drawing>
      </w:r>
      <w:r w:rsidRPr="00B23A22">
        <w:rPr>
          <w:rFonts w:cs="TTE1965D00t00"/>
          <w:noProof/>
          <w:color w:val="000000"/>
        </w:rPr>
        <w:tab/>
        <w:t>Výrobce</w:t>
      </w:r>
    </w:p>
    <w:p w14:paraId="15A3B058" w14:textId="77777777" w:rsidR="0067460B" w:rsidRPr="00B23A22" w:rsidRDefault="0067460B" w:rsidP="0067460B">
      <w:pPr>
        <w:autoSpaceDE w:val="0"/>
        <w:autoSpaceDN w:val="0"/>
        <w:adjustRightInd w:val="0"/>
        <w:ind w:left="2268" w:hanging="2268"/>
        <w:rPr>
          <w:rFonts w:cs="TTE1965D00t00"/>
          <w:noProof/>
          <w:color w:val="000000"/>
        </w:rPr>
      </w:pPr>
    </w:p>
    <w:p w14:paraId="43B0E98C" w14:textId="77777777" w:rsidR="0067460B" w:rsidRPr="00B23A22" w:rsidRDefault="0067460B" w:rsidP="0067460B">
      <w:pPr>
        <w:autoSpaceDE w:val="0"/>
        <w:autoSpaceDN w:val="0"/>
        <w:adjustRightInd w:val="0"/>
        <w:ind w:left="2268" w:hanging="2268"/>
        <w:rPr>
          <w:rFonts w:cs="TTE1965D00t00"/>
          <w:noProof/>
          <w:color w:val="000000"/>
        </w:rPr>
      </w:pPr>
      <w:r w:rsidRPr="00B23A22">
        <w:rPr>
          <w:rFonts w:cs="TTE1965D00t00"/>
          <w:noProof/>
          <w:color w:val="000000"/>
          <w:lang w:eastAsia="cs-CZ"/>
        </w:rPr>
        <w:drawing>
          <wp:inline distT="0" distB="0" distL="0" distR="0" wp14:anchorId="46CED5CE" wp14:editId="07ED218C">
            <wp:extent cx="445135" cy="647065"/>
            <wp:effectExtent l="0" t="0" r="0" b="63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5135" cy="647065"/>
                    </a:xfrm>
                    <a:prstGeom prst="rect">
                      <a:avLst/>
                    </a:prstGeom>
                    <a:noFill/>
                    <a:ln>
                      <a:noFill/>
                    </a:ln>
                  </pic:spPr>
                </pic:pic>
              </a:graphicData>
            </a:graphic>
          </wp:inline>
        </w:drawing>
      </w:r>
      <w:r w:rsidRPr="00B23A22">
        <w:rPr>
          <w:rFonts w:cs="TTE1965D00t00"/>
          <w:noProof/>
          <w:color w:val="000000"/>
        </w:rPr>
        <w:tab/>
        <w:t>Teplotní omezení</w:t>
      </w:r>
    </w:p>
    <w:p w14:paraId="74FC87EF" w14:textId="77777777" w:rsidR="0067460B" w:rsidRPr="00B23A22" w:rsidRDefault="0067460B" w:rsidP="0067460B">
      <w:pPr>
        <w:autoSpaceDE w:val="0"/>
        <w:autoSpaceDN w:val="0"/>
        <w:adjustRightInd w:val="0"/>
        <w:ind w:left="2268" w:hanging="2268"/>
        <w:rPr>
          <w:rFonts w:cs="TTE1965D00t00"/>
          <w:noProof/>
          <w:color w:val="000000"/>
        </w:rPr>
      </w:pPr>
    </w:p>
    <w:p w14:paraId="16F7C121" w14:textId="77777777" w:rsidR="0067460B" w:rsidRPr="00B23A22" w:rsidRDefault="0067460B" w:rsidP="0067460B">
      <w:pPr>
        <w:autoSpaceDE w:val="0"/>
        <w:autoSpaceDN w:val="0"/>
        <w:adjustRightInd w:val="0"/>
        <w:ind w:left="2268" w:hanging="2268"/>
        <w:rPr>
          <w:rFonts w:cs="TTE1965D00t00"/>
          <w:noProof/>
          <w:color w:val="000000"/>
        </w:rPr>
      </w:pPr>
      <w:r w:rsidRPr="00B23A22">
        <w:rPr>
          <w:rFonts w:cs="TTE1965D00t00"/>
          <w:noProof/>
          <w:color w:val="000000"/>
          <w:lang w:eastAsia="cs-CZ"/>
        </w:rPr>
        <w:drawing>
          <wp:inline distT="0" distB="0" distL="0" distR="0" wp14:anchorId="2F2CA5F1" wp14:editId="5EE6DD39">
            <wp:extent cx="599440" cy="647065"/>
            <wp:effectExtent l="0" t="0" r="0" b="635"/>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440" cy="647065"/>
                    </a:xfrm>
                    <a:prstGeom prst="rect">
                      <a:avLst/>
                    </a:prstGeom>
                    <a:noFill/>
                    <a:ln>
                      <a:noFill/>
                    </a:ln>
                  </pic:spPr>
                </pic:pic>
              </a:graphicData>
            </a:graphic>
          </wp:inline>
        </w:drawing>
      </w:r>
      <w:r w:rsidRPr="00B23A22">
        <w:rPr>
          <w:rFonts w:cs="TTE1965D00t00"/>
          <w:noProof/>
          <w:color w:val="000000"/>
        </w:rPr>
        <w:tab/>
        <w:t>Čtěte návod na použití</w:t>
      </w:r>
    </w:p>
    <w:p w14:paraId="39B8D8A5" w14:textId="77777777" w:rsidR="0067460B" w:rsidRPr="00B23A22" w:rsidRDefault="0067460B" w:rsidP="0067460B">
      <w:pPr>
        <w:autoSpaceDE w:val="0"/>
        <w:autoSpaceDN w:val="0"/>
        <w:adjustRightInd w:val="0"/>
        <w:ind w:left="2268" w:hanging="2268"/>
        <w:rPr>
          <w:rFonts w:cs="TTE1965D00t00"/>
          <w:noProof/>
          <w:color w:val="000000"/>
        </w:rPr>
      </w:pPr>
    </w:p>
    <w:p w14:paraId="035BFAA0" w14:textId="77777777" w:rsidR="0067460B" w:rsidRPr="00B23A22" w:rsidRDefault="0067460B" w:rsidP="0067460B">
      <w:pPr>
        <w:autoSpaceDE w:val="0"/>
        <w:autoSpaceDN w:val="0"/>
        <w:adjustRightInd w:val="0"/>
        <w:rPr>
          <w:rFonts w:cs="Swiss721BT-Bold"/>
          <w:b/>
          <w:bCs/>
          <w:noProof/>
          <w:color w:val="000000"/>
        </w:rPr>
      </w:pPr>
      <w:r w:rsidRPr="00B23A22">
        <w:rPr>
          <w:rFonts w:cs="Swiss721BT-Bold"/>
          <w:b/>
          <w:bCs/>
          <w:noProof/>
          <w:color w:val="000000"/>
          <w:lang w:eastAsia="cs-CZ"/>
        </w:rPr>
        <w:drawing>
          <wp:inline distT="0" distB="0" distL="0" distR="0" wp14:anchorId="59C1C945" wp14:editId="7A5335AD">
            <wp:extent cx="332740" cy="302895"/>
            <wp:effectExtent l="0" t="0" r="0" b="190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2740" cy="302895"/>
                    </a:xfrm>
                    <a:prstGeom prst="rect">
                      <a:avLst/>
                    </a:prstGeom>
                    <a:noFill/>
                    <a:ln>
                      <a:noFill/>
                    </a:ln>
                  </pic:spPr>
                </pic:pic>
              </a:graphicData>
            </a:graphic>
          </wp:inline>
        </w:drawing>
      </w:r>
      <w:r w:rsidRPr="00B23A22">
        <w:rPr>
          <w:rFonts w:cs="Swiss721BT-Bold"/>
          <w:b/>
          <w:bCs/>
          <w:noProof/>
          <w:color w:val="000000"/>
        </w:rPr>
        <w:t xml:space="preserve"> </w:t>
      </w:r>
      <w:r w:rsidRPr="00B23A22">
        <w:rPr>
          <w:rFonts w:cs="Swiss721BT-Bold"/>
          <w:bCs/>
          <w:noProof/>
          <w:color w:val="000000"/>
        </w:rPr>
        <w:t xml:space="preserve"> </w:t>
      </w:r>
      <w:r w:rsidRPr="00B23A22">
        <w:rPr>
          <w:rFonts w:cs="Swiss721BT-Bold"/>
          <w:bCs/>
          <w:noProof/>
          <w:color w:val="000000"/>
        </w:rPr>
        <w:tab/>
      </w:r>
      <w:r w:rsidRPr="00B23A22">
        <w:rPr>
          <w:rFonts w:cs="Swiss721BT-Bold"/>
          <w:bCs/>
          <w:noProof/>
          <w:color w:val="000000"/>
        </w:rPr>
        <w:tab/>
      </w:r>
      <w:r w:rsidRPr="00B23A22">
        <w:rPr>
          <w:rFonts w:cs="Swiss721BT-Bold"/>
          <w:bCs/>
          <w:noProof/>
          <w:color w:val="000000"/>
        </w:rPr>
        <w:tab/>
        <w:t>Větší změna v návodu na použití</w:t>
      </w:r>
    </w:p>
    <w:p w14:paraId="7AAA86F1" w14:textId="2A7834D3" w:rsidR="00F96F60" w:rsidRDefault="00F96F60" w:rsidP="0067460B">
      <w:pPr>
        <w:autoSpaceDE w:val="0"/>
        <w:autoSpaceDN w:val="0"/>
        <w:adjustRightInd w:val="0"/>
        <w:rPr>
          <w:rFonts w:cs="TTE1965D00t00"/>
          <w:noProof/>
          <w:color w:val="000000"/>
        </w:rPr>
      </w:pPr>
    </w:p>
    <w:p w14:paraId="28D5F2F6" w14:textId="77777777" w:rsidR="00F96F60" w:rsidRPr="00F96F60" w:rsidRDefault="00F96F60" w:rsidP="00F96F60">
      <w:pPr>
        <w:rPr>
          <w:rFonts w:cs="TTE1965D00t00"/>
        </w:rPr>
      </w:pPr>
    </w:p>
    <w:p w14:paraId="6EAE4307" w14:textId="77777777" w:rsidR="00F96F60" w:rsidRPr="00F96F60" w:rsidRDefault="00F96F60" w:rsidP="00F96F60">
      <w:pPr>
        <w:rPr>
          <w:rFonts w:cs="TTE1965D00t00"/>
        </w:rPr>
      </w:pPr>
    </w:p>
    <w:p w14:paraId="608F5E70" w14:textId="1678ECFC" w:rsidR="00F96F60" w:rsidRDefault="00F96F60" w:rsidP="00F96F60">
      <w:pPr>
        <w:tabs>
          <w:tab w:val="left" w:pos="1275"/>
        </w:tabs>
        <w:autoSpaceDE w:val="0"/>
        <w:autoSpaceDN w:val="0"/>
        <w:adjustRightInd w:val="0"/>
        <w:rPr>
          <w:rFonts w:cs="TTE1965D00t00"/>
        </w:rPr>
      </w:pPr>
      <w:r>
        <w:rPr>
          <w:rFonts w:cs="TTE1965D00t00"/>
        </w:rPr>
        <w:tab/>
      </w:r>
    </w:p>
    <w:p w14:paraId="0DD744D9" w14:textId="38284335" w:rsidR="0067460B" w:rsidRPr="00B23A22" w:rsidRDefault="0067460B" w:rsidP="0067460B">
      <w:pPr>
        <w:autoSpaceDE w:val="0"/>
        <w:autoSpaceDN w:val="0"/>
        <w:adjustRightInd w:val="0"/>
        <w:rPr>
          <w:rFonts w:cs="TTE1965D00t00"/>
          <w:noProof/>
          <w:sz w:val="20"/>
          <w:szCs w:val="20"/>
        </w:rPr>
      </w:pPr>
      <w:r w:rsidRPr="00B23A22">
        <w:rPr>
          <w:rFonts w:cs="TTE1965D00t00"/>
          <w:noProof/>
          <w:sz w:val="20"/>
          <w:szCs w:val="20"/>
        </w:rPr>
        <w:t>IDEXX Laboratories, Inc.</w:t>
      </w:r>
      <w:r w:rsidRPr="00B23A22">
        <w:rPr>
          <w:rFonts w:cs="TTE1965D00t00"/>
          <w:noProof/>
          <w:sz w:val="20"/>
          <w:szCs w:val="20"/>
        </w:rPr>
        <w:br/>
        <w:t>One IDEXX Drive</w:t>
      </w:r>
      <w:r w:rsidRPr="00B23A22">
        <w:rPr>
          <w:rFonts w:cs="TTE1965D00t00"/>
          <w:noProof/>
          <w:sz w:val="20"/>
          <w:szCs w:val="20"/>
        </w:rPr>
        <w:br/>
        <w:t>Westbrook, Maine 04092</w:t>
      </w:r>
      <w:r w:rsidRPr="00B23A22">
        <w:rPr>
          <w:rFonts w:cs="TTE1965D00t00"/>
          <w:noProof/>
          <w:sz w:val="20"/>
          <w:szCs w:val="20"/>
        </w:rPr>
        <w:br/>
        <w:t>USA</w:t>
      </w:r>
      <w:r w:rsidRPr="00B23A22">
        <w:rPr>
          <w:rFonts w:cs="TTE1965D00t00"/>
          <w:noProof/>
          <w:sz w:val="20"/>
          <w:szCs w:val="20"/>
        </w:rPr>
        <w:br/>
      </w:r>
    </w:p>
    <w:p w14:paraId="7B07BBF1" w14:textId="77777777" w:rsidR="0067460B" w:rsidRPr="00B23A22" w:rsidRDefault="0067460B" w:rsidP="0067460B">
      <w:pPr>
        <w:autoSpaceDE w:val="0"/>
        <w:autoSpaceDN w:val="0"/>
        <w:adjustRightInd w:val="0"/>
        <w:rPr>
          <w:rFonts w:cs="TTE1965D00t00"/>
          <w:noProof/>
          <w:sz w:val="20"/>
          <w:szCs w:val="20"/>
        </w:rPr>
      </w:pPr>
      <w:r w:rsidRPr="00B23A22">
        <w:rPr>
          <w:rFonts w:cs="TTE1965D00t00"/>
          <w:noProof/>
          <w:sz w:val="20"/>
          <w:szCs w:val="20"/>
        </w:rPr>
        <w:t>Výrobce</w:t>
      </w:r>
    </w:p>
    <w:p w14:paraId="72C1F812" w14:textId="77777777" w:rsidR="0067460B" w:rsidRPr="00B23A22" w:rsidRDefault="0067460B" w:rsidP="0067460B">
      <w:pPr>
        <w:autoSpaceDE w:val="0"/>
        <w:autoSpaceDN w:val="0"/>
        <w:adjustRightInd w:val="0"/>
        <w:rPr>
          <w:rFonts w:cs="TTE1965D00t00"/>
          <w:noProof/>
          <w:sz w:val="20"/>
          <w:szCs w:val="20"/>
        </w:rPr>
      </w:pPr>
      <w:r w:rsidRPr="00B23A22">
        <w:rPr>
          <w:rFonts w:cs="TTE1965D00t00"/>
          <w:noProof/>
          <w:sz w:val="20"/>
          <w:szCs w:val="20"/>
        </w:rPr>
        <w:t>IDEXX Montpellier SAS</w:t>
      </w:r>
      <w:r w:rsidRPr="00B23A22">
        <w:rPr>
          <w:rFonts w:cs="TTE1965D00t00"/>
          <w:noProof/>
          <w:sz w:val="20"/>
          <w:szCs w:val="20"/>
        </w:rPr>
        <w:br/>
        <w:t>326 rue de la Galéra</w:t>
      </w:r>
      <w:r w:rsidRPr="00B23A22">
        <w:rPr>
          <w:rFonts w:cs="TTE1965D00t00"/>
          <w:noProof/>
          <w:sz w:val="20"/>
          <w:szCs w:val="20"/>
        </w:rPr>
        <w:br/>
        <w:t>34090 Montpellier</w:t>
      </w:r>
      <w:r w:rsidRPr="00B23A22">
        <w:rPr>
          <w:rFonts w:cs="TTE1965D00t00"/>
          <w:noProof/>
          <w:sz w:val="20"/>
          <w:szCs w:val="20"/>
        </w:rPr>
        <w:br/>
        <w:t>Francie</w:t>
      </w:r>
    </w:p>
    <w:p w14:paraId="1656BD8F" w14:textId="77777777" w:rsidR="0067460B" w:rsidRPr="00B23A22" w:rsidRDefault="0067460B" w:rsidP="0067460B">
      <w:pPr>
        <w:autoSpaceDE w:val="0"/>
        <w:autoSpaceDN w:val="0"/>
        <w:adjustRightInd w:val="0"/>
        <w:rPr>
          <w:rFonts w:cs="TTE1965D00t00"/>
          <w:noProof/>
          <w:sz w:val="20"/>
          <w:szCs w:val="20"/>
        </w:rPr>
      </w:pPr>
    </w:p>
    <w:p w14:paraId="18B2C389" w14:textId="6AAA36D6" w:rsidR="0067460B" w:rsidRPr="00B23A22" w:rsidRDefault="0067460B" w:rsidP="0067460B">
      <w:pPr>
        <w:autoSpaceDE w:val="0"/>
        <w:autoSpaceDN w:val="0"/>
        <w:adjustRightInd w:val="0"/>
        <w:rPr>
          <w:rFonts w:cs="TTE1965D00t00"/>
          <w:noProof/>
          <w:sz w:val="20"/>
          <w:szCs w:val="20"/>
        </w:rPr>
      </w:pPr>
      <w:r w:rsidRPr="00B23A22">
        <w:rPr>
          <w:rFonts w:cs="TTE1965D00t00"/>
          <w:noProof/>
          <w:sz w:val="20"/>
          <w:szCs w:val="20"/>
        </w:rPr>
        <w:t>Zástupce pro EU</w:t>
      </w:r>
      <w:r w:rsidR="005417FB">
        <w:rPr>
          <w:rFonts w:cs="TTE1965D00t00"/>
          <w:noProof/>
          <w:sz w:val="20"/>
          <w:szCs w:val="20"/>
        </w:rPr>
        <w:t xml:space="preserve"> a držitel rozhodnutí o schválení</w:t>
      </w:r>
    </w:p>
    <w:p w14:paraId="1D04152C" w14:textId="77777777" w:rsidR="0067460B" w:rsidRPr="00B23A22" w:rsidRDefault="0067460B" w:rsidP="0067460B">
      <w:pPr>
        <w:autoSpaceDE w:val="0"/>
        <w:autoSpaceDN w:val="0"/>
        <w:adjustRightInd w:val="0"/>
        <w:rPr>
          <w:rFonts w:cs="TTE1965D00t00"/>
          <w:noProof/>
          <w:sz w:val="20"/>
          <w:szCs w:val="20"/>
        </w:rPr>
      </w:pPr>
      <w:r w:rsidRPr="00B23A22">
        <w:rPr>
          <w:rFonts w:cs="TTE1965D00t00"/>
          <w:noProof/>
          <w:sz w:val="20"/>
          <w:szCs w:val="20"/>
        </w:rPr>
        <w:t>IDEXX Europe B.V.</w:t>
      </w:r>
      <w:r w:rsidRPr="00B23A22">
        <w:rPr>
          <w:rFonts w:cs="TTE1965D00t00"/>
          <w:noProof/>
          <w:sz w:val="20"/>
          <w:szCs w:val="20"/>
        </w:rPr>
        <w:br/>
        <w:t>P.O. Box 1334</w:t>
      </w:r>
      <w:r w:rsidRPr="00B23A22">
        <w:rPr>
          <w:rFonts w:cs="TTE1965D00t00"/>
          <w:noProof/>
          <w:sz w:val="20"/>
          <w:szCs w:val="20"/>
        </w:rPr>
        <w:br/>
        <w:t>2130 EK Hoofddorp</w:t>
      </w:r>
      <w:r w:rsidRPr="00B23A22">
        <w:rPr>
          <w:rFonts w:cs="TTE1965D00t00"/>
          <w:noProof/>
          <w:sz w:val="20"/>
          <w:szCs w:val="20"/>
        </w:rPr>
        <w:br/>
        <w:t>Nizozemí</w:t>
      </w:r>
    </w:p>
    <w:p w14:paraId="40ACE784" w14:textId="77777777" w:rsidR="0067460B" w:rsidRPr="00B23A22" w:rsidRDefault="0067460B" w:rsidP="0067460B">
      <w:pPr>
        <w:autoSpaceDE w:val="0"/>
        <w:autoSpaceDN w:val="0"/>
        <w:adjustRightInd w:val="0"/>
        <w:rPr>
          <w:rFonts w:cs="TTE1965D00t00"/>
          <w:noProof/>
          <w:sz w:val="20"/>
          <w:szCs w:val="20"/>
        </w:rPr>
      </w:pPr>
    </w:p>
    <w:p w14:paraId="443A8513" w14:textId="77777777" w:rsidR="0067460B" w:rsidRPr="00B23A22" w:rsidRDefault="0067460B" w:rsidP="0067460B">
      <w:pPr>
        <w:autoSpaceDE w:val="0"/>
        <w:autoSpaceDN w:val="0"/>
        <w:adjustRightInd w:val="0"/>
        <w:rPr>
          <w:rFonts w:cs="TTE1965D00t00"/>
          <w:noProof/>
          <w:sz w:val="20"/>
          <w:szCs w:val="20"/>
        </w:rPr>
      </w:pPr>
      <w:r w:rsidRPr="00B23A22">
        <w:rPr>
          <w:rFonts w:cs="TTE1965D00t00"/>
          <w:noProof/>
          <w:sz w:val="20"/>
          <w:szCs w:val="20"/>
        </w:rPr>
        <w:t>idexx.com</w:t>
      </w:r>
      <w:bookmarkStart w:id="0" w:name="_GoBack"/>
      <w:bookmarkEnd w:id="0"/>
    </w:p>
    <w:sectPr w:rsidR="0067460B" w:rsidRPr="00B23A22" w:rsidSect="00FF66E1">
      <w:headerReference w:type="default" r:id="rId21"/>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AF98A" w14:textId="77777777" w:rsidR="002031D5" w:rsidRDefault="002031D5" w:rsidP="005417FB">
      <w:r>
        <w:separator/>
      </w:r>
    </w:p>
  </w:endnote>
  <w:endnote w:type="continuationSeparator" w:id="0">
    <w:p w14:paraId="1573FDF7" w14:textId="77777777" w:rsidR="002031D5" w:rsidRDefault="002031D5" w:rsidP="0054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wiss721BT-Roman">
    <w:altName w:val="Malgun Gothic"/>
    <w:panose1 w:val="00000000000000000000"/>
    <w:charset w:val="81"/>
    <w:family w:val="swiss"/>
    <w:notTrueType/>
    <w:pitch w:val="default"/>
    <w:sig w:usb0="00000001" w:usb1="09060000" w:usb2="00000010" w:usb3="00000000" w:csb0="00080000" w:csb1="00000000"/>
  </w:font>
  <w:font w:name="Swiss721BT-Bold">
    <w:altName w:val="Arial"/>
    <w:panose1 w:val="00000000000000000000"/>
    <w:charset w:val="EE"/>
    <w:family w:val="swiss"/>
    <w:notTrueType/>
    <w:pitch w:val="default"/>
    <w:sig w:usb0="00000007" w:usb1="00000000" w:usb2="00000000" w:usb3="00000000" w:csb0="00000003" w:csb1="00000000"/>
  </w:font>
  <w:font w:name="Swiss 72 1 BT">
    <w:altName w:val="Times New Roman"/>
    <w:panose1 w:val="00000000000000000000"/>
    <w:charset w:val="00"/>
    <w:family w:val="swiss"/>
    <w:notTrueType/>
    <w:pitch w:val="default"/>
    <w:sig w:usb0="00000003" w:usb1="00000000" w:usb2="00000000" w:usb3="00000000" w:csb0="00000009" w:csb1="00000000"/>
  </w:font>
  <w:font w:name="TTE1965D0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E1282" w14:textId="77777777" w:rsidR="002031D5" w:rsidRDefault="002031D5" w:rsidP="005417FB">
      <w:r>
        <w:separator/>
      </w:r>
    </w:p>
  </w:footnote>
  <w:footnote w:type="continuationSeparator" w:id="0">
    <w:p w14:paraId="6FC81A6F" w14:textId="77777777" w:rsidR="002031D5" w:rsidRDefault="002031D5" w:rsidP="00541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A8818" w14:textId="16B7AA8F" w:rsidR="005417FB" w:rsidRPr="00CD335B" w:rsidRDefault="005417FB" w:rsidP="005417FB">
    <w:pPr>
      <w:rPr>
        <w:rFonts w:asciiTheme="minorHAnsi" w:hAnsiTheme="minorHAnsi" w:cstheme="minorHAnsi"/>
        <w:b/>
        <w:bCs/>
        <w:sz w:val="22"/>
        <w:szCs w:val="22"/>
      </w:rPr>
    </w:pPr>
    <w:r w:rsidRPr="00CD335B">
      <w:rPr>
        <w:rFonts w:asciiTheme="minorHAnsi" w:hAnsiTheme="minorHAnsi" w:cstheme="minorHAnsi"/>
        <w:bCs/>
        <w:sz w:val="22"/>
        <w:szCs w:val="22"/>
      </w:rPr>
      <w:t xml:space="preserve">Text příbalové informace součást dokumentace schválené rozhodnutím </w:t>
    </w:r>
    <w:proofErr w:type="spellStart"/>
    <w:r w:rsidRPr="00CD335B">
      <w:rPr>
        <w:rFonts w:asciiTheme="minorHAnsi" w:hAnsiTheme="minorHAnsi" w:cstheme="minorHAnsi"/>
        <w:bCs/>
        <w:sz w:val="22"/>
        <w:szCs w:val="22"/>
      </w:rPr>
      <w:t>sp.zn</w:t>
    </w:r>
    <w:proofErr w:type="spellEnd"/>
    <w:r w:rsidRPr="00CD335B">
      <w:rPr>
        <w:rFonts w:asciiTheme="minorHAnsi" w:hAnsiTheme="minorHAnsi" w:cstheme="minorHAnsi"/>
        <w:bCs/>
        <w:sz w:val="22"/>
        <w:szCs w:val="22"/>
      </w:rPr>
      <w:t xml:space="preserve">. </w:t>
    </w:r>
    <w:sdt>
      <w:sdtPr>
        <w:rPr>
          <w:rFonts w:asciiTheme="minorHAnsi" w:eastAsia="Times New Roman" w:hAnsiTheme="minorHAnsi" w:cstheme="minorHAnsi"/>
          <w:sz w:val="22"/>
          <w:szCs w:val="22"/>
          <w:lang w:eastAsia="cs-CZ"/>
        </w:rPr>
        <w:id w:val="2058362447"/>
        <w:placeholder>
          <w:docPart w:val="5F0411A6C7024C61B80BC637EF74845E"/>
        </w:placeholder>
        <w:text/>
      </w:sdtPr>
      <w:sdtEndPr/>
      <w:sdtContent>
        <w:r w:rsidR="00CD335B" w:rsidRPr="00CD335B">
          <w:rPr>
            <w:rFonts w:asciiTheme="minorHAnsi" w:eastAsia="Times New Roman" w:hAnsiTheme="minorHAnsi" w:cstheme="minorHAnsi"/>
            <w:sz w:val="22"/>
            <w:szCs w:val="22"/>
            <w:lang w:eastAsia="cs-CZ"/>
          </w:rPr>
          <w:t>USKVBL/5934/2021/POD</w:t>
        </w:r>
      </w:sdtContent>
    </w:sdt>
    <w:r w:rsidRPr="00CD335B">
      <w:rPr>
        <w:rFonts w:asciiTheme="minorHAnsi" w:hAnsiTheme="minorHAnsi" w:cstheme="minorHAnsi"/>
        <w:bCs/>
        <w:sz w:val="22"/>
        <w:szCs w:val="22"/>
      </w:rPr>
      <w:t xml:space="preserve">, č.j. </w:t>
    </w:r>
    <w:sdt>
      <w:sdtPr>
        <w:rPr>
          <w:rFonts w:asciiTheme="minorHAnsi" w:eastAsia="Times New Roman" w:hAnsiTheme="minorHAnsi" w:cstheme="minorHAnsi"/>
          <w:sz w:val="22"/>
          <w:szCs w:val="22"/>
          <w:lang w:eastAsia="cs-CZ"/>
        </w:rPr>
        <w:id w:val="256413127"/>
        <w:placeholder>
          <w:docPart w:val="5F0411A6C7024C61B80BC637EF74845E"/>
        </w:placeholder>
        <w:text/>
      </w:sdtPr>
      <w:sdtEndPr/>
      <w:sdtContent>
        <w:r w:rsidR="00CD335B" w:rsidRPr="00CD335B">
          <w:rPr>
            <w:rFonts w:asciiTheme="minorHAnsi" w:eastAsia="Times New Roman" w:hAnsiTheme="minorHAnsi" w:cstheme="minorHAnsi"/>
            <w:sz w:val="22"/>
            <w:szCs w:val="22"/>
            <w:lang w:eastAsia="cs-CZ"/>
          </w:rPr>
          <w:t>USKVBL/8157/2021/REG-</w:t>
        </w:r>
        <w:proofErr w:type="spellStart"/>
        <w:r w:rsidR="00CD335B" w:rsidRPr="00CD335B">
          <w:rPr>
            <w:rFonts w:asciiTheme="minorHAnsi" w:eastAsia="Times New Roman" w:hAnsiTheme="minorHAnsi" w:cstheme="minorHAnsi"/>
            <w:sz w:val="22"/>
            <w:szCs w:val="22"/>
            <w:lang w:eastAsia="cs-CZ"/>
          </w:rPr>
          <w:t>Gro</w:t>
        </w:r>
        <w:proofErr w:type="spellEnd"/>
      </w:sdtContent>
    </w:sdt>
    <w:r w:rsidRPr="00CD335B">
      <w:rPr>
        <w:rFonts w:asciiTheme="minorHAnsi" w:hAnsiTheme="minorHAnsi" w:cstheme="minorHAnsi"/>
        <w:bCs/>
        <w:sz w:val="22"/>
        <w:szCs w:val="22"/>
      </w:rPr>
      <w:t xml:space="preserve"> ze dne </w:t>
    </w:r>
    <w:sdt>
      <w:sdtPr>
        <w:rPr>
          <w:rFonts w:asciiTheme="minorHAnsi" w:hAnsiTheme="minorHAnsi" w:cstheme="minorHAnsi"/>
          <w:bCs/>
          <w:sz w:val="22"/>
          <w:szCs w:val="22"/>
        </w:rPr>
        <w:id w:val="1773286175"/>
        <w:placeholder>
          <w:docPart w:val="CBB39A0054EA43D1A3A79806BD758444"/>
        </w:placeholder>
        <w:date w:fullDate="2021-06-10T00:00:00Z">
          <w:dateFormat w:val="d.M.yyyy"/>
          <w:lid w:val="cs-CZ"/>
          <w:storeMappedDataAs w:val="dateTime"/>
          <w:calendar w:val="gregorian"/>
        </w:date>
      </w:sdtPr>
      <w:sdtEndPr/>
      <w:sdtContent>
        <w:r w:rsidR="00CD335B" w:rsidRPr="00CD335B">
          <w:rPr>
            <w:rFonts w:asciiTheme="minorHAnsi" w:hAnsiTheme="minorHAnsi" w:cstheme="minorHAnsi"/>
            <w:bCs/>
            <w:sz w:val="22"/>
            <w:szCs w:val="22"/>
          </w:rPr>
          <w:t>10.6.2021</w:t>
        </w:r>
      </w:sdtContent>
    </w:sdt>
    <w:r w:rsidRPr="00CD335B">
      <w:rPr>
        <w:rFonts w:asciiTheme="minorHAnsi" w:hAnsiTheme="minorHAnsi" w:cstheme="minorHAnsi"/>
        <w:bCs/>
        <w:sz w:val="22"/>
        <w:szCs w:val="22"/>
      </w:rPr>
      <w:t xml:space="preserve"> o </w:t>
    </w:r>
    <w:sdt>
      <w:sdtPr>
        <w:rPr>
          <w:rFonts w:asciiTheme="minorHAnsi" w:eastAsia="Times New Roman" w:hAnsiTheme="minorHAnsi" w:cstheme="minorHAnsi"/>
          <w:sz w:val="22"/>
          <w:szCs w:val="22"/>
          <w:lang w:eastAsia="cs-CZ"/>
        </w:rPr>
        <w:id w:val="-2045283072"/>
        <w:placeholder>
          <w:docPart w:val="AA5543CBA4EE44EE9B3B232CEE5513C8"/>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sdtContent>
        <w:r w:rsidR="00CD335B" w:rsidRPr="00CD335B">
          <w:rPr>
            <w:rFonts w:asciiTheme="minorHAnsi" w:eastAsia="Times New Roman" w:hAnsiTheme="minorHAnsi" w:cstheme="minorHAnsi"/>
            <w:sz w:val="22"/>
            <w:szCs w:val="22"/>
            <w:lang w:eastAsia="cs-CZ"/>
          </w:rPr>
          <w:t>prodloužení platnosti rozhodnutí o schválení veterinárního přípravku</w:t>
        </w:r>
      </w:sdtContent>
    </w:sdt>
    <w:r w:rsidRPr="00CD335B">
      <w:rPr>
        <w:rFonts w:asciiTheme="minorHAnsi" w:hAnsiTheme="minorHAnsi" w:cstheme="minorHAnsi"/>
        <w:bCs/>
        <w:sz w:val="22"/>
        <w:szCs w:val="22"/>
      </w:rPr>
      <w:t xml:space="preserve"> </w:t>
    </w:r>
    <w:sdt>
      <w:sdtPr>
        <w:rPr>
          <w:rFonts w:asciiTheme="minorHAnsi" w:hAnsiTheme="minorHAnsi" w:cstheme="minorHAnsi"/>
          <w:noProof/>
          <w:sz w:val="22"/>
          <w:szCs w:val="22"/>
        </w:rPr>
        <w:id w:val="28773371"/>
        <w:placeholder>
          <w:docPart w:val="AC251B6A8C0A4245ABFA655952930FCB"/>
        </w:placeholder>
        <w:text/>
      </w:sdtPr>
      <w:sdtEndPr/>
      <w:sdtContent>
        <w:r w:rsidR="00CD335B" w:rsidRPr="00CD335B">
          <w:rPr>
            <w:rFonts w:asciiTheme="minorHAnsi" w:hAnsiTheme="minorHAnsi" w:cstheme="minorHAnsi"/>
            <w:noProof/>
            <w:sz w:val="22"/>
            <w:szCs w:val="22"/>
          </w:rPr>
          <w:t>Pourquier Rose Bengal Ag</w:t>
        </w:r>
      </w:sdtContent>
    </w:sdt>
  </w:p>
  <w:p w14:paraId="79C03F71" w14:textId="77777777" w:rsidR="005417FB" w:rsidRDefault="005417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70C20"/>
    <w:multiLevelType w:val="hybridMultilevel"/>
    <w:tmpl w:val="C862DE8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1" w15:restartNumberingAfterBreak="0">
    <w:nsid w:val="3BFF5E5E"/>
    <w:multiLevelType w:val="hybridMultilevel"/>
    <w:tmpl w:val="06589F58"/>
    <w:lvl w:ilvl="0" w:tplc="04050001">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2" w15:restartNumberingAfterBreak="0">
    <w:nsid w:val="3DC319E4"/>
    <w:multiLevelType w:val="hybridMultilevel"/>
    <w:tmpl w:val="E4007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C50E7A"/>
    <w:multiLevelType w:val="hybridMultilevel"/>
    <w:tmpl w:val="023C2FA6"/>
    <w:lvl w:ilvl="0" w:tplc="BB3455BC">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4" w15:restartNumberingAfterBreak="0">
    <w:nsid w:val="4F320306"/>
    <w:multiLevelType w:val="hybridMultilevel"/>
    <w:tmpl w:val="5ED68AF0"/>
    <w:lvl w:ilvl="0" w:tplc="BB3455BC">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5" w15:restartNumberingAfterBreak="0">
    <w:nsid w:val="5E291931"/>
    <w:multiLevelType w:val="hybridMultilevel"/>
    <w:tmpl w:val="5F300D7E"/>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6" w15:restartNumberingAfterBreak="0">
    <w:nsid w:val="5EFA5857"/>
    <w:multiLevelType w:val="hybridMultilevel"/>
    <w:tmpl w:val="9410D0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DC86B34"/>
    <w:multiLevelType w:val="hybridMultilevel"/>
    <w:tmpl w:val="0ACC9B42"/>
    <w:lvl w:ilvl="0" w:tplc="04070001">
      <w:start w:val="1"/>
      <w:numFmt w:val="bullet"/>
      <w:lvlText w:val=""/>
      <w:lvlJc w:val="left"/>
      <w:pPr>
        <w:tabs>
          <w:tab w:val="num" w:pos="360"/>
        </w:tabs>
        <w:ind w:left="360" w:hanging="360"/>
      </w:pPr>
      <w:rPr>
        <w:rFonts w:ascii="Symbol" w:hAnsi="Symbol" w:cs="Symbol" w:hint="default"/>
      </w:rPr>
    </w:lvl>
    <w:lvl w:ilvl="1" w:tplc="04050003">
      <w:start w:val="1"/>
      <w:numFmt w:val="bullet"/>
      <w:lvlText w:val="o"/>
      <w:lvlJc w:val="left"/>
      <w:pPr>
        <w:tabs>
          <w:tab w:val="num" w:pos="3207"/>
        </w:tabs>
        <w:ind w:left="3207" w:hanging="360"/>
      </w:pPr>
      <w:rPr>
        <w:rFonts w:ascii="Courier New" w:hAnsi="Courier New" w:cs="Courier New" w:hint="default"/>
      </w:rPr>
    </w:lvl>
    <w:lvl w:ilvl="2" w:tplc="04050005">
      <w:start w:val="1"/>
      <w:numFmt w:val="bullet"/>
      <w:lvlText w:val=""/>
      <w:lvlJc w:val="left"/>
      <w:pPr>
        <w:tabs>
          <w:tab w:val="num" w:pos="3927"/>
        </w:tabs>
        <w:ind w:left="3927" w:hanging="360"/>
      </w:pPr>
      <w:rPr>
        <w:rFonts w:ascii="Wingdings" w:hAnsi="Wingdings" w:cs="Wingdings" w:hint="default"/>
      </w:rPr>
    </w:lvl>
    <w:lvl w:ilvl="3" w:tplc="04050001">
      <w:start w:val="1"/>
      <w:numFmt w:val="bullet"/>
      <w:lvlText w:val=""/>
      <w:lvlJc w:val="left"/>
      <w:pPr>
        <w:tabs>
          <w:tab w:val="num" w:pos="4647"/>
        </w:tabs>
        <w:ind w:left="4647" w:hanging="360"/>
      </w:pPr>
      <w:rPr>
        <w:rFonts w:ascii="Symbol" w:hAnsi="Symbol" w:cs="Symbol" w:hint="default"/>
      </w:rPr>
    </w:lvl>
    <w:lvl w:ilvl="4" w:tplc="04050003">
      <w:start w:val="1"/>
      <w:numFmt w:val="bullet"/>
      <w:lvlText w:val="o"/>
      <w:lvlJc w:val="left"/>
      <w:pPr>
        <w:tabs>
          <w:tab w:val="num" w:pos="5367"/>
        </w:tabs>
        <w:ind w:left="5367" w:hanging="360"/>
      </w:pPr>
      <w:rPr>
        <w:rFonts w:ascii="Courier New" w:hAnsi="Courier New" w:cs="Courier New" w:hint="default"/>
      </w:rPr>
    </w:lvl>
    <w:lvl w:ilvl="5" w:tplc="04050005">
      <w:start w:val="1"/>
      <w:numFmt w:val="bullet"/>
      <w:lvlText w:val=""/>
      <w:lvlJc w:val="left"/>
      <w:pPr>
        <w:tabs>
          <w:tab w:val="num" w:pos="6087"/>
        </w:tabs>
        <w:ind w:left="6087" w:hanging="360"/>
      </w:pPr>
      <w:rPr>
        <w:rFonts w:ascii="Wingdings" w:hAnsi="Wingdings" w:cs="Wingdings" w:hint="default"/>
      </w:rPr>
    </w:lvl>
    <w:lvl w:ilvl="6" w:tplc="04050001">
      <w:start w:val="1"/>
      <w:numFmt w:val="bullet"/>
      <w:lvlText w:val=""/>
      <w:lvlJc w:val="left"/>
      <w:pPr>
        <w:tabs>
          <w:tab w:val="num" w:pos="6807"/>
        </w:tabs>
        <w:ind w:left="6807" w:hanging="360"/>
      </w:pPr>
      <w:rPr>
        <w:rFonts w:ascii="Symbol" w:hAnsi="Symbol" w:cs="Symbol" w:hint="default"/>
      </w:rPr>
    </w:lvl>
    <w:lvl w:ilvl="7" w:tplc="04050003">
      <w:start w:val="1"/>
      <w:numFmt w:val="bullet"/>
      <w:lvlText w:val="o"/>
      <w:lvlJc w:val="left"/>
      <w:pPr>
        <w:tabs>
          <w:tab w:val="num" w:pos="7527"/>
        </w:tabs>
        <w:ind w:left="7527" w:hanging="360"/>
      </w:pPr>
      <w:rPr>
        <w:rFonts w:ascii="Courier New" w:hAnsi="Courier New" w:cs="Courier New" w:hint="default"/>
      </w:rPr>
    </w:lvl>
    <w:lvl w:ilvl="8" w:tplc="04050005">
      <w:start w:val="1"/>
      <w:numFmt w:val="bullet"/>
      <w:lvlText w:val=""/>
      <w:lvlJc w:val="left"/>
      <w:pPr>
        <w:tabs>
          <w:tab w:val="num" w:pos="8247"/>
        </w:tabs>
        <w:ind w:left="8247" w:hanging="360"/>
      </w:pPr>
      <w:rPr>
        <w:rFonts w:ascii="Wingdings" w:hAnsi="Wingdings" w:cs="Wingdings" w:hint="default"/>
      </w:rPr>
    </w:lvl>
  </w:abstractNum>
  <w:num w:numId="1">
    <w:abstractNumId w:val="1"/>
  </w:num>
  <w:num w:numId="2">
    <w:abstractNumId w:val="7"/>
  </w:num>
  <w:num w:numId="3">
    <w:abstractNumId w:val="0"/>
  </w:num>
  <w:num w:numId="4">
    <w:abstractNumId w:val="5"/>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54"/>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93"/>
    <w:rsid w:val="00037009"/>
    <w:rsid w:val="00052AF0"/>
    <w:rsid w:val="00094856"/>
    <w:rsid w:val="000B0A1C"/>
    <w:rsid w:val="00114DDA"/>
    <w:rsid w:val="00140263"/>
    <w:rsid w:val="00153A19"/>
    <w:rsid w:val="0020005C"/>
    <w:rsid w:val="002031D5"/>
    <w:rsid w:val="00223E64"/>
    <w:rsid w:val="00227D85"/>
    <w:rsid w:val="00243977"/>
    <w:rsid w:val="00274139"/>
    <w:rsid w:val="002E0775"/>
    <w:rsid w:val="0036231C"/>
    <w:rsid w:val="00387AA1"/>
    <w:rsid w:val="003D188C"/>
    <w:rsid w:val="00413001"/>
    <w:rsid w:val="004D0D88"/>
    <w:rsid w:val="004D21EF"/>
    <w:rsid w:val="004F7AA6"/>
    <w:rsid w:val="005051AA"/>
    <w:rsid w:val="00526730"/>
    <w:rsid w:val="0052731E"/>
    <w:rsid w:val="005417FB"/>
    <w:rsid w:val="00541D82"/>
    <w:rsid w:val="005B71CF"/>
    <w:rsid w:val="006275B3"/>
    <w:rsid w:val="006406D5"/>
    <w:rsid w:val="00646A06"/>
    <w:rsid w:val="0067460B"/>
    <w:rsid w:val="006966DE"/>
    <w:rsid w:val="006F53E5"/>
    <w:rsid w:val="00776139"/>
    <w:rsid w:val="007F5AC2"/>
    <w:rsid w:val="00800F90"/>
    <w:rsid w:val="00963B23"/>
    <w:rsid w:val="009A5B73"/>
    <w:rsid w:val="00A371AD"/>
    <w:rsid w:val="00A626BD"/>
    <w:rsid w:val="00AE1BF5"/>
    <w:rsid w:val="00AF15D1"/>
    <w:rsid w:val="00B11D75"/>
    <w:rsid w:val="00B301F3"/>
    <w:rsid w:val="00B44948"/>
    <w:rsid w:val="00BA6948"/>
    <w:rsid w:val="00BC6D5B"/>
    <w:rsid w:val="00C51E5E"/>
    <w:rsid w:val="00C74E81"/>
    <w:rsid w:val="00CC240E"/>
    <w:rsid w:val="00CD335B"/>
    <w:rsid w:val="00D552F4"/>
    <w:rsid w:val="00D64993"/>
    <w:rsid w:val="00DC3AF5"/>
    <w:rsid w:val="00E4397C"/>
    <w:rsid w:val="00E633D0"/>
    <w:rsid w:val="00E703A2"/>
    <w:rsid w:val="00E74ABE"/>
    <w:rsid w:val="00EA3FFE"/>
    <w:rsid w:val="00F5128F"/>
    <w:rsid w:val="00F96F60"/>
    <w:rsid w:val="00FA2180"/>
    <w:rsid w:val="00FA2E82"/>
    <w:rsid w:val="00FC2152"/>
    <w:rsid w:val="00FD0937"/>
    <w:rsid w:val="00FF6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B47313"/>
  <w15:docId w15:val="{BCAA93E5-3D6E-4923-860B-DE8B7DF2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F66E1"/>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1">
    <w:name w:val="A1"/>
    <w:uiPriority w:val="99"/>
    <w:rsid w:val="00D64993"/>
    <w:rPr>
      <w:color w:val="000000"/>
      <w:sz w:val="28"/>
      <w:szCs w:val="28"/>
    </w:rPr>
  </w:style>
  <w:style w:type="table" w:styleId="Mkatabulky">
    <w:name w:val="Table Grid"/>
    <w:basedOn w:val="Normlntabulka"/>
    <w:uiPriority w:val="99"/>
    <w:rsid w:val="00BA694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ezmezer1">
    <w:name w:val="Bez mezer1"/>
    <w:uiPriority w:val="99"/>
    <w:rsid w:val="00243977"/>
    <w:pPr>
      <w:ind w:left="454" w:hanging="454"/>
      <w:jc w:val="both"/>
    </w:pPr>
    <w:rPr>
      <w:rFonts w:ascii="Calibri" w:eastAsia="Times New Roman" w:hAnsi="Calibri" w:cs="Calibri"/>
      <w:lang w:eastAsia="en-US"/>
    </w:rPr>
  </w:style>
  <w:style w:type="paragraph" w:styleId="Odstavecseseznamem">
    <w:name w:val="List Paragraph"/>
    <w:basedOn w:val="Normln"/>
    <w:uiPriority w:val="34"/>
    <w:qFormat/>
    <w:rsid w:val="00243977"/>
    <w:pPr>
      <w:ind w:left="720" w:hanging="454"/>
      <w:jc w:val="both"/>
    </w:pPr>
  </w:style>
  <w:style w:type="paragraph" w:customStyle="1" w:styleId="Default">
    <w:name w:val="Default"/>
    <w:uiPriority w:val="99"/>
    <w:rsid w:val="004D0D88"/>
    <w:pPr>
      <w:autoSpaceDE w:val="0"/>
      <w:autoSpaceDN w:val="0"/>
      <w:adjustRightInd w:val="0"/>
      <w:jc w:val="both"/>
    </w:pPr>
    <w:rPr>
      <w:rFonts w:ascii="Arial Narrow" w:hAnsi="Arial Narrow" w:cs="Arial Narrow"/>
      <w:color w:val="000000"/>
      <w:sz w:val="24"/>
      <w:szCs w:val="24"/>
      <w:lang w:eastAsia="en-US"/>
    </w:rPr>
  </w:style>
  <w:style w:type="paragraph" w:customStyle="1" w:styleId="ListParagraph1">
    <w:name w:val="List Paragraph1"/>
    <w:basedOn w:val="Normln"/>
    <w:uiPriority w:val="99"/>
    <w:rsid w:val="005051AA"/>
    <w:pPr>
      <w:spacing w:after="200" w:line="276" w:lineRule="auto"/>
      <w:ind w:left="720"/>
    </w:pPr>
    <w:rPr>
      <w:rFonts w:ascii="Calibri" w:eastAsia="Times New Roman" w:hAnsi="Calibri" w:cs="Calibri"/>
      <w:sz w:val="22"/>
      <w:szCs w:val="22"/>
    </w:rPr>
  </w:style>
  <w:style w:type="paragraph" w:customStyle="1" w:styleId="Bezmezer2">
    <w:name w:val="Bez mezer2"/>
    <w:uiPriority w:val="99"/>
    <w:rsid w:val="00E4397C"/>
    <w:rPr>
      <w:rFonts w:ascii="Calibri" w:eastAsia="Times New Roman" w:hAnsi="Calibri" w:cs="Calibri"/>
      <w:lang w:eastAsia="en-US"/>
    </w:rPr>
  </w:style>
  <w:style w:type="paragraph" w:styleId="Zhlav">
    <w:name w:val="header"/>
    <w:basedOn w:val="Normln"/>
    <w:link w:val="ZhlavChar"/>
    <w:uiPriority w:val="99"/>
    <w:unhideWhenUsed/>
    <w:rsid w:val="005417FB"/>
    <w:pPr>
      <w:tabs>
        <w:tab w:val="center" w:pos="4536"/>
        <w:tab w:val="right" w:pos="9072"/>
      </w:tabs>
    </w:pPr>
  </w:style>
  <w:style w:type="character" w:customStyle="1" w:styleId="ZhlavChar">
    <w:name w:val="Záhlaví Char"/>
    <w:basedOn w:val="Standardnpsmoodstavce"/>
    <w:link w:val="Zhlav"/>
    <w:uiPriority w:val="99"/>
    <w:rsid w:val="005417FB"/>
    <w:rPr>
      <w:sz w:val="24"/>
      <w:szCs w:val="24"/>
      <w:lang w:eastAsia="en-US"/>
    </w:rPr>
  </w:style>
  <w:style w:type="paragraph" w:styleId="Zpat">
    <w:name w:val="footer"/>
    <w:basedOn w:val="Normln"/>
    <w:link w:val="ZpatChar"/>
    <w:uiPriority w:val="99"/>
    <w:unhideWhenUsed/>
    <w:rsid w:val="005417FB"/>
    <w:pPr>
      <w:tabs>
        <w:tab w:val="center" w:pos="4536"/>
        <w:tab w:val="right" w:pos="9072"/>
      </w:tabs>
    </w:pPr>
  </w:style>
  <w:style w:type="character" w:customStyle="1" w:styleId="ZpatChar">
    <w:name w:val="Zápatí Char"/>
    <w:basedOn w:val="Standardnpsmoodstavce"/>
    <w:link w:val="Zpat"/>
    <w:uiPriority w:val="99"/>
    <w:rsid w:val="005417FB"/>
    <w:rPr>
      <w:sz w:val="24"/>
      <w:szCs w:val="24"/>
      <w:lang w:eastAsia="en-US"/>
    </w:rPr>
  </w:style>
  <w:style w:type="character" w:styleId="Zstupntext">
    <w:name w:val="Placeholder Text"/>
    <w:semiHidden/>
    <w:rsid w:val="005417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glossaryDocument" Target="glossary/document.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0411A6C7024C61B80BC637EF74845E"/>
        <w:category>
          <w:name w:val="Obecné"/>
          <w:gallery w:val="placeholder"/>
        </w:category>
        <w:types>
          <w:type w:val="bbPlcHdr"/>
        </w:types>
        <w:behaviors>
          <w:behavior w:val="content"/>
        </w:behaviors>
        <w:guid w:val="{CDFF88F0-F446-4A7C-AD7A-06210242B2B6}"/>
      </w:docPartPr>
      <w:docPartBody>
        <w:p w:rsidR="00DA71C6" w:rsidRDefault="002421C2" w:rsidP="002421C2">
          <w:pPr>
            <w:pStyle w:val="5F0411A6C7024C61B80BC637EF74845E"/>
          </w:pPr>
          <w:r>
            <w:rPr>
              <w:rStyle w:val="Zstupntext"/>
            </w:rPr>
            <w:t>Klikněte sem a zadejte text.</w:t>
          </w:r>
        </w:p>
      </w:docPartBody>
    </w:docPart>
    <w:docPart>
      <w:docPartPr>
        <w:name w:val="CBB39A0054EA43D1A3A79806BD758444"/>
        <w:category>
          <w:name w:val="Obecné"/>
          <w:gallery w:val="placeholder"/>
        </w:category>
        <w:types>
          <w:type w:val="bbPlcHdr"/>
        </w:types>
        <w:behaviors>
          <w:behavior w:val="content"/>
        </w:behaviors>
        <w:guid w:val="{1E239CF6-CBB2-493C-946B-643DDA46E455}"/>
      </w:docPartPr>
      <w:docPartBody>
        <w:p w:rsidR="00DA71C6" w:rsidRDefault="002421C2" w:rsidP="002421C2">
          <w:pPr>
            <w:pStyle w:val="CBB39A0054EA43D1A3A79806BD758444"/>
          </w:pPr>
          <w:r>
            <w:rPr>
              <w:rStyle w:val="Zstupntext"/>
            </w:rPr>
            <w:t>Klikněte sem a zadejte datum.</w:t>
          </w:r>
        </w:p>
      </w:docPartBody>
    </w:docPart>
    <w:docPart>
      <w:docPartPr>
        <w:name w:val="AA5543CBA4EE44EE9B3B232CEE5513C8"/>
        <w:category>
          <w:name w:val="Obecné"/>
          <w:gallery w:val="placeholder"/>
        </w:category>
        <w:types>
          <w:type w:val="bbPlcHdr"/>
        </w:types>
        <w:behaviors>
          <w:behavior w:val="content"/>
        </w:behaviors>
        <w:guid w:val="{2F1AA948-0268-44F5-83AC-99EF1C282067}"/>
      </w:docPartPr>
      <w:docPartBody>
        <w:p w:rsidR="00DA71C6" w:rsidRDefault="002421C2" w:rsidP="002421C2">
          <w:pPr>
            <w:pStyle w:val="AA5543CBA4EE44EE9B3B232CEE5513C8"/>
          </w:pPr>
          <w:r>
            <w:rPr>
              <w:rStyle w:val="Zstupntext"/>
            </w:rPr>
            <w:t>Zvolte položku.</w:t>
          </w:r>
        </w:p>
      </w:docPartBody>
    </w:docPart>
    <w:docPart>
      <w:docPartPr>
        <w:name w:val="AC251B6A8C0A4245ABFA655952930FCB"/>
        <w:category>
          <w:name w:val="Obecné"/>
          <w:gallery w:val="placeholder"/>
        </w:category>
        <w:types>
          <w:type w:val="bbPlcHdr"/>
        </w:types>
        <w:behaviors>
          <w:behavior w:val="content"/>
        </w:behaviors>
        <w:guid w:val="{A77A0806-B519-437A-A0EF-426952C07E0C}"/>
      </w:docPartPr>
      <w:docPartBody>
        <w:p w:rsidR="00DA71C6" w:rsidRDefault="002421C2" w:rsidP="002421C2">
          <w:pPr>
            <w:pStyle w:val="AC251B6A8C0A4245ABFA655952930FCB"/>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wiss721BT-Roman">
    <w:altName w:val="Malgun Gothic"/>
    <w:panose1 w:val="00000000000000000000"/>
    <w:charset w:val="81"/>
    <w:family w:val="swiss"/>
    <w:notTrueType/>
    <w:pitch w:val="default"/>
    <w:sig w:usb0="00000001" w:usb1="09060000" w:usb2="00000010" w:usb3="00000000" w:csb0="00080000" w:csb1="00000000"/>
  </w:font>
  <w:font w:name="Swiss721BT-Bold">
    <w:altName w:val="Arial"/>
    <w:panose1 w:val="00000000000000000000"/>
    <w:charset w:val="EE"/>
    <w:family w:val="swiss"/>
    <w:notTrueType/>
    <w:pitch w:val="default"/>
    <w:sig w:usb0="00000007" w:usb1="00000000" w:usb2="00000000" w:usb3="00000000" w:csb0="00000003" w:csb1="00000000"/>
  </w:font>
  <w:font w:name="Swiss 72 1 BT">
    <w:altName w:val="Times New Roman"/>
    <w:panose1 w:val="00000000000000000000"/>
    <w:charset w:val="00"/>
    <w:family w:val="swiss"/>
    <w:notTrueType/>
    <w:pitch w:val="default"/>
    <w:sig w:usb0="00000003" w:usb1="00000000" w:usb2="00000000" w:usb3="00000000" w:csb0="00000009" w:csb1="00000000"/>
  </w:font>
  <w:font w:name="TTE1965D0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C2"/>
    <w:rsid w:val="002421C2"/>
    <w:rsid w:val="003C5465"/>
    <w:rsid w:val="00A456C7"/>
    <w:rsid w:val="00DA71C6"/>
    <w:rsid w:val="00E21D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421C2"/>
  </w:style>
  <w:style w:type="paragraph" w:customStyle="1" w:styleId="5F0411A6C7024C61B80BC637EF74845E">
    <w:name w:val="5F0411A6C7024C61B80BC637EF74845E"/>
    <w:rsid w:val="002421C2"/>
  </w:style>
  <w:style w:type="paragraph" w:customStyle="1" w:styleId="CBB39A0054EA43D1A3A79806BD758444">
    <w:name w:val="CBB39A0054EA43D1A3A79806BD758444"/>
    <w:rsid w:val="002421C2"/>
  </w:style>
  <w:style w:type="paragraph" w:customStyle="1" w:styleId="AA5543CBA4EE44EE9B3B232CEE5513C8">
    <w:name w:val="AA5543CBA4EE44EE9B3B232CEE5513C8"/>
    <w:rsid w:val="002421C2"/>
  </w:style>
  <w:style w:type="paragraph" w:customStyle="1" w:styleId="AC251B6A8C0A4245ABFA655952930FCB">
    <w:name w:val="AC251B6A8C0A4245ABFA655952930FCB"/>
    <w:rsid w:val="002421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834</Words>
  <Characters>4924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Brucelový antigen pro test s bengálskou červení</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Brucelový antigen pro test s bengálskou červení</dc:title>
  <dc:creator>lenovo</dc:creator>
  <cp:lastModifiedBy>Morávková Věra</cp:lastModifiedBy>
  <cp:revision>7</cp:revision>
  <dcterms:created xsi:type="dcterms:W3CDTF">2021-06-03T14:05:00Z</dcterms:created>
  <dcterms:modified xsi:type="dcterms:W3CDTF">2021-06-16T08:41:00Z</dcterms:modified>
</cp:coreProperties>
</file>